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18, 2014</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8"/>
          <w:szCs w:val="18"/>
          <w:b w:val="1"/>
          <w:bCs w:val="1"/>
          <w:color w:val="auto"/>
        </w:rPr>
        <w:t>Securities Act File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tbl>
      <w:tblPr>
        <w:tblLayout w:type="fixed"/>
        <w:tblInd w:w="4080" w:type="dxa"/>
        <w:tblCellMar>
          <w:top w:w="0" w:type="dxa"/>
          <w:left w:w="0" w:type="dxa"/>
          <w:bottom w:w="0" w:type="dxa"/>
          <w:right w:w="0" w:type="dxa"/>
        </w:tblCellMar>
      </w:tblPr>
      <w:tr>
        <w:trPr>
          <w:trHeight w:val="225"/>
        </w:trPr>
        <w:tc>
          <w:tcPr>
            <w:tcW w:w="5140" w:type="dxa"/>
            <w:vAlign w:val="bottom"/>
          </w:tcPr>
          <w:p>
            <w:pPr>
              <w:ind w:left="1260"/>
              <w:spacing w:after="0" w:line="225" w:lineRule="exact"/>
              <w:rPr>
                <w:sz w:val="20"/>
                <w:szCs w:val="20"/>
                <w:color w:val="auto"/>
              </w:rPr>
            </w:pPr>
            <w:r>
              <w:rPr>
                <w:rFonts w:ascii="Arial" w:cs="Arial" w:eastAsia="Arial" w:hAnsi="Arial"/>
                <w:sz w:val="22"/>
                <w:szCs w:val="22"/>
                <w:b w:val="1"/>
                <w:bCs w:val="1"/>
                <w:i w:val="1"/>
                <w:iCs w:val="1"/>
                <w:color w:val="auto"/>
              </w:rPr>
              <w:t>UNDER</w:t>
            </w:r>
          </w:p>
        </w:tc>
        <w:tc>
          <w:tcPr>
            <w:tcW w:w="2200" w:type="dxa"/>
            <w:vAlign w:val="bottom"/>
            <w:vMerge w:val="restart"/>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4"/>
        </w:trPr>
        <w:tc>
          <w:tcPr>
            <w:tcW w:w="5140" w:type="dxa"/>
            <w:vAlign w:val="bottom"/>
          </w:tcPr>
          <w:p>
            <w:pPr>
              <w:jc w:val="center"/>
              <w:ind w:right="1952"/>
              <w:spacing w:after="0" w:line="224" w:lineRule="exact"/>
              <w:rPr>
                <w:sz w:val="20"/>
                <w:szCs w:val="20"/>
                <w:color w:val="auto"/>
              </w:rPr>
            </w:pPr>
            <w:r>
              <w:rPr>
                <w:rFonts w:ascii="Arial" w:cs="Arial" w:eastAsia="Arial" w:hAnsi="Arial"/>
                <w:sz w:val="22"/>
                <w:szCs w:val="22"/>
                <w:b w:val="1"/>
                <w:bCs w:val="1"/>
                <w:i w:val="1"/>
                <w:iCs w:val="1"/>
                <w:color w:val="auto"/>
                <w:w w:val="94"/>
              </w:rPr>
              <w:t>THE SECURITIES ACT OF 1933</w:t>
            </w:r>
          </w:p>
        </w:tc>
        <w:tc>
          <w:tcPr>
            <w:tcW w:w="2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40" w:type="dxa"/>
            <w:vAlign w:val="bottom"/>
          </w:tcPr>
          <w:p>
            <w:pPr>
              <w:jc w:val="center"/>
              <w:ind w:right="1952"/>
              <w:spacing w:after="0" w:line="243" w:lineRule="exact"/>
              <w:rPr>
                <w:sz w:val="20"/>
                <w:szCs w:val="20"/>
                <w:color w:val="auto"/>
              </w:rPr>
            </w:pPr>
            <w:r>
              <w:rPr>
                <w:rFonts w:ascii="Arial" w:cs="Arial" w:eastAsia="Arial" w:hAnsi="Arial"/>
                <w:sz w:val="22"/>
                <w:szCs w:val="22"/>
                <w:b w:val="1"/>
                <w:bCs w:val="1"/>
                <w:color w:val="auto"/>
                <w:w w:val="89"/>
              </w:rPr>
              <w:t>Pre-Effective Amendment No.</w:t>
            </w:r>
          </w:p>
        </w:tc>
        <w:tc>
          <w:tcPr>
            <w:tcW w:w="22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94"/>
        </w:trPr>
        <w:tc>
          <w:tcPr>
            <w:tcW w:w="5140" w:type="dxa"/>
            <w:vAlign w:val="bottom"/>
          </w:tcPr>
          <w:p>
            <w:pPr>
              <w:jc w:val="center"/>
              <w:ind w:right="1952"/>
              <w:spacing w:after="0"/>
              <w:rPr>
                <w:sz w:val="20"/>
                <w:szCs w:val="20"/>
                <w:color w:val="auto"/>
              </w:rPr>
            </w:pPr>
            <w:r>
              <w:rPr>
                <w:rFonts w:ascii="Arial" w:cs="Arial" w:eastAsia="Arial" w:hAnsi="Arial"/>
                <w:sz w:val="22"/>
                <w:szCs w:val="22"/>
                <w:b w:val="1"/>
                <w:bCs w:val="1"/>
                <w:color w:val="auto"/>
                <w:w w:val="88"/>
              </w:rPr>
              <w:t>Post-Effective Amendment No.</w:t>
            </w:r>
          </w:p>
        </w:tc>
        <w:tc>
          <w:tcPr>
            <w:tcW w:w="22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Commerce Street, Suite 3300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 Worth, TX 76102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(817) 871-4000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Stiepleman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TPG Specialty Lending,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345 California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22"/>
        </w:trPr>
        <w:tc>
          <w:tcPr>
            <w:tcW w:w="3280" w:type="dxa"/>
            <w:vAlign w:val="bottom"/>
          </w:tcPr>
          <w:p>
            <w:pPr>
              <w:spacing w:after="0"/>
              <w:rPr>
                <w:sz w:val="19"/>
                <w:szCs w:val="19"/>
                <w:color w:val="auto"/>
              </w:rPr>
            </w:pPr>
          </w:p>
        </w:tc>
        <w:tc>
          <w:tcPr>
            <w:tcW w:w="578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285"/>
        </w:trPr>
        <w:tc>
          <w:tcPr>
            <w:tcW w:w="3280" w:type="dxa"/>
            <w:vAlign w:val="bottom"/>
          </w:tcPr>
          <w:p>
            <w:pPr>
              <w:jc w:val="center"/>
              <w:ind w:right="212"/>
              <w:spacing w:after="0"/>
              <w:rPr>
                <w:sz w:val="20"/>
                <w:szCs w:val="20"/>
                <w:color w:val="auto"/>
              </w:rPr>
            </w:pPr>
            <w:r>
              <w:rPr>
                <w:rFonts w:ascii="Arial" w:cs="Arial" w:eastAsia="Arial" w:hAnsi="Arial"/>
                <w:sz w:val="18"/>
                <w:szCs w:val="18"/>
                <w:b w:val="1"/>
                <w:bCs w:val="1"/>
                <w:color w:val="auto"/>
                <w:w w:val="88"/>
              </w:rPr>
              <w:t>Michael A. Gerstenzang, Esq.</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9"/>
              </w:rPr>
              <w:t>Stuart H. Gelfond, Esq.</w:t>
            </w:r>
          </w:p>
        </w:tc>
      </w:tr>
      <w:tr>
        <w:trPr>
          <w:trHeight w:val="228"/>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88"/>
              </w:rPr>
              <w:t>Adam E. Fleisher, Esq.</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9"/>
              </w:rPr>
              <w:t>Paul D. Tropp, Esq.</w:t>
            </w:r>
          </w:p>
        </w:tc>
      </w:tr>
      <w:tr>
        <w:trPr>
          <w:trHeight w:val="217"/>
        </w:trPr>
        <w:tc>
          <w:tcPr>
            <w:tcW w:w="3280" w:type="dxa"/>
            <w:vAlign w:val="bottom"/>
          </w:tcPr>
          <w:p>
            <w:pPr>
              <w:jc w:val="center"/>
              <w:ind w:right="212"/>
              <w:spacing w:after="0"/>
              <w:rPr>
                <w:sz w:val="20"/>
                <w:szCs w:val="20"/>
                <w:color w:val="auto"/>
              </w:rPr>
            </w:pPr>
            <w:r>
              <w:rPr>
                <w:rFonts w:ascii="Arial" w:cs="Arial" w:eastAsia="Arial" w:hAnsi="Arial"/>
                <w:sz w:val="18"/>
                <w:szCs w:val="18"/>
                <w:b w:val="1"/>
                <w:bCs w:val="1"/>
                <w:color w:val="auto"/>
                <w:w w:val="89"/>
              </w:rPr>
              <w:t>Helena K. Grannis, Esq.</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91"/>
              </w:rPr>
              <w:t>Fried, Frank, Harris, Shriver &amp; Jacobson LLP</w:t>
            </w:r>
          </w:p>
        </w:tc>
      </w:tr>
      <w:tr>
        <w:trPr>
          <w:trHeight w:val="216"/>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92"/>
              </w:rPr>
              <w:t>Cleary Gottlieb Steen &amp; Hamilton LLP</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90"/>
              </w:rPr>
              <w:t>One New York Plaza</w:t>
            </w:r>
          </w:p>
        </w:tc>
      </w:tr>
      <w:tr>
        <w:trPr>
          <w:trHeight w:val="216"/>
        </w:trPr>
        <w:tc>
          <w:tcPr>
            <w:tcW w:w="3280" w:type="dxa"/>
            <w:vAlign w:val="bottom"/>
          </w:tcPr>
          <w:p>
            <w:pPr>
              <w:jc w:val="center"/>
              <w:ind w:right="212"/>
              <w:spacing w:after="0"/>
              <w:rPr>
                <w:sz w:val="20"/>
                <w:szCs w:val="20"/>
                <w:color w:val="auto"/>
              </w:rPr>
            </w:pPr>
            <w:r>
              <w:rPr>
                <w:rFonts w:ascii="Arial" w:cs="Arial" w:eastAsia="Arial" w:hAnsi="Arial"/>
                <w:sz w:val="18"/>
                <w:szCs w:val="18"/>
                <w:b w:val="1"/>
                <w:bCs w:val="1"/>
                <w:color w:val="auto"/>
                <w:w w:val="91"/>
              </w:rPr>
              <w:t>One Liberty Plaza</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90"/>
              </w:rPr>
              <w:t>New York, NY 10004</w:t>
            </w:r>
          </w:p>
        </w:tc>
      </w:tr>
      <w:tr>
        <w:trPr>
          <w:trHeight w:val="216"/>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90"/>
              </w:rPr>
              <w:t>New York, NY 10006</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7"/>
              </w:rPr>
              <w:t>Telephone: (212) 859-8000</w:t>
            </w:r>
          </w:p>
        </w:tc>
      </w:tr>
      <w:tr>
        <w:trPr>
          <w:trHeight w:val="216"/>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87"/>
              </w:rPr>
              <w:t>Telephone: (212) 225-2000</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8"/>
              </w:rPr>
              <w:t>Facsimile: (212) 859-4000</w:t>
            </w:r>
          </w:p>
        </w:tc>
      </w:tr>
      <w:tr>
        <w:trPr>
          <w:trHeight w:val="228"/>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88"/>
              </w:rPr>
              <w:t>Facsimile: (212) 225-3999</w:t>
            </w:r>
          </w:p>
        </w:tc>
        <w:tc>
          <w:tcPr>
            <w:tcW w:w="5780" w:type="dxa"/>
            <w:vAlign w:val="bottom"/>
          </w:tcPr>
          <w:p>
            <w:pPr>
              <w:spacing w:after="0"/>
              <w:rPr>
                <w:sz w:val="19"/>
                <w:szCs w:val="19"/>
                <w:color w:val="auto"/>
              </w:rPr>
            </w:pPr>
          </w:p>
        </w:tc>
      </w:tr>
    </w:tbl>
    <w:p>
      <w:pPr>
        <w:spacing w:after="0" w:line="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As soon as practicable after the effective date of this Registration Statement.</w:t>
      </w:r>
    </w:p>
    <w:p>
      <w:pPr>
        <w:spacing w:after="0" w:line="96" w:lineRule="exact"/>
        <w:rPr>
          <w:sz w:val="24"/>
          <w:szCs w:val="24"/>
          <w:color w:val="auto"/>
        </w:rPr>
      </w:pPr>
    </w:p>
    <w:p>
      <w:pPr>
        <w:ind w:right="20"/>
        <w:spacing w:after="0" w:line="229"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9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12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82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3"/>
              </w:rPr>
              <w:t>Proposed</w:t>
            </w:r>
          </w:p>
        </w:tc>
        <w:tc>
          <w:tcPr>
            <w:tcW w:w="1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87"/>
              </w:rPr>
              <w:t>Amount Being</w:t>
            </w:r>
          </w:p>
        </w:tc>
        <w:tc>
          <w:tcPr>
            <w:tcW w:w="184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78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4120" w:type="dxa"/>
            <w:vAlign w:val="bottom"/>
            <w:tcBorders>
              <w:bottom w:val="single" w:sz="8" w:color="auto"/>
              <w:right w:val="single" w:sz="8" w:color="auto"/>
            </w:tcBorders>
          </w:tcPr>
          <w:p>
            <w:pPr>
              <w:ind w:left="1040"/>
              <w:spacing w:after="0"/>
              <w:rPr>
                <w:sz w:val="20"/>
                <w:szCs w:val="20"/>
                <w:color w:val="auto"/>
              </w:rPr>
            </w:pPr>
            <w:r>
              <w:rPr>
                <w:rFonts w:ascii="Arial" w:cs="Arial" w:eastAsia="Arial" w:hAnsi="Arial"/>
                <w:sz w:val="14"/>
                <w:szCs w:val="14"/>
                <w:b w:val="1"/>
                <w:bCs w:val="1"/>
                <w:color w:val="auto"/>
              </w:rPr>
              <w:t>Title of Securities Being Registered</w:t>
            </w:r>
          </w:p>
        </w:tc>
        <w:tc>
          <w:tcPr>
            <w:tcW w:w="184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87"/>
              </w:rPr>
              <w:t>Registered(1)</w:t>
            </w:r>
          </w:p>
        </w:tc>
        <w:tc>
          <w:tcPr>
            <w:tcW w:w="18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89"/>
              </w:rPr>
              <w:t>Per Unit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Offering Price(1)(2)</w:t>
            </w:r>
          </w:p>
        </w:tc>
        <w:tc>
          <w:tcPr>
            <w:tcW w:w="178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5"/>
              </w:rPr>
              <w:t>Registration Fee</w:t>
            </w:r>
          </w:p>
        </w:tc>
      </w:tr>
      <w:tr>
        <w:trPr>
          <w:trHeight w:val="210"/>
        </w:trPr>
        <w:tc>
          <w:tcPr>
            <w:tcW w:w="2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$0.01 par value per share</w:t>
            </w:r>
          </w:p>
        </w:tc>
        <w:tc>
          <w:tcPr>
            <w:tcW w:w="1840" w:type="dxa"/>
            <w:vAlign w:val="bottom"/>
            <w:tcBorders>
              <w:bottom w:val="single" w:sz="8" w:color="auto"/>
              <w:right w:val="single" w:sz="8" w:color="auto"/>
            </w:tcBorders>
          </w:tcPr>
          <w:p>
            <w:pPr>
              <w:jc w:val="right"/>
              <w:ind w:right="1026"/>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tcPr>
          <w:p>
            <w:pPr>
              <w:jc w:val="right"/>
              <w:ind w:right="10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$50,000,000</w:t>
            </w:r>
          </w:p>
        </w:tc>
        <w:tc>
          <w:tcPr>
            <w:tcW w:w="1780" w:type="dxa"/>
            <w:vAlign w:val="bottom"/>
            <w:tcBorders>
              <w:bottom w:val="single" w:sz="8" w:color="auto"/>
            </w:tcBorders>
          </w:tcPr>
          <w:p>
            <w:pPr>
              <w:jc w:val="center"/>
              <w:ind w:left="6"/>
              <w:spacing w:after="0"/>
              <w:rPr>
                <w:sz w:val="20"/>
                <w:szCs w:val="20"/>
                <w:color w:val="auto"/>
              </w:rPr>
            </w:pPr>
            <w:r>
              <w:rPr>
                <w:rFonts w:ascii="Arial" w:cs="Arial" w:eastAsia="Arial" w:hAnsi="Arial"/>
                <w:sz w:val="18"/>
                <w:szCs w:val="18"/>
                <w:color w:val="auto"/>
                <w:w w:val="90"/>
              </w:rPr>
              <w:t>$6,440</w:t>
            </w: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the underwriters’ option to purchase additional shares of our common stock to cover over-allotments.</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pursuant to Rule 457(o) under the Securities Act of 1933 solely for the purpose of determining the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right="20" w:firstLine="342"/>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 dated February 18, 2014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TPG Specialty Lending, Inc.</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24"/>
          <w:szCs w:val="24"/>
          <w:b w:val="1"/>
          <w:bCs w:val="1"/>
          <w:color w:val="auto"/>
        </w:rPr>
        <w:t>Shares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5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September 30, 2013, our investment portfolio consisted of 29 investments in 25 portfolio companies with an aggregate fair value of $889.3 million. Following this offering, we intend to continue to pursue an investment strategy focused on direct origination of loans to middle-market companies principally domiciled in the United States.</w:t>
      </w:r>
    </w:p>
    <w:p>
      <w:pPr>
        <w:spacing w:after="0" w:line="5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an externally managed, closed-end, non-diversified management investment company. TSL Advisers, LLC, or the Adviser, acts as our investment adviser and administrator. We and the Adviser are part of the TPG Special Situations Partners platform, which had over $6 billion of assets under management as of September 30, 2013. TPG Special Situations Partners is the special situations and credit platform of TPG, a leading global private investment firm founded in 1992 with over $55 billion of assets under management as of September 30, 2013.</w:t>
      </w:r>
    </w:p>
    <w:p>
      <w:pPr>
        <w:spacing w:after="0" w:line="6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Our exposure to below investment grade instruments involves certain risks, including speculation with respect to the borrower’s capacity to pay interest and repay principal.</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is our initial public offering of our shares of common stock. All of the shares of common stock offered by this prospectus are being sold by us.</w:t>
      </w:r>
    </w:p>
    <w:p>
      <w:pPr>
        <w:spacing w:after="0" w:line="11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are an “emerging growth company,” as defined in Section 2(a) of the U.S. Securities Act of 1933, and will be subject to reduced public company reporting requirements.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 xml:space="preserve">Our shares of common stock have no history of public trading. </w:t>
      </w:r>
      <w:r>
        <w:rPr>
          <w:rFonts w:ascii="Arial" w:cs="Arial" w:eastAsia="Arial" w:hAnsi="Arial"/>
          <w:sz w:val="15"/>
          <w:szCs w:val="15"/>
          <w:color w:val="auto"/>
        </w:rPr>
        <w:t>We currently expect that the initial public offering price per share of our common stock</w:t>
      </w:r>
    </w:p>
    <w:p>
      <w:pPr>
        <w:spacing w:after="0" w:line="56" w:lineRule="exact"/>
        <w:rPr>
          <w:sz w:val="20"/>
          <w:szCs w:val="20"/>
          <w:color w:val="auto"/>
        </w:rPr>
      </w:pPr>
    </w:p>
    <w:p>
      <w:pPr>
        <w:spacing w:after="0"/>
        <w:tabs>
          <w:tab w:leader="none" w:pos="1800" w:val="left"/>
          <w:tab w:leader="none" w:pos="2580" w:val="left"/>
        </w:tabs>
        <w:rPr>
          <w:sz w:val="20"/>
          <w:szCs w:val="20"/>
          <w:color w:val="auto"/>
        </w:rPr>
      </w:pPr>
      <w:r>
        <w:rPr>
          <w:rFonts w:ascii="Arial" w:cs="Arial" w:eastAsia="Arial" w:hAnsi="Arial"/>
          <w:sz w:val="18"/>
          <w:szCs w:val="18"/>
          <w:color w:val="auto"/>
        </w:rPr>
        <w:t>will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per share. We intend to apply to have our common stock listed on the New York Stock Exchange under the symbol “TSLX.”</w:t>
      </w:r>
    </w:p>
    <w:p>
      <w:pPr>
        <w:sectPr>
          <w:pgSz w:w="11900" w:h="16838" w:orient="portrait"/>
          <w:cols w:equalWidth="0" w:num="1">
            <w:col w:w="11420"/>
          </w:cols>
          <w:pgMar w:left="240" w:top="459" w:right="239" w:bottom="483" w:gutter="0" w:footer="0" w:header="0"/>
        </w:sectPr>
      </w:pP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Assuming an initial public offering price of $</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per share, purchasers in this offering will experience dilution of approximately $</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per share. See</w:t>
      </w:r>
    </w:p>
    <w:p>
      <w:pPr>
        <w:spacing w:after="0" w:line="60" w:lineRule="exact"/>
        <w:rPr>
          <w:sz w:val="20"/>
          <w:szCs w:val="20"/>
          <w:color w:val="auto"/>
        </w:rPr>
      </w:pPr>
    </w:p>
    <w:p>
      <w:pPr>
        <w:sectPr>
          <w:pgSz w:w="11900" w:h="16838" w:orient="portrait"/>
          <w:cols w:equalWidth="0" w:num="3">
            <w:col w:w="3640" w:space="400"/>
            <w:col w:w="5660" w:space="560"/>
            <w:col w:w="1160"/>
          </w:cols>
          <w:pgMar w:left="240" w:top="459" w:right="239" w:bottom="483" w:gutter="0" w:footer="0" w:header="0"/>
          <w:type w:val="continuous"/>
        </w:sectPr>
      </w:pPr>
    </w:p>
    <w:p>
      <w:pPr>
        <w:spacing w:after="0"/>
        <w:rPr>
          <w:sz w:val="20"/>
          <w:szCs w:val="20"/>
          <w:color w:val="auto"/>
        </w:rPr>
      </w:pPr>
      <w:r>
        <w:rPr>
          <w:rFonts w:ascii="Arial" w:cs="Arial" w:eastAsia="Arial" w:hAnsi="Arial"/>
          <w:sz w:val="16"/>
          <w:szCs w:val="16"/>
          <w:color w:val="auto"/>
        </w:rPr>
        <w:t>“Dilution” for more information.</w:t>
      </w:r>
    </w:p>
    <w:p>
      <w:pPr>
        <w:sectPr>
          <w:pgSz w:w="11900" w:h="16838" w:orient="portrait"/>
          <w:cols w:equalWidth="0" w:num="1">
            <w:col w:w="11420"/>
          </w:cols>
          <w:pgMar w:left="240" w:top="459" w:right="239" w:bottom="483" w:gutter="0" w:footer="0" w:header="0"/>
          <w:type w:val="continuous"/>
        </w:sectPr>
      </w:pPr>
    </w:p>
    <w:p>
      <w:pPr>
        <w:spacing w:after="0" w:line="101" w:lineRule="exact"/>
        <w:rPr>
          <w:sz w:val="20"/>
          <w:szCs w:val="20"/>
          <w:color w:val="auto"/>
        </w:rPr>
      </w:pPr>
    </w:p>
    <w:p>
      <w:pPr>
        <w:ind w:right="40" w:firstLine="456"/>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Shares of closed-end investment companies, including business development companies, frequently trade at a discount to their net asset values. If our shares trade at a discount to our net asset value, purchasers in this offering will face increased risk of loss. In addition, the companies in which we invest are subject to special risks. Before buying any shares, you should read the discussion of the material risks of investing in our common stock, including the risk of leverage, in “</w:t>
      </w:r>
      <w:hyperlink w:anchor="page24">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21 of this prospectus.</w:t>
      </w:r>
    </w:p>
    <w:p>
      <w:pPr>
        <w:spacing w:after="0" w:line="6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prospectus contains important information you should know before investing in our common stock. Information required to be included in a Statement of Additional Information may be found in this prospectus. Please read it before you invest and keep it for future reference.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 website at http://www.tpgspecialtylending.com. Information on our website is not incorporated into or a part of this prospectus. The Securities and Exchange Commission also maintains a website at http://www.sec.gov that contains this information.</w:t>
      </w:r>
    </w:p>
    <w:p>
      <w:pPr>
        <w:spacing w:after="0" w:line="33" w:lineRule="exact"/>
        <w:rPr>
          <w:sz w:val="20"/>
          <w:szCs w:val="20"/>
          <w:color w:val="auto"/>
        </w:rPr>
      </w:pPr>
    </w:p>
    <w:p>
      <w:pPr>
        <w:ind w:right="68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has not approved or disapproved these securities or determined if this prospectus is truthful or complete. Any representation to the contrary is a criminal offense.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jc w:val="right"/>
              <w:ind w:right="149"/>
              <w:spacing w:after="0"/>
              <w:rPr>
                <w:sz w:val="20"/>
                <w:szCs w:val="20"/>
                <w:color w:val="auto"/>
              </w:rPr>
            </w:pPr>
            <w:r>
              <w:rPr>
                <w:rFonts w:ascii="Arial" w:cs="Arial" w:eastAsia="Arial" w:hAnsi="Arial"/>
                <w:sz w:val="14"/>
                <w:szCs w:val="14"/>
                <w:b w:val="1"/>
                <w:bCs w:val="1"/>
                <w:color w:val="auto"/>
              </w:rPr>
              <w:t>Per</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jc w:val="right"/>
              <w:ind w:right="89"/>
              <w:spacing w:after="0"/>
              <w:rPr>
                <w:sz w:val="20"/>
                <w:szCs w:val="20"/>
                <w:color w:val="auto"/>
              </w:rPr>
            </w:pPr>
            <w:r>
              <w:rPr>
                <w:rFonts w:ascii="Arial" w:cs="Arial" w:eastAsia="Arial" w:hAnsi="Arial"/>
                <w:sz w:val="14"/>
                <w:szCs w:val="14"/>
                <w:b w:val="1"/>
                <w:bCs w:val="1"/>
                <w:color w:val="auto"/>
              </w:rPr>
              <w:t>Share</w:t>
            </w:r>
          </w:p>
        </w:tc>
        <w:tc>
          <w:tcPr>
            <w:tcW w:w="520" w:type="dxa"/>
            <w:vAlign w:val="bottom"/>
          </w:tcPr>
          <w:p>
            <w:pPr>
              <w:spacing w:after="0"/>
              <w:rPr>
                <w:sz w:val="14"/>
                <w:szCs w:val="14"/>
                <w:color w:val="auto"/>
              </w:rPr>
            </w:pPr>
          </w:p>
        </w:tc>
        <w:tc>
          <w:tcPr>
            <w:tcW w:w="156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17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2"/>
              </w:rPr>
              <w:t>Sales load (underwriting discounts and commissions)</w:t>
            </w: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46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expenses(1)</w:t>
            </w: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9"/>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4180" w:type="dxa"/>
            <w:vAlign w:val="bottom"/>
            <w:gridSpan w:val="2"/>
          </w:tcPr>
          <w:p>
            <w:pPr>
              <w:spacing w:after="0"/>
              <w:rPr>
                <w:sz w:val="9"/>
                <w:szCs w:val="9"/>
                <w:color w:val="auto"/>
              </w:rPr>
            </w:pPr>
          </w:p>
        </w:tc>
        <w:tc>
          <w:tcPr>
            <w:tcW w:w="2320" w:type="dxa"/>
            <w:vAlign w:val="bottom"/>
            <w:gridSpan w:val="2"/>
          </w:tcPr>
          <w:p>
            <w:pPr>
              <w:spacing w:after="0"/>
              <w:rPr>
                <w:sz w:val="9"/>
                <w:szCs w:val="9"/>
                <w:color w:val="auto"/>
              </w:rPr>
            </w:pPr>
          </w:p>
        </w:tc>
        <w:tc>
          <w:tcPr>
            <w:tcW w:w="3240" w:type="dxa"/>
            <w:vAlign w:val="bottom"/>
            <w:gridSpan w:val="6"/>
          </w:tcPr>
          <w:p>
            <w:pPr>
              <w:spacing w:after="0"/>
              <w:rPr>
                <w:sz w:val="9"/>
                <w:szCs w:val="9"/>
                <w:color w:val="auto"/>
              </w:rPr>
            </w:pPr>
          </w:p>
        </w:tc>
      </w:tr>
      <w:tr>
        <w:trPr>
          <w:trHeight w:val="235"/>
        </w:trPr>
        <w:tc>
          <w:tcPr>
            <w:tcW w:w="5340" w:type="dxa"/>
            <w:vAlign w:val="bottom"/>
            <w:gridSpan w:val="3"/>
          </w:tcPr>
          <w:p>
            <w:pPr>
              <w:spacing w:after="0"/>
              <w:rPr>
                <w:sz w:val="20"/>
                <w:szCs w:val="20"/>
                <w:color w:val="auto"/>
              </w:rPr>
            </w:pPr>
            <w:r>
              <w:rPr>
                <w:rFonts w:ascii="Arial" w:cs="Arial" w:eastAsia="Arial" w:hAnsi="Arial"/>
                <w:sz w:val="18"/>
                <w:szCs w:val="18"/>
                <w:color w:val="auto"/>
                <w:w w:val="93"/>
              </w:rPr>
              <w:t>(1)  We estimate that we will incur offering expenses of approximately $</w:t>
            </w:r>
          </w:p>
        </w:tc>
        <w:tc>
          <w:tcPr>
            <w:tcW w:w="2320" w:type="dxa"/>
            <w:vAlign w:val="bottom"/>
            <w:gridSpan w:val="2"/>
          </w:tcPr>
          <w:p>
            <w:pPr>
              <w:ind w:left="200"/>
              <w:spacing w:after="0"/>
              <w:rPr>
                <w:sz w:val="20"/>
                <w:szCs w:val="20"/>
                <w:color w:val="auto"/>
              </w:rPr>
            </w:pPr>
            <w:r>
              <w:rPr>
                <w:rFonts w:ascii="Arial" w:cs="Arial" w:eastAsia="Arial" w:hAnsi="Arial"/>
                <w:sz w:val="18"/>
                <w:szCs w:val="18"/>
                <w:color w:val="auto"/>
              </w:rPr>
              <w:t>million, or approximately $</w:t>
            </w:r>
          </w:p>
        </w:tc>
        <w:tc>
          <w:tcPr>
            <w:tcW w:w="3240" w:type="dxa"/>
            <w:vAlign w:val="bottom"/>
            <w:gridSpan w:val="6"/>
          </w:tcPr>
          <w:p>
            <w:pPr>
              <w:ind w:left="200"/>
              <w:spacing w:after="0"/>
              <w:rPr>
                <w:sz w:val="20"/>
                <w:szCs w:val="20"/>
                <w:color w:val="auto"/>
              </w:rPr>
            </w:pPr>
            <w:r>
              <w:rPr>
                <w:rFonts w:ascii="Arial" w:cs="Arial" w:eastAsia="Arial" w:hAnsi="Arial"/>
                <w:sz w:val="18"/>
                <w:szCs w:val="18"/>
                <w:color w:val="auto"/>
                <w:w w:val="90"/>
              </w:rPr>
              <w:t>per share, in connection with this offering.</w:t>
            </w:r>
          </w:p>
        </w:tc>
      </w:tr>
      <w:tr>
        <w:trPr>
          <w:trHeight w:val="297"/>
        </w:trPr>
        <w:tc>
          <w:tcPr>
            <w:tcW w:w="7100" w:type="dxa"/>
            <w:vAlign w:val="bottom"/>
            <w:gridSpan w:val="4"/>
          </w:tcPr>
          <w:p>
            <w:pPr>
              <w:ind w:left="460"/>
              <w:spacing w:after="0"/>
              <w:rPr>
                <w:sz w:val="20"/>
                <w:szCs w:val="20"/>
                <w:color w:val="auto"/>
              </w:rPr>
            </w:pPr>
            <w:r>
              <w:rPr>
                <w:rFonts w:ascii="Arial" w:cs="Arial" w:eastAsia="Arial" w:hAnsi="Arial"/>
                <w:sz w:val="18"/>
                <w:szCs w:val="18"/>
                <w:color w:val="auto"/>
                <w:w w:val="91"/>
              </w:rPr>
              <w:t>We have granted the underwriters an over-allotment option to purchase up to an additional</w:t>
            </w:r>
          </w:p>
        </w:tc>
        <w:tc>
          <w:tcPr>
            <w:tcW w:w="3800" w:type="dxa"/>
            <w:vAlign w:val="bottom"/>
            <w:gridSpan w:val="7"/>
          </w:tcPr>
          <w:p>
            <w:pPr>
              <w:ind w:left="280"/>
              <w:spacing w:after="0"/>
              <w:rPr>
                <w:sz w:val="20"/>
                <w:szCs w:val="20"/>
                <w:color w:val="auto"/>
              </w:rPr>
            </w:pPr>
            <w:r>
              <w:rPr>
                <w:rFonts w:ascii="Arial" w:cs="Arial" w:eastAsia="Arial" w:hAnsi="Arial"/>
                <w:sz w:val="18"/>
                <w:szCs w:val="18"/>
                <w:color w:val="auto"/>
                <w:w w:val="87"/>
              </w:rPr>
              <w:t>shares of our common stock from us, at the public</w:t>
            </w:r>
          </w:p>
        </w:tc>
      </w:tr>
    </w:tbl>
    <w:p>
      <w:pPr>
        <w:spacing w:after="0"/>
        <w:rPr>
          <w:sz w:val="20"/>
          <w:szCs w:val="20"/>
          <w:color w:val="auto"/>
        </w:rPr>
      </w:pPr>
      <w:r>
        <w:rPr>
          <w:rFonts w:ascii="Arial" w:cs="Arial" w:eastAsia="Arial" w:hAnsi="Arial"/>
          <w:sz w:val="16"/>
          <w:szCs w:val="16"/>
          <w:color w:val="auto"/>
        </w:rPr>
        <w:t>offering price, less the sales load payable by us, within 30 days from the date of this prospectus. If the underwriters exercise their over-allotment option in full, the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00" w:type="dxa"/>
            <w:vAlign w:val="bottom"/>
          </w:tcPr>
          <w:p>
            <w:pPr>
              <w:spacing w:after="0"/>
              <w:rPr>
                <w:sz w:val="20"/>
                <w:szCs w:val="20"/>
                <w:color w:val="auto"/>
              </w:rPr>
            </w:pPr>
            <w:r>
              <w:rPr>
                <w:rFonts w:ascii="Arial" w:cs="Arial" w:eastAsia="Arial" w:hAnsi="Arial"/>
                <w:sz w:val="18"/>
                <w:szCs w:val="18"/>
                <w:color w:val="auto"/>
              </w:rPr>
              <w:t>total sales load will be $</w:t>
            </w:r>
          </w:p>
        </w:tc>
        <w:tc>
          <w:tcPr>
            <w:tcW w:w="4900" w:type="dxa"/>
            <w:vAlign w:val="bottom"/>
            <w:gridSpan w:val="2"/>
          </w:tcPr>
          <w:p>
            <w:pPr>
              <w:ind w:left="280"/>
              <w:spacing w:after="0"/>
              <w:rPr>
                <w:sz w:val="20"/>
                <w:szCs w:val="20"/>
                <w:color w:val="auto"/>
              </w:rPr>
            </w:pPr>
            <w:r>
              <w:rPr>
                <w:rFonts w:ascii="Arial" w:cs="Arial" w:eastAsia="Arial" w:hAnsi="Arial"/>
                <w:sz w:val="18"/>
                <w:szCs w:val="18"/>
                <w:color w:val="auto"/>
                <w:w w:val="98"/>
              </w:rPr>
              <w:t>million and total proceeds to us, before expenses, will be $</w:t>
            </w:r>
          </w:p>
        </w:tc>
        <w:tc>
          <w:tcPr>
            <w:tcW w:w="1280" w:type="dxa"/>
            <w:vAlign w:val="bottom"/>
          </w:tcPr>
          <w:p>
            <w:pPr>
              <w:jc w:val="right"/>
              <w:ind w:right="572"/>
              <w:spacing w:after="0"/>
              <w:rPr>
                <w:sz w:val="20"/>
                <w:szCs w:val="20"/>
                <w:color w:val="auto"/>
              </w:rPr>
            </w:pPr>
            <w:r>
              <w:rPr>
                <w:rFonts w:ascii="Arial" w:cs="Arial" w:eastAsia="Arial" w:hAnsi="Arial"/>
                <w:sz w:val="18"/>
                <w:szCs w:val="18"/>
                <w:color w:val="auto"/>
              </w:rPr>
              <w:t>million.</w:t>
            </w:r>
          </w:p>
        </w:tc>
        <w:tc>
          <w:tcPr>
            <w:tcW w:w="3240" w:type="dxa"/>
            <w:vAlign w:val="bottom"/>
          </w:tcPr>
          <w:p>
            <w:pPr>
              <w:spacing w:after="0"/>
              <w:rPr>
                <w:sz w:val="19"/>
                <w:szCs w:val="19"/>
                <w:color w:val="auto"/>
              </w:rPr>
            </w:pPr>
          </w:p>
        </w:tc>
      </w:tr>
      <w:tr>
        <w:trPr>
          <w:trHeight w:val="158"/>
        </w:trPr>
        <w:tc>
          <w:tcPr>
            <w:tcW w:w="20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3240" w:type="dxa"/>
            <w:vAlign w:val="bottom"/>
          </w:tcPr>
          <w:p>
            <w:pPr>
              <w:spacing w:after="0"/>
              <w:rPr>
                <w:sz w:val="13"/>
                <w:szCs w:val="13"/>
                <w:color w:val="auto"/>
              </w:rPr>
            </w:pPr>
          </w:p>
        </w:tc>
      </w:tr>
      <w:tr>
        <w:trPr>
          <w:trHeight w:val="289"/>
        </w:trPr>
        <w:tc>
          <w:tcPr>
            <w:tcW w:w="2000" w:type="dxa"/>
            <w:vAlign w:val="bottom"/>
          </w:tcPr>
          <w:p>
            <w:pPr>
              <w:spacing w:after="0"/>
              <w:rPr>
                <w:sz w:val="24"/>
                <w:szCs w:val="24"/>
                <w:color w:val="auto"/>
              </w:rPr>
            </w:pPr>
          </w:p>
        </w:tc>
        <w:tc>
          <w:tcPr>
            <w:tcW w:w="6180" w:type="dxa"/>
            <w:vAlign w:val="bottom"/>
            <w:gridSpan w:val="3"/>
          </w:tcPr>
          <w:p>
            <w:pPr>
              <w:jc w:val="center"/>
              <w:ind w:left="187"/>
              <w:spacing w:after="0"/>
              <w:rPr>
                <w:sz w:val="20"/>
                <w:szCs w:val="20"/>
                <w:color w:val="auto"/>
              </w:rPr>
            </w:pPr>
            <w:r>
              <w:rPr>
                <w:rFonts w:ascii="Arial" w:cs="Arial" w:eastAsia="Arial" w:hAnsi="Arial"/>
                <w:sz w:val="18"/>
                <w:szCs w:val="18"/>
                <w:color w:val="auto"/>
                <w:w w:val="89"/>
              </w:rPr>
              <w:t>The shares of our common stock will be ready for delivery on or about</w:t>
            </w:r>
          </w:p>
        </w:tc>
        <w:tc>
          <w:tcPr>
            <w:tcW w:w="3240" w:type="dxa"/>
            <w:vAlign w:val="bottom"/>
          </w:tcPr>
          <w:p>
            <w:pPr>
              <w:jc w:val="right"/>
              <w:ind w:right="2634"/>
              <w:spacing w:after="0"/>
              <w:rPr>
                <w:sz w:val="20"/>
                <w:szCs w:val="20"/>
                <w:color w:val="auto"/>
              </w:rPr>
            </w:pPr>
            <w:r>
              <w:rPr>
                <w:rFonts w:ascii="Arial" w:cs="Arial" w:eastAsia="Arial" w:hAnsi="Arial"/>
                <w:sz w:val="18"/>
                <w:szCs w:val="18"/>
                <w:color w:val="auto"/>
              </w:rPr>
              <w:t>.</w:t>
            </w:r>
          </w:p>
        </w:tc>
      </w:tr>
      <w:tr>
        <w:trPr>
          <w:trHeight w:val="297"/>
        </w:trPr>
        <w:tc>
          <w:tcPr>
            <w:tcW w:w="20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Arial" w:cs="Arial" w:eastAsia="Arial" w:hAnsi="Arial"/>
                <w:sz w:val="18"/>
                <w:szCs w:val="18"/>
                <w:i w:val="1"/>
                <w:iCs w:val="1"/>
                <w:color w:val="auto"/>
                <w:w w:val="89"/>
              </w:rPr>
              <w:t>Joint Book-Running Managers</w:t>
            </w:r>
          </w:p>
        </w:tc>
        <w:tc>
          <w:tcPr>
            <w:tcW w:w="12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407"/>
        </w:trPr>
        <w:tc>
          <w:tcPr>
            <w:tcW w:w="2000" w:type="dxa"/>
            <w:vAlign w:val="bottom"/>
          </w:tcPr>
          <w:p>
            <w:pPr>
              <w:spacing w:after="0"/>
              <w:rPr>
                <w:sz w:val="20"/>
                <w:szCs w:val="20"/>
                <w:color w:val="auto"/>
              </w:rPr>
            </w:pPr>
            <w:r>
              <w:rPr>
                <w:rFonts w:ascii="Arial" w:cs="Arial" w:eastAsia="Arial" w:hAnsi="Arial"/>
                <w:sz w:val="24"/>
                <w:szCs w:val="24"/>
                <w:b w:val="1"/>
                <w:bCs w:val="1"/>
                <w:color w:val="auto"/>
              </w:rPr>
              <w:t>J.P. Morgan</w:t>
            </w:r>
          </w:p>
        </w:tc>
        <w:tc>
          <w:tcPr>
            <w:tcW w:w="2540" w:type="dxa"/>
            <w:vAlign w:val="bottom"/>
          </w:tcPr>
          <w:p>
            <w:pPr>
              <w:spacing w:after="0"/>
              <w:rPr>
                <w:sz w:val="24"/>
                <w:szCs w:val="24"/>
                <w:color w:val="auto"/>
              </w:rPr>
            </w:pPr>
          </w:p>
        </w:tc>
        <w:tc>
          <w:tcPr>
            <w:tcW w:w="3640" w:type="dxa"/>
            <w:vAlign w:val="bottom"/>
            <w:gridSpan w:val="2"/>
          </w:tcPr>
          <w:p>
            <w:pPr>
              <w:jc w:val="right"/>
              <w:ind w:right="772"/>
              <w:spacing w:after="0"/>
              <w:rPr>
                <w:sz w:val="20"/>
                <w:szCs w:val="20"/>
                <w:color w:val="auto"/>
              </w:rPr>
            </w:pPr>
            <w:r>
              <w:rPr>
                <w:rFonts w:ascii="Arial" w:cs="Arial" w:eastAsia="Arial" w:hAnsi="Arial"/>
                <w:sz w:val="24"/>
                <w:szCs w:val="24"/>
                <w:b w:val="1"/>
                <w:bCs w:val="1"/>
                <w:color w:val="auto"/>
              </w:rPr>
              <w:t>BofA Merrill Lynch</w:t>
            </w:r>
          </w:p>
        </w:tc>
        <w:tc>
          <w:tcPr>
            <w:tcW w:w="3240" w:type="dxa"/>
            <w:vAlign w:val="bottom"/>
          </w:tcPr>
          <w:p>
            <w:pPr>
              <w:jc w:val="right"/>
              <w:spacing w:after="0"/>
              <w:rPr>
                <w:sz w:val="20"/>
                <w:szCs w:val="20"/>
                <w:color w:val="auto"/>
              </w:rPr>
            </w:pPr>
            <w:r>
              <w:rPr>
                <w:rFonts w:ascii="Arial" w:cs="Arial" w:eastAsia="Arial" w:hAnsi="Arial"/>
                <w:sz w:val="24"/>
                <w:szCs w:val="24"/>
                <w:b w:val="1"/>
                <w:bCs w:val="1"/>
                <w:color w:val="auto"/>
              </w:rPr>
              <w:t>Goldman, Sachs &amp; Co.</w:t>
            </w:r>
          </w:p>
        </w:tc>
      </w:tr>
      <w:tr>
        <w:trPr>
          <w:trHeight w:val="281"/>
        </w:trPr>
        <w:tc>
          <w:tcPr>
            <w:tcW w:w="2000" w:type="dxa"/>
            <w:vAlign w:val="bottom"/>
          </w:tcPr>
          <w:p>
            <w:pPr>
              <w:ind w:left="440"/>
              <w:spacing w:after="0"/>
              <w:rPr>
                <w:sz w:val="20"/>
                <w:szCs w:val="20"/>
                <w:color w:val="auto"/>
              </w:rPr>
            </w:pPr>
            <w:r>
              <w:rPr>
                <w:rFonts w:ascii="Arial" w:cs="Arial" w:eastAsia="Arial" w:hAnsi="Arial"/>
                <w:sz w:val="22"/>
                <w:szCs w:val="22"/>
                <w:b w:val="1"/>
                <w:bCs w:val="1"/>
                <w:color w:val="auto"/>
              </w:rPr>
              <w:t>Citigroup</w:t>
            </w:r>
          </w:p>
        </w:tc>
        <w:tc>
          <w:tcPr>
            <w:tcW w:w="4900" w:type="dxa"/>
            <w:vAlign w:val="bottom"/>
            <w:gridSpan w:val="2"/>
          </w:tcPr>
          <w:p>
            <w:pPr>
              <w:ind w:left="2060"/>
              <w:spacing w:after="0"/>
              <w:rPr>
                <w:sz w:val="20"/>
                <w:szCs w:val="20"/>
                <w:color w:val="auto"/>
              </w:rPr>
            </w:pPr>
            <w:r>
              <w:rPr>
                <w:rFonts w:ascii="Arial" w:cs="Arial" w:eastAsia="Arial" w:hAnsi="Arial"/>
                <w:sz w:val="22"/>
                <w:szCs w:val="22"/>
                <w:b w:val="1"/>
                <w:bCs w:val="1"/>
                <w:color w:val="auto"/>
              </w:rPr>
              <w:t>Wells Fargo Securities</w:t>
            </w:r>
          </w:p>
        </w:tc>
        <w:tc>
          <w:tcPr>
            <w:tcW w:w="1280" w:type="dxa"/>
            <w:vAlign w:val="bottom"/>
          </w:tcPr>
          <w:p>
            <w:pPr>
              <w:spacing w:after="0"/>
              <w:rPr>
                <w:sz w:val="24"/>
                <w:szCs w:val="24"/>
                <w:color w:val="auto"/>
              </w:rPr>
            </w:pPr>
          </w:p>
        </w:tc>
        <w:tc>
          <w:tcPr>
            <w:tcW w:w="3240" w:type="dxa"/>
            <w:vAlign w:val="bottom"/>
          </w:tcPr>
          <w:p>
            <w:pPr>
              <w:jc w:val="right"/>
              <w:ind w:right="434"/>
              <w:spacing w:after="0"/>
              <w:rPr>
                <w:sz w:val="20"/>
                <w:szCs w:val="20"/>
                <w:color w:val="auto"/>
              </w:rPr>
            </w:pPr>
            <w:r>
              <w:rPr>
                <w:rFonts w:ascii="Arial" w:cs="Arial" w:eastAsia="Arial" w:hAnsi="Arial"/>
                <w:sz w:val="22"/>
                <w:szCs w:val="22"/>
                <w:b w:val="1"/>
                <w:bCs w:val="1"/>
                <w:color w:val="auto"/>
              </w:rPr>
              <w:t>Barclays</w:t>
            </w:r>
          </w:p>
        </w:tc>
      </w:tr>
      <w:tr>
        <w:trPr>
          <w:trHeight w:val="231"/>
        </w:trPr>
        <w:tc>
          <w:tcPr>
            <w:tcW w:w="20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Arial" w:cs="Arial" w:eastAsia="Arial" w:hAnsi="Arial"/>
                <w:sz w:val="18"/>
                <w:szCs w:val="18"/>
                <w:i w:val="1"/>
                <w:iCs w:val="1"/>
                <w:color w:val="auto"/>
                <w:w w:val="89"/>
              </w:rPr>
              <w:t>Co-Managers</w:t>
            </w:r>
          </w:p>
        </w:tc>
        <w:tc>
          <w:tcPr>
            <w:tcW w:w="128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297"/>
        </w:trPr>
        <w:tc>
          <w:tcPr>
            <w:tcW w:w="2000" w:type="dxa"/>
            <w:vAlign w:val="bottom"/>
          </w:tcPr>
          <w:p>
            <w:pPr>
              <w:spacing w:after="0"/>
              <w:rPr>
                <w:sz w:val="24"/>
                <w:szCs w:val="24"/>
                <w:color w:val="auto"/>
              </w:rPr>
            </w:pPr>
          </w:p>
        </w:tc>
        <w:tc>
          <w:tcPr>
            <w:tcW w:w="4900" w:type="dxa"/>
            <w:vAlign w:val="bottom"/>
            <w:gridSpan w:val="2"/>
          </w:tcPr>
          <w:p>
            <w:pPr>
              <w:jc w:val="center"/>
              <w:ind w:left="1507"/>
              <w:spacing w:after="0"/>
              <w:rPr>
                <w:sz w:val="20"/>
                <w:szCs w:val="20"/>
                <w:color w:val="auto"/>
              </w:rPr>
            </w:pPr>
            <w:r>
              <w:rPr>
                <w:rFonts w:ascii="Arial" w:cs="Arial" w:eastAsia="Arial" w:hAnsi="Arial"/>
                <w:sz w:val="18"/>
                <w:szCs w:val="18"/>
                <w:color w:val="auto"/>
                <w:w w:val="87"/>
              </w:rPr>
              <w:t>The date of this prospectus is</w:t>
            </w:r>
          </w:p>
        </w:tc>
        <w:tc>
          <w:tcPr>
            <w:tcW w:w="1280" w:type="dxa"/>
            <w:vAlign w:val="bottom"/>
          </w:tcPr>
          <w:p>
            <w:pPr>
              <w:jc w:val="right"/>
              <w:ind w:right="892"/>
              <w:spacing w:after="0"/>
              <w:rPr>
                <w:sz w:val="20"/>
                <w:szCs w:val="20"/>
                <w:color w:val="auto"/>
              </w:rPr>
            </w:pPr>
            <w:r>
              <w:rPr>
                <w:rFonts w:ascii="Arial" w:cs="Arial" w:eastAsia="Arial" w:hAnsi="Arial"/>
                <w:sz w:val="18"/>
                <w:szCs w:val="18"/>
                <w:color w:val="auto"/>
              </w:rPr>
              <w:t>.</w:t>
            </w:r>
          </w:p>
        </w:tc>
        <w:tc>
          <w:tcPr>
            <w:tcW w:w="3240" w:type="dxa"/>
            <w:vAlign w:val="bottom"/>
          </w:tcPr>
          <w:p>
            <w:pPr>
              <w:spacing w:after="0"/>
              <w:rPr>
                <w:sz w:val="24"/>
                <w:szCs w:val="24"/>
                <w:color w:val="auto"/>
              </w:rPr>
            </w:pPr>
          </w:p>
        </w:tc>
      </w:tr>
    </w:tbl>
    <w:p>
      <w:pPr>
        <w:sectPr>
          <w:pgSz w:w="11900" w:h="16838" w:orient="portrait"/>
          <w:cols w:equalWidth="0" w:num="1">
            <w:col w:w="11420"/>
          </w:cols>
          <w:pgMar w:left="240" w:top="459" w:right="239" w:bottom="483"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not, and the underwriters have not, authorized anyone to give you any information other than in this prospectus,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 We will update these documents to reflect material changes only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20" w:type="dxa"/>
            <w:vAlign w:val="bottom"/>
            <w:gridSpan w:val="5"/>
          </w:tcPr>
          <w:p>
            <w:pPr>
              <w:ind w:left="60"/>
              <w:spacing w:after="0"/>
              <w:rPr>
                <w:sz w:val="20"/>
                <w:szCs w:val="20"/>
                <w:color w:val="auto"/>
              </w:rPr>
            </w:pPr>
            <w:r>
              <w:rPr>
                <w:rFonts w:ascii="Arial" w:cs="Arial" w:eastAsia="Arial" w:hAnsi="Arial"/>
                <w:sz w:val="18"/>
                <w:szCs w:val="18"/>
                <w:color w:val="auto"/>
              </w:rPr>
              <w:t>TABLE OF CONTENTS</w:t>
            </w:r>
          </w:p>
        </w:tc>
        <w:tc>
          <w:tcPr>
            <w:tcW w:w="1440" w:type="dxa"/>
            <w:vAlign w:val="bottom"/>
          </w:tcPr>
          <w:p>
            <w:pPr>
              <w:spacing w:after="0"/>
              <w:rPr>
                <w:sz w:val="19"/>
                <w:szCs w:val="19"/>
                <w:color w:val="auto"/>
              </w:rPr>
            </w:pPr>
          </w:p>
        </w:tc>
      </w:tr>
      <w:tr>
        <w:trPr>
          <w:trHeight w:val="380"/>
        </w:trPr>
        <w:tc>
          <w:tcPr>
            <w:tcW w:w="9880" w:type="dxa"/>
            <w:vAlign w:val="bottom"/>
            <w:gridSpan w:val="3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THE OFFERING SUMMARY</w:t>
              </w:r>
            </w:hyperlink>
          </w:p>
        </w:tc>
        <w:tc>
          <w:tcPr>
            <w:tcW w:w="7680" w:type="dxa"/>
            <w:vAlign w:val="bottom"/>
            <w:gridSpan w:val="1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7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FEES AND EXPENSES</w:t>
              </w:r>
            </w:hyperlink>
          </w:p>
        </w:tc>
        <w:tc>
          <w:tcPr>
            <w:tcW w:w="8120" w:type="dxa"/>
            <w:vAlign w:val="bottom"/>
            <w:gridSpan w:val="1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522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w:anchor="page50">
              <w:r>
                <w:rPr>
                  <w:rFonts w:ascii="Arial" w:cs="Arial" w:eastAsia="Arial" w:hAnsi="Arial"/>
                  <w:sz w:val="18"/>
                  <w:szCs w:val="18"/>
                  <w:color w:val="0000EE"/>
                  <w:w w:val="93"/>
                </w:rPr>
                <w:t>SPECIAL NOTE REGARDING FORWARD-LOOKING STATEMENTS</w:t>
              </w:r>
            </w:hyperlink>
          </w:p>
        </w:tc>
        <w:tc>
          <w:tcPr>
            <w:tcW w:w="4660" w:type="dxa"/>
            <w:vAlign w:val="bottom"/>
            <w:gridSpan w:val="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USE OF PROCEEDS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52">
              <w:r>
                <w:rPr>
                  <w:rFonts w:ascii="Arial" w:cs="Arial" w:eastAsia="Arial" w:hAnsi="Arial"/>
                  <w:sz w:val="18"/>
                  <w:szCs w:val="18"/>
                  <w:color w:val="0000EE"/>
                  <w:w w:val="94"/>
                </w:rPr>
                <w:t>DISTRIBUTIONS</w:t>
              </w:r>
            </w:hyperlink>
          </w:p>
        </w:tc>
        <w:tc>
          <w:tcPr>
            <w:tcW w:w="200" w:type="dxa"/>
            <w:vAlign w:val="bottom"/>
            <w:tcBorders>
              <w:top w:val="single" w:sz="8" w:color="0000EE"/>
            </w:tcBorders>
            <w:gridSpan w:val="4"/>
          </w:tcPr>
          <w:p>
            <w:pPr>
              <w:spacing w:after="0"/>
              <w:rPr>
                <w:sz w:val="17"/>
                <w:szCs w:val="17"/>
                <w:color w:val="auto"/>
              </w:rPr>
            </w:pPr>
          </w:p>
        </w:tc>
        <w:tc>
          <w:tcPr>
            <w:tcW w:w="8340" w:type="dxa"/>
            <w:vAlign w:val="bottom"/>
            <w:gridSpan w:val="21"/>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54">
              <w:r>
                <w:rPr>
                  <w:rFonts w:ascii="Arial" w:cs="Arial" w:eastAsia="Arial" w:hAnsi="Arial"/>
                  <w:sz w:val="18"/>
                  <w:szCs w:val="18"/>
                  <w:color w:val="0000EE"/>
                  <w:w w:val="97"/>
                </w:rPr>
                <w:t>CAPITALIZATION</w:t>
              </w:r>
            </w:hyperlink>
          </w:p>
        </w:tc>
        <w:tc>
          <w:tcPr>
            <w:tcW w:w="8440" w:type="dxa"/>
            <w:vAlign w:val="bottom"/>
            <w:gridSpan w:val="2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DILUTION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SELECTED FINANCIAL DATA AND OTHER INFORMATION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7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MANAGEMENT’S DISCUSSION AND ANALYSIS OF FINANCIAL CONDITION AND RESULTS OF OPERATIONS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87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SENIOR SECURITIES</w:t>
              </w:r>
            </w:hyperlink>
          </w:p>
        </w:tc>
        <w:tc>
          <w:tcPr>
            <w:tcW w:w="11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1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85">
              <w:r>
                <w:rPr>
                  <w:rFonts w:ascii="Arial" w:cs="Arial" w:eastAsia="Arial" w:hAnsi="Arial"/>
                  <w:sz w:val="18"/>
                  <w:szCs w:val="18"/>
                  <w:color w:val="0000EE"/>
                  <w:w w:val="93"/>
                </w:rPr>
                <w:t>THE COMPANY</w:t>
              </w:r>
            </w:hyperlink>
          </w:p>
        </w:tc>
        <w:tc>
          <w:tcPr>
            <w:tcW w:w="420" w:type="dxa"/>
            <w:vAlign w:val="bottom"/>
            <w:tcBorders>
              <w:top w:val="single" w:sz="8" w:color="0000EE"/>
            </w:tcBorders>
            <w:gridSpan w:val="7"/>
          </w:tcPr>
          <w:p>
            <w:pPr>
              <w:spacing w:after="0"/>
              <w:rPr>
                <w:sz w:val="17"/>
                <w:szCs w:val="17"/>
                <w:color w:val="auto"/>
              </w:rPr>
            </w:pPr>
          </w:p>
        </w:tc>
        <w:tc>
          <w:tcPr>
            <w:tcW w:w="8200" w:type="dxa"/>
            <w:vAlign w:val="bottom"/>
            <w:gridSpan w:val="2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PORTFOLIO COMPANIES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1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100">
              <w:r>
                <w:rPr>
                  <w:rFonts w:ascii="Arial" w:cs="Arial" w:eastAsia="Arial" w:hAnsi="Arial"/>
                  <w:sz w:val="18"/>
                  <w:szCs w:val="18"/>
                  <w:color w:val="0000EE"/>
                  <w:w w:val="97"/>
                </w:rPr>
                <w:t>MANAGEMENT</w:t>
              </w:r>
            </w:hyperlink>
          </w:p>
        </w:tc>
        <w:tc>
          <w:tcPr>
            <w:tcW w:w="760" w:type="dxa"/>
            <w:vAlign w:val="bottom"/>
            <w:tcBorders>
              <w:top w:val="single" w:sz="8" w:color="0000EE"/>
            </w:tcBorders>
            <w:gridSpan w:val="8"/>
          </w:tcPr>
          <w:p>
            <w:pPr>
              <w:spacing w:after="0"/>
              <w:rPr>
                <w:sz w:val="17"/>
                <w:szCs w:val="17"/>
                <w:color w:val="auto"/>
              </w:rPr>
            </w:pPr>
          </w:p>
        </w:tc>
        <w:tc>
          <w:tcPr>
            <w:tcW w:w="7840" w:type="dxa"/>
            <w:vAlign w:val="bottom"/>
            <w:gridSpan w:val="18"/>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356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111">
              <w:r>
                <w:rPr>
                  <w:rFonts w:ascii="Arial" w:cs="Arial" w:eastAsia="Arial" w:hAnsi="Arial"/>
                  <w:sz w:val="18"/>
                  <w:szCs w:val="18"/>
                  <w:color w:val="0000EE"/>
                  <w:w w:val="95"/>
                </w:rPr>
                <w:t>MANAGEMENT AND OTHER AGREEMENTS</w:t>
              </w:r>
            </w:hyperlink>
          </w:p>
        </w:tc>
        <w:tc>
          <w:tcPr>
            <w:tcW w:w="6320" w:type="dxa"/>
            <w:vAlign w:val="bottom"/>
            <w:gridSpan w:val="1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RELATED-PARTY TRANSACTIONS AND CERTAIN RELATIONSHIPS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444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2"/>
              </w:rPr>
            </w:pPr>
            <w:hyperlink w:anchor="page124">
              <w:r>
                <w:rPr>
                  <w:rFonts w:ascii="Arial" w:cs="Arial" w:eastAsia="Arial" w:hAnsi="Arial"/>
                  <w:sz w:val="18"/>
                  <w:szCs w:val="18"/>
                  <w:color w:val="0000EE"/>
                  <w:w w:val="92"/>
                </w:rPr>
                <w:t>CONTROL PERSONS AND PRINCIPAL STOCKHOLDERS</w:t>
              </w:r>
            </w:hyperlink>
          </w:p>
        </w:tc>
        <w:tc>
          <w:tcPr>
            <w:tcW w:w="920" w:type="dxa"/>
            <w:vAlign w:val="bottom"/>
            <w:tcBorders>
              <w:top w:val="single" w:sz="8" w:color="0000EE"/>
            </w:tcBorders>
            <w:gridSpan w:val="5"/>
          </w:tcPr>
          <w:p>
            <w:pPr>
              <w:spacing w:after="0"/>
              <w:rPr>
                <w:sz w:val="17"/>
                <w:szCs w:val="17"/>
                <w:color w:val="auto"/>
              </w:rPr>
            </w:pPr>
          </w:p>
        </w:tc>
        <w:tc>
          <w:tcPr>
            <w:tcW w:w="4520" w:type="dxa"/>
            <w:vAlign w:val="bottom"/>
            <w:gridSpan w:val="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330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128">
              <w:r>
                <w:rPr>
                  <w:rFonts w:ascii="Arial" w:cs="Arial" w:eastAsia="Arial" w:hAnsi="Arial"/>
                  <w:sz w:val="18"/>
                  <w:szCs w:val="18"/>
                  <w:color w:val="0000EE"/>
                  <w:w w:val="94"/>
                </w:rPr>
                <w:t>DETERMINATION OF NET ASSET VALUE</w:t>
              </w:r>
            </w:hyperlink>
          </w:p>
        </w:tc>
        <w:tc>
          <w:tcPr>
            <w:tcW w:w="6580" w:type="dxa"/>
            <w:vAlign w:val="bottom"/>
            <w:gridSpan w:val="11"/>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196"/>
        </w:trPr>
        <w:tc>
          <w:tcPr>
            <w:tcW w:w="276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129">
              <w:r>
                <w:rPr>
                  <w:rFonts w:ascii="Arial" w:cs="Arial" w:eastAsia="Arial" w:hAnsi="Arial"/>
                  <w:sz w:val="18"/>
                  <w:szCs w:val="18"/>
                  <w:color w:val="0000EE"/>
                  <w:w w:val="96"/>
                </w:rPr>
                <w:t>DIVIDEND REINVESTMENT PLAN</w:t>
              </w:r>
            </w:hyperlink>
          </w:p>
        </w:tc>
        <w:tc>
          <w:tcPr>
            <w:tcW w:w="7120" w:type="dxa"/>
            <w:vAlign w:val="bottom"/>
            <w:gridSpan w:val="1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196"/>
        </w:trPr>
        <w:tc>
          <w:tcPr>
            <w:tcW w:w="476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w:anchor="page131">
              <w:r>
                <w:rPr>
                  <w:rFonts w:ascii="Arial" w:cs="Arial" w:eastAsia="Arial" w:hAnsi="Arial"/>
                  <w:sz w:val="18"/>
                  <w:szCs w:val="18"/>
                  <w:color w:val="0000EE"/>
                  <w:w w:val="94"/>
                </w:rPr>
                <w:t>MATERIAL U.S. FEDERAL INCOME TAX CONSIDERATIONS</w:t>
              </w:r>
            </w:hyperlink>
          </w:p>
        </w:tc>
        <w:tc>
          <w:tcPr>
            <w:tcW w:w="5120" w:type="dxa"/>
            <w:vAlign w:val="bottom"/>
            <w:gridSpan w:val="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196"/>
        </w:trPr>
        <w:tc>
          <w:tcPr>
            <w:tcW w:w="322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139">
              <w:r>
                <w:rPr>
                  <w:rFonts w:ascii="Arial" w:cs="Arial" w:eastAsia="Arial" w:hAnsi="Arial"/>
                  <w:sz w:val="18"/>
                  <w:szCs w:val="18"/>
                  <w:color w:val="0000EE"/>
                  <w:w w:val="92"/>
                </w:rPr>
                <w:t>DESCRIPTION OF OUR CAPITAL STOCK</w:t>
              </w:r>
            </w:hyperlink>
          </w:p>
        </w:tc>
        <w:tc>
          <w:tcPr>
            <w:tcW w:w="6660" w:type="dxa"/>
            <w:vAlign w:val="bottom"/>
            <w:gridSpan w:val="1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45">
              <w:r>
                <w:rPr>
                  <w:rFonts w:ascii="Arial" w:cs="Arial" w:eastAsia="Arial" w:hAnsi="Arial"/>
                  <w:sz w:val="18"/>
                  <w:szCs w:val="18"/>
                  <w:color w:val="0000EE"/>
                  <w:w w:val="93"/>
                </w:rPr>
                <w:t>REGULATION</w:t>
              </w:r>
            </w:hyperlink>
          </w:p>
        </w:tc>
        <w:tc>
          <w:tcPr>
            <w:tcW w:w="8760" w:type="dxa"/>
            <w:vAlign w:val="bottom"/>
            <w:gridSpan w:val="2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SHARES ELIGIBLE FOR FUTURE SALE</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31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UNDERWRITING</w:t>
              </w:r>
            </w:hyperlink>
          </w:p>
        </w:tc>
        <w:tc>
          <w:tcPr>
            <w:tcW w:w="6780" w:type="dxa"/>
            <w:vAlign w:val="bottom"/>
            <w:gridSpan w:val="1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CUSTODIAN, TRANSFER AND DIVIDEND PAYING AGENT AND REGISTRAR</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196"/>
        </w:trPr>
        <w:tc>
          <w:tcPr>
            <w:tcW w:w="42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4"/>
              </w:rPr>
            </w:pPr>
            <w:hyperlink w:anchor="page161">
              <w:r>
                <w:rPr>
                  <w:rFonts w:ascii="Arial" w:cs="Arial" w:eastAsia="Arial" w:hAnsi="Arial"/>
                  <w:sz w:val="18"/>
                  <w:szCs w:val="18"/>
                  <w:color w:val="0000EE"/>
                  <w:w w:val="94"/>
                </w:rPr>
                <w:t>BROKERAGE ALLOCATION AND OTHER PRACTICES</w:t>
              </w:r>
            </w:hyperlink>
          </w:p>
        </w:tc>
        <w:tc>
          <w:tcPr>
            <w:tcW w:w="1800" w:type="dxa"/>
            <w:vAlign w:val="bottom"/>
            <w:tcBorders>
              <w:top w:val="single" w:sz="8" w:color="0000EE"/>
            </w:tcBorders>
            <w:gridSpan w:val="7"/>
          </w:tcPr>
          <w:p>
            <w:pPr>
              <w:spacing w:after="0"/>
              <w:rPr>
                <w:sz w:val="17"/>
                <w:szCs w:val="17"/>
                <w:color w:val="auto"/>
              </w:rPr>
            </w:pPr>
          </w:p>
        </w:tc>
        <w:tc>
          <w:tcPr>
            <w:tcW w:w="3800" w:type="dxa"/>
            <w:vAlign w:val="bottom"/>
            <w:gridSpan w:val="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LEGAL MATTERS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61">
              <w:r>
                <w:rPr>
                  <w:rFonts w:ascii="Arial" w:cs="Arial" w:eastAsia="Arial" w:hAnsi="Arial"/>
                  <w:sz w:val="18"/>
                  <w:szCs w:val="18"/>
                  <w:color w:val="0000EE"/>
                  <w:w w:val="88"/>
                </w:rPr>
                <w:t>EXPERTS</w:t>
              </w:r>
            </w:hyperlink>
          </w:p>
        </w:tc>
        <w:tc>
          <w:tcPr>
            <w:tcW w:w="660" w:type="dxa"/>
            <w:vAlign w:val="bottom"/>
            <w:tcBorders>
              <w:top w:val="single" w:sz="8" w:color="0000EE"/>
            </w:tcBorders>
            <w:gridSpan w:val="8"/>
          </w:tcPr>
          <w:p>
            <w:pPr>
              <w:spacing w:after="0"/>
              <w:rPr>
                <w:sz w:val="17"/>
                <w:szCs w:val="17"/>
                <w:color w:val="auto"/>
              </w:rPr>
            </w:pPr>
          </w:p>
        </w:tc>
        <w:tc>
          <w:tcPr>
            <w:tcW w:w="8460" w:type="dxa"/>
            <w:vAlign w:val="bottom"/>
            <w:gridSpan w:val="2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AVAILABLE INFORMATION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159</w:t>
            </w:r>
          </w:p>
        </w:tc>
      </w:tr>
      <w:tr>
        <w:trPr>
          <w:trHeight w:val="20"/>
        </w:trPr>
        <w:tc>
          <w:tcPr>
            <w:tcW w:w="2220" w:type="dxa"/>
            <w:vAlign w:val="bottom"/>
            <w:gridSpan w:val="16"/>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163">
              <w:r>
                <w:rPr>
                  <w:rFonts w:ascii="Arial" w:cs="Arial" w:eastAsia="Arial" w:hAnsi="Arial"/>
                  <w:sz w:val="18"/>
                  <w:szCs w:val="18"/>
                  <w:color w:val="0000EE"/>
                  <w:w w:val="95"/>
                </w:rPr>
                <w:t>INDEX TO FINANCIAL STATEMENTS</w:t>
              </w:r>
            </w:hyperlink>
          </w:p>
        </w:tc>
        <w:tc>
          <w:tcPr>
            <w:tcW w:w="6900" w:type="dxa"/>
            <w:vAlign w:val="bottom"/>
            <w:gridSpan w:val="1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196"/>
        </w:trPr>
        <w:tc>
          <w:tcPr>
            <w:tcW w:w="446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w:anchor="page221">
              <w:r>
                <w:rPr>
                  <w:rFonts w:ascii="Arial" w:cs="Arial" w:eastAsia="Arial" w:hAnsi="Arial"/>
                  <w:sz w:val="18"/>
                  <w:szCs w:val="18"/>
                  <w:color w:val="0000EE"/>
                  <w:w w:val="92"/>
                </w:rPr>
                <w:t>APPENDIX A – DESCRIPTION OF SECURITIES RATINGS</w:t>
              </w:r>
            </w:hyperlink>
          </w:p>
        </w:tc>
        <w:tc>
          <w:tcPr>
            <w:tcW w:w="5420" w:type="dxa"/>
            <w:vAlign w:val="bottom"/>
            <w:gridSpan w:val="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i w:val="1"/>
          <w:iCs w:val="1"/>
          <w:color w:val="auto"/>
        </w:rPr>
        <w:t>This summary highlights some of the information in this prospectus. It is not complete and may not contain all of the information that you may want to consider. You should read this entire prospectus carefully. In particular, you should read the more detailed information set forth under “Risk Factors” and the consolidated financial statements and the related notes included elsewhere in this prospectus.</w:t>
      </w:r>
    </w:p>
    <w:p>
      <w:pPr>
        <w:spacing w:after="0" w:line="86" w:lineRule="exact"/>
        <w:rPr>
          <w:sz w:val="20"/>
          <w:szCs w:val="20"/>
          <w:color w:val="auto"/>
        </w:rPr>
      </w:pPr>
    </w:p>
    <w:p>
      <w:pPr>
        <w:ind w:left="200" w:right="200" w:firstLine="443"/>
        <w:spacing w:after="0" w:line="256" w:lineRule="auto"/>
        <w:rPr>
          <w:sz w:val="20"/>
          <w:szCs w:val="20"/>
          <w:color w:val="auto"/>
        </w:rPr>
      </w:pPr>
      <w:r>
        <w:rPr>
          <w:rFonts w:ascii="Arial" w:cs="Arial" w:eastAsia="Arial" w:hAnsi="Arial"/>
          <w:sz w:val="18"/>
          <w:szCs w:val="18"/>
          <w:i w:val="1"/>
          <w:iCs w:val="1"/>
          <w:color w:val="auto"/>
        </w:rPr>
        <w:t>As used in this prospectus, except where the context suggests otherwise, the terms “TSL,” “we,” “us,” “our,” “the Company” and the “Registrant” refer to TPG Specialty Lending, Inc., a Delaware corporation, and its consolidated subsidiaries. The term “Adviser” refers to TSL Advisers, LLC, a Delaware limited liability company. The term “TSSP” refers to TPG Special Situations Partners. The term “TPG” refers to TPG Global, LLC and its affiliates.</w:t>
      </w:r>
    </w:p>
    <w:p>
      <w:pPr>
        <w:spacing w:after="0" w:line="89" w:lineRule="exact"/>
        <w:rPr>
          <w:sz w:val="20"/>
          <w:szCs w:val="20"/>
          <w:color w:val="auto"/>
        </w:rPr>
      </w:pPr>
    </w:p>
    <w:p>
      <w:pPr>
        <w:ind w:left="200" w:right="140" w:firstLine="443"/>
        <w:spacing w:after="0" w:line="259"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Unless indicated otherwise or the context suggests otherwise, all information in this prospectus:</w:t>
      </w:r>
    </w:p>
    <w:p>
      <w:pPr>
        <w:spacing w:after="0" w:line="77"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assumes no exercise of the underwriters’ option to purchase additional shares of our common stock to cover over-allotments; and</w:t>
      </w:r>
    </w:p>
    <w:p>
      <w:pPr>
        <w:spacing w:after="0" w:line="99" w:lineRule="exact"/>
        <w:rPr>
          <w:rFonts w:ascii="Arial" w:cs="Arial" w:eastAsia="Arial" w:hAnsi="Arial"/>
          <w:sz w:val="16"/>
          <w:szCs w:val="16"/>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gives effect to our stock split in the form of a stock dividend on December 5, 2013, as described under “—Stock Split.”</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96" w:lineRule="exact"/>
        <w:rPr>
          <w:sz w:val="20"/>
          <w:szCs w:val="20"/>
          <w:color w:val="auto"/>
        </w:rPr>
      </w:pPr>
    </w:p>
    <w:p>
      <w:pPr>
        <w:ind w:left="200" w:right="120" w:firstLine="443"/>
        <w:spacing w:after="0" w:line="290"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we have originated more than $2.0 billion aggregate principal amount of investments and retained more than $1.3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18" w:lineRule="exact"/>
        <w:rPr>
          <w:sz w:val="20"/>
          <w:szCs w:val="20"/>
          <w:color w:val="auto"/>
        </w:rPr>
      </w:pPr>
    </w:p>
    <w:p>
      <w:pPr>
        <w:ind w:left="200" w:firstLine="443"/>
        <w:spacing w:after="0" w:line="33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administration fees.</w:t>
      </w:r>
    </w:p>
    <w:p>
      <w:pPr>
        <w:spacing w:after="0" w:line="85" w:lineRule="exact"/>
        <w:rPr>
          <w:sz w:val="20"/>
          <w:szCs w:val="20"/>
          <w:color w:val="auto"/>
        </w:rPr>
      </w:pPr>
    </w:p>
    <w:p>
      <w:pPr>
        <w:jc w:val="both"/>
        <w:ind w:left="200" w:right="180" w:firstLine="443"/>
        <w:spacing w:after="0" w:line="259" w:lineRule="auto"/>
        <w:rPr>
          <w:sz w:val="20"/>
          <w:szCs w:val="20"/>
          <w:color w:val="auto"/>
        </w:rPr>
      </w:pPr>
      <w:r>
        <w:rPr>
          <w:rFonts w:ascii="Arial" w:cs="Arial" w:eastAsia="Arial" w:hAnsi="Arial"/>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believe we will be one of the largest BDCs by total assets at the time of an initial public offering.</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96" w:lineRule="exact"/>
        <w:rPr>
          <w:sz w:val="20"/>
          <w:szCs w:val="20"/>
          <w:color w:val="auto"/>
        </w:rPr>
      </w:pPr>
    </w:p>
    <w:p>
      <w:pPr>
        <w:ind w:left="200" w:right="220" w:firstLine="443"/>
        <w:spacing w:after="0" w:line="298"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9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6896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60"/>
        <w:spacing w:after="0" w:line="298" w:lineRule="auto"/>
        <w:rPr>
          <w:sz w:val="20"/>
          <w:szCs w:val="20"/>
          <w:color w:val="auto"/>
        </w:rPr>
      </w:pPr>
      <w:r>
        <w:rPr>
          <w:rFonts w:ascii="Arial" w:cs="Arial" w:eastAsia="Arial" w:hAnsi="Arial"/>
          <w:sz w:val="16"/>
          <w:szCs w:val="16"/>
          <w:color w:val="auto"/>
        </w:rPr>
        <w:t>corporate bonds with similar features to these categories of first-lien loans. Our second-lien debt may include secured loans, and, to a lesser extent, secured corporate bonds, with a secondary priority behind first-lien debt. Based on fair value as of September 30, 2013, our portfolio consisted of 90.4% first-lien debt, 9.4% second-lien debt and 0.2% equity securities. Approximately 98.5% of our investments based on fair value as of September 30, 2013 are floating rate in nature, which we believe helps act as a portfolio-wide hedge against inflation.</w:t>
      </w:r>
    </w:p>
    <w:p>
      <w:pPr>
        <w:spacing w:after="0" w:line="113" w:lineRule="exact"/>
        <w:rPr>
          <w:sz w:val="20"/>
          <w:szCs w:val="20"/>
          <w:color w:val="auto"/>
        </w:rPr>
      </w:pPr>
    </w:p>
    <w:p>
      <w:pPr>
        <w:ind w:left="200" w:right="100" w:firstLine="443"/>
        <w:spacing w:after="0" w:line="256" w:lineRule="auto"/>
        <w:rPr>
          <w:sz w:val="20"/>
          <w:szCs w:val="20"/>
          <w:color w:val="auto"/>
        </w:rPr>
      </w:pPr>
      <w:r>
        <w:rPr>
          <w:rFonts w:ascii="Arial" w:cs="Arial" w:eastAsia="Arial" w:hAnsi="Arial"/>
          <w:sz w:val="18"/>
          <w:szCs w:val="18"/>
          <w:color w:val="auto"/>
        </w:rPr>
        <w:t>As of September 30, 2013, our porfolio was invested across 15 different industries. The largest industries in our portfolio based on fair value as of September 30, 2013 were healthcare and pharmaceuticals, which represented 15.5% of our portfolio, and business services, which represented 14.2% of our portfolio. We expect that no single investment will represent more than 15% of our total investment portfolio, based on fair value. See “Portfolio Companies” for more information on our portfolio as of September 30, 2013.</w:t>
      </w:r>
    </w:p>
    <w:p>
      <w:pPr>
        <w:spacing w:after="0" w:line="143"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As of September 30, 2013, we had 29 investments in 25 portfolio companies with an aggregate fair value of $889.3 million. During the nine months ended September 30, 2013, we invested $352.6 million aggregate principal amount in eleven new portfolio companies and invested $53.1 million aggregate principal amount in ten existing portfolio companies. During this period, we had $160.4 million aggregate principal amount in exits and repayments resulting in net portfolio growth of $245.3 million aggregate principal amount.</w:t>
      </w:r>
    </w:p>
    <w:p>
      <w:pPr>
        <w:spacing w:after="0" w:line="143" w:lineRule="exact"/>
        <w:rPr>
          <w:sz w:val="20"/>
          <w:szCs w:val="20"/>
          <w:color w:val="auto"/>
        </w:rPr>
      </w:pPr>
    </w:p>
    <w:p>
      <w:pPr>
        <w:ind w:left="200" w:right="140" w:firstLine="443"/>
        <w:spacing w:after="0" w:line="256" w:lineRule="auto"/>
        <w:rPr>
          <w:sz w:val="20"/>
          <w:szCs w:val="20"/>
          <w:color w:val="auto"/>
        </w:rPr>
      </w:pPr>
      <w:r>
        <w:rPr>
          <w:rFonts w:ascii="Arial" w:cs="Arial" w:eastAsia="Arial" w:hAnsi="Arial"/>
          <w:sz w:val="18"/>
          <w:szCs w:val="18"/>
          <w:color w:val="auto"/>
        </w:rPr>
        <w:t>As of December 31, 2012, we had investments in 21 portfolio companies with an aggregate fair value of $653.9 million. For the year ended December 31, 2012, we invested $553.6 million aggregate principal amount in 19 new portfolio companies and invested $127.0 million aggregate principal amount in 13 existing portfolio companies. During this period, we had $200.7 million aggregate principal amount in exits and repayments resulting in net portfolio growth of $479.9 million aggregate principal amount.</w:t>
      </w:r>
    </w:p>
    <w:p>
      <w:pPr>
        <w:spacing w:after="0" w:line="143"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Since we began investing in 2011 through September 30, 2013, our exited investments have resulted in an aggregate cash flow realized gross internal rate of return to us of approximately 17.5% (based on cash invested of approximately $329 million and total proceeds from these exited investments of approximately $373 million). Approximately 79%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96" w:lineRule="exact"/>
        <w:rPr>
          <w:sz w:val="20"/>
          <w:szCs w:val="20"/>
          <w:color w:val="auto"/>
        </w:rPr>
      </w:pPr>
    </w:p>
    <w:p>
      <w:pPr>
        <w:ind w:left="200" w:right="800" w:firstLine="443"/>
        <w:spacing w:after="0" w:line="268" w:lineRule="auto"/>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 We make our investments either directly or through our wholly owned subsidiaries.</w:t>
      </w:r>
    </w:p>
    <w:p>
      <w:pPr>
        <w:spacing w:after="0" w:line="132"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w:t>
      </w:r>
      <w:r>
        <w:rPr>
          <w:rFonts w:ascii="Arial" w:cs="Arial" w:eastAsia="Arial" w:hAnsi="Arial"/>
          <w:sz w:val="18"/>
          <w:szCs w:val="18"/>
          <w:i w:val="1"/>
          <w:iCs w:val="1"/>
          <w:color w:val="auto"/>
        </w:rPr>
        <w:t>”</w:t>
      </w:r>
      <w:r>
        <w:rPr>
          <w:rFonts w:ascii="Arial" w:cs="Arial" w:eastAsia="Arial" w:hAnsi="Arial"/>
          <w:sz w:val="18"/>
          <w:szCs w:val="18"/>
          <w:color w:val="auto"/>
        </w:rPr>
        <w:t xml:space="preserve"> for more information on these requirements.</w:t>
      </w:r>
    </w:p>
    <w:p>
      <w:pPr>
        <w:spacing w:after="0" w:line="140"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To date, we have conducted private offerings of our common stock to investors in reliance on exemptions from certain registration requirements of the U.S. Securities Act of 1933, as amended, or the Securities Act, and other applicable securities laws. At the closing of each private offering, investors made capital commitments to purchase our common stock from time to time at net asset value. The majority of our existing investors, as measured by total capital commitments, are participants in our dividend reinvestment plan.</w:t>
      </w:r>
    </w:p>
    <w:p>
      <w:pPr>
        <w:spacing w:after="0" w:line="143" w:lineRule="exact"/>
        <w:rPr>
          <w:sz w:val="20"/>
          <w:szCs w:val="20"/>
          <w:color w:val="auto"/>
        </w:rPr>
      </w:pPr>
    </w:p>
    <w:p>
      <w:pPr>
        <w:ind w:left="200" w:right="620" w:firstLine="443"/>
        <w:spacing w:after="0" w:line="268" w:lineRule="auto"/>
        <w:rPr>
          <w:sz w:val="20"/>
          <w:szCs w:val="20"/>
          <w:color w:val="auto"/>
        </w:rPr>
      </w:pPr>
      <w:r>
        <w:rPr>
          <w:rFonts w:ascii="Arial" w:cs="Arial" w:eastAsia="Arial" w:hAnsi="Arial"/>
          <w:sz w:val="18"/>
          <w:szCs w:val="18"/>
          <w:color w:val="auto"/>
        </w:rPr>
        <w:t>On January 31, 2013, we reached a $1.5 billion cap on private offering commitments with our investors, which includes a $100 million capital commitment by the Adviser. We have drawn $517 million of these capital</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00"/>
        <w:spacing w:after="0" w:line="335" w:lineRule="auto"/>
        <w:rPr>
          <w:sz w:val="20"/>
          <w:szCs w:val="20"/>
          <w:color w:val="auto"/>
        </w:rPr>
      </w:pPr>
      <w:r>
        <w:rPr>
          <w:rFonts w:ascii="Arial" w:cs="Arial" w:eastAsia="Arial" w:hAnsi="Arial"/>
          <w:sz w:val="15"/>
          <w:szCs w:val="15"/>
          <w:color w:val="auto"/>
        </w:rPr>
        <w:t>commitments as of September 30, 2013, which has been further augmented by reinvestments under our dividend reinvestment plan. Our existing investors’ obligations to purchase additional shares from the undrawn portion of their capital commitments will terminate upon the completion of this initial public offering, or IPO. We have no obligation under the subscription agreements to sell common stock to existing stockholders in connection with the IPO.</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chart depicts our ownership structure after giving effect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96" w:lineRule="exact"/>
        <w:rPr>
          <w:sz w:val="20"/>
          <w:szCs w:val="20"/>
          <w:color w:val="auto"/>
        </w:rPr>
      </w:pPr>
    </w:p>
    <w:p>
      <w:pPr>
        <w:ind w:left="200" w:right="360" w:firstLine="443"/>
        <w:spacing w:after="0" w:line="332" w:lineRule="auto"/>
        <w:rPr>
          <w:sz w:val="20"/>
          <w:szCs w:val="20"/>
          <w:color w:val="auto"/>
        </w:rPr>
      </w:pPr>
      <w:r>
        <w:rPr>
          <w:rFonts w:ascii="Arial" w:cs="Arial" w:eastAsia="Arial" w:hAnsi="Arial"/>
          <w:sz w:val="16"/>
          <w:szCs w:val="16"/>
          <w:color w:val="auto"/>
        </w:rPr>
        <w:t>Our Adviser is a Delaware limited liability company. Our Adviser acts as our investment adviser and administrator and is a registered investment adviser with the Securities and Exchange Commission, or the SEC, under the Investment Advisers Act of 1940, as amended, or the Advisers Act.</w:t>
      </w:r>
    </w:p>
    <w:p>
      <w:pPr>
        <w:spacing w:after="0" w:line="85"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or the Investment Review Committee, which includes senior personnel of TSSP and TPG.</w:t>
      </w:r>
    </w:p>
    <w:p>
      <w:pPr>
        <w:spacing w:after="0" w:line="143" w:lineRule="exact"/>
        <w:rPr>
          <w:sz w:val="20"/>
          <w:szCs w:val="20"/>
          <w:color w:val="auto"/>
        </w:rPr>
      </w:pPr>
    </w:p>
    <w:p>
      <w:pPr>
        <w:ind w:left="200" w:right="40" w:firstLine="443"/>
        <w:spacing w:after="0" w:line="294" w:lineRule="auto"/>
        <w:rPr>
          <w:sz w:val="20"/>
          <w:szCs w:val="20"/>
          <w:color w:val="auto"/>
        </w:rPr>
      </w:pPr>
      <w:r>
        <w:rPr>
          <w:rFonts w:ascii="Arial" w:cs="Arial" w:eastAsia="Arial" w:hAnsi="Arial"/>
          <w:sz w:val="16"/>
          <w:szCs w:val="16"/>
          <w:color w:val="auto"/>
        </w:rPr>
        <w:t>TSSP, which encompasses TPG Specialty Lending, TPG Opportunities Partners and TPG Institutional Credit Partners, is TPG’s special situations and credit platform. TSSP had over $6 billion of assets under management as of September 30, 2013. TSSP has extensive experience with highly complex, global public and private investments executed through primary originations, secondary market purchases and restructurings, and has a team of 81 investment and operating professionals. Eighteen of these personnel are dedicated to our business, including 14 investment professionals. The TSSP members of the Investment Review Committee are Joshua Easterly, Michael Fishman, Alan Waxman and David Stiepleman.</w:t>
      </w:r>
    </w:p>
    <w:p>
      <w:pPr>
        <w:spacing w:after="0" w:line="116" w:lineRule="exact"/>
        <w:rPr>
          <w:sz w:val="20"/>
          <w:szCs w:val="20"/>
          <w:color w:val="auto"/>
        </w:rPr>
      </w:pPr>
    </w:p>
    <w:p>
      <w:pPr>
        <w:ind w:left="200" w:right="60" w:firstLine="443"/>
        <w:spacing w:after="0" w:line="291" w:lineRule="auto"/>
        <w:rPr>
          <w:sz w:val="20"/>
          <w:szCs w:val="20"/>
          <w:color w:val="auto"/>
        </w:rPr>
      </w:pPr>
      <w:r>
        <w:rPr>
          <w:rFonts w:ascii="Arial" w:cs="Arial" w:eastAsia="Arial" w:hAnsi="Arial"/>
          <w:sz w:val="16"/>
          <w:szCs w:val="16"/>
          <w:color w:val="auto"/>
        </w:rPr>
        <w:t>TPG is a leading global private investment firm founded in 1992 with over $55 billion of assets under management as of September 30, 2013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w:t>
      </w:r>
    </w:p>
    <w:p>
      <w:pPr>
        <w:spacing w:after="0" w:line="28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46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3467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43"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September 30, 2013, our Adviser owned 6.4% of our common stock and had committed $100 million in equity capital under a subscription agreement like those entered into with our existing investors. See “Management,” “Related-Party Transactions and Certain Relationships” and “Control Persons and Principal Stockholders.”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240" w:firstLine="443"/>
        <w:spacing w:after="0" w:line="332" w:lineRule="auto"/>
        <w:rPr>
          <w:sz w:val="20"/>
          <w:szCs w:val="20"/>
          <w:color w:val="auto"/>
        </w:rPr>
      </w:pPr>
      <w:r>
        <w:rPr>
          <w:rFonts w:ascii="Arial" w:cs="Arial" w:eastAsia="Arial" w:hAnsi="Arial"/>
          <w:sz w:val="16"/>
          <w:szCs w:val="16"/>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85" w:lineRule="exact"/>
        <w:rPr>
          <w:sz w:val="20"/>
          <w:szCs w:val="20"/>
          <w:color w:val="auto"/>
        </w:rPr>
      </w:pPr>
    </w:p>
    <w:p>
      <w:pPr>
        <w:ind w:left="200" w:right="40" w:firstLine="443"/>
        <w:spacing w:after="0" w:line="288" w:lineRule="auto"/>
        <w:rPr>
          <w:sz w:val="20"/>
          <w:szCs w:val="20"/>
          <w:color w:val="auto"/>
        </w:rPr>
      </w:pPr>
      <w:r>
        <w:rPr>
          <w:rFonts w:ascii="Arial" w:cs="Arial" w:eastAsia="Arial" w:hAnsi="Arial"/>
          <w:sz w:val="16"/>
          <w:szCs w:val="16"/>
          <w:i w:val="1"/>
          <w:iCs w:val="1"/>
          <w:color w:val="auto"/>
        </w:rPr>
        <w:t>Limited availability of capital for middle-market companies</w:t>
      </w:r>
      <w:r>
        <w:rPr>
          <w:rFonts w:ascii="Arial" w:cs="Arial" w:eastAsia="Arial" w:hAnsi="Arial"/>
          <w:sz w:val="16"/>
          <w:szCs w:val="16"/>
          <w:color w:val="auto"/>
        </w:rPr>
        <w:t>. We believe that certain structural changes in the market have reduced the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Federal Deposit Insurance Corporation, or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20" w:lineRule="exact"/>
        <w:rPr>
          <w:sz w:val="20"/>
          <w:szCs w:val="20"/>
          <w:color w:val="auto"/>
        </w:rPr>
      </w:pPr>
    </w:p>
    <w:p>
      <w:pPr>
        <w:ind w:left="200" w:right="40" w:firstLine="443"/>
        <w:spacing w:after="0" w:line="323" w:lineRule="auto"/>
        <w:rPr>
          <w:sz w:val="20"/>
          <w:szCs w:val="20"/>
          <w:color w:val="auto"/>
        </w:rPr>
      </w:pPr>
      <w:r>
        <w:rPr>
          <w:rFonts w:ascii="Arial" w:cs="Arial" w:eastAsia="Arial" w:hAnsi="Arial"/>
          <w:sz w:val="15"/>
          <w:szCs w:val="15"/>
          <w:i w:val="1"/>
          <w:iCs w:val="1"/>
          <w:color w:val="auto"/>
        </w:rPr>
        <w:t>Strong demand for debt capital</w:t>
      </w:r>
      <w:r>
        <w:rPr>
          <w:rFonts w:ascii="Arial" w:cs="Arial" w:eastAsia="Arial" w:hAnsi="Arial"/>
          <w:sz w:val="15"/>
          <w:szCs w:val="15"/>
          <w:color w:val="auto"/>
        </w:rPr>
        <w:t>. We believe middle-market companies will continue to require access to debt capital to refinance existing debt, support</w:t>
      </w:r>
      <w:r>
        <w:rPr>
          <w:rFonts w:ascii="Arial" w:cs="Arial" w:eastAsia="Arial" w:hAnsi="Arial"/>
          <w:sz w:val="15"/>
          <w:szCs w:val="15"/>
          <w:i w:val="1"/>
          <w:iCs w:val="1"/>
          <w:color w:val="auto"/>
        </w:rPr>
        <w:t xml:space="preserve"> </w:t>
      </w:r>
      <w:r>
        <w:rPr>
          <w:rFonts w:ascii="Arial" w:cs="Arial" w:eastAsia="Arial" w:hAnsi="Arial"/>
          <w:sz w:val="15"/>
          <w:szCs w:val="15"/>
          <w:color w:val="auto"/>
        </w:rPr>
        <w:t>growth and finance acquisitions. In addition, we believe the large amount of uninvested capital held by funds of private equity firms, estimated by Preqin Ltd., an alternative assets industry data and research company, at $389 billion as of October 2013, will continue to drive deal activity. We expect that private equity firms will continue to pursue acquisitions and to seek to leverage their equity investments with secured loans provided by companies such as ours.</w:t>
      </w:r>
    </w:p>
    <w:p>
      <w:pPr>
        <w:spacing w:after="0" w:line="98" w:lineRule="exact"/>
        <w:rPr>
          <w:sz w:val="20"/>
          <w:szCs w:val="20"/>
          <w:color w:val="auto"/>
        </w:rPr>
      </w:pPr>
    </w:p>
    <w:p>
      <w:pPr>
        <w:ind w:left="200" w:right="80" w:firstLine="443"/>
        <w:spacing w:after="0" w:line="298"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 dynamics.</w:t>
      </w:r>
      <w:r>
        <w:rPr>
          <w:rFonts w:ascii="Arial" w:cs="Arial" w:eastAsia="Arial" w:hAnsi="Arial"/>
          <w:sz w:val="16"/>
          <w:szCs w:val="16"/>
          <w:i w:val="1"/>
          <w:iCs w:val="1"/>
          <w:color w:val="auto"/>
        </w:rPr>
        <w:t xml:space="preserve"> </w:t>
      </w:r>
      <w:r>
        <w:rPr>
          <w:rFonts w:ascii="Arial" w:cs="Arial" w:eastAsia="Arial" w:hAnsi="Arial"/>
          <w:sz w:val="16"/>
          <w:szCs w:val="16"/>
          <w:color w:val="auto"/>
        </w:rPr>
        <w:t>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01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5010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20"/>
        <w:spacing w:after="0" w:line="370" w:lineRule="auto"/>
        <w:rPr>
          <w:sz w:val="20"/>
          <w:szCs w:val="20"/>
          <w:color w:val="auto"/>
        </w:rPr>
      </w:pPr>
      <w:r>
        <w:rPr>
          <w:rFonts w:ascii="Arial" w:cs="Arial" w:eastAsia="Arial" w:hAnsi="Arial"/>
          <w:sz w:val="15"/>
          <w:szCs w:val="15"/>
          <w:color w:val="auto"/>
        </w:rPr>
        <w:t>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62"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43"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43" w:lineRule="exact"/>
        <w:rPr>
          <w:sz w:val="20"/>
          <w:szCs w:val="20"/>
          <w:color w:val="auto"/>
        </w:rPr>
      </w:pPr>
    </w:p>
    <w:p>
      <w:pPr>
        <w:jc w:val="both"/>
        <w:ind w:left="200" w:right="180" w:firstLine="443"/>
        <w:spacing w:after="0" w:line="306"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i w:val="1"/>
          <w:iCs w:val="1"/>
          <w:color w:val="auto"/>
        </w:rPr>
        <w:t>Leading platform and access to proprietary deal flow</w:t>
      </w:r>
      <w:r>
        <w:rPr>
          <w:rFonts w:ascii="Arial" w:cs="Arial" w:eastAsia="Arial" w:hAnsi="Arial"/>
          <w:sz w:val="16"/>
          <w:szCs w:val="16"/>
          <w:color w:val="auto"/>
        </w:rPr>
        <w:t>. The substantial majority of our investments are not intermediated and are originated without the</w:t>
      </w:r>
      <w:r>
        <w:rPr>
          <w:rFonts w:ascii="Arial" w:cs="Arial" w:eastAsia="Arial" w:hAnsi="Arial"/>
          <w:sz w:val="16"/>
          <w:szCs w:val="16"/>
          <w:i w:val="1"/>
          <w:iCs w:val="1"/>
          <w:color w:val="auto"/>
        </w:rPr>
        <w:t xml:space="preserve"> </w:t>
      </w:r>
      <w:r>
        <w:rPr>
          <w:rFonts w:ascii="Arial" w:cs="Arial" w:eastAsia="Arial" w:hAnsi="Arial"/>
          <w:sz w:val="16"/>
          <w:szCs w:val="16"/>
          <w:color w:val="auto"/>
        </w:rPr>
        <w:t>assistance of investment banks or other traditional Wall Street sources. Our Adviser has a dedicated team of 14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a collective 140 years of experience as commercial dealmakers and executing direct calling campaigns on companies based on the Adviser’s sector and macroeconomic views.</w:t>
      </w:r>
    </w:p>
    <w:p>
      <w:pPr>
        <w:spacing w:after="0" w:line="116" w:lineRule="exact"/>
        <w:rPr>
          <w:sz w:val="20"/>
          <w:szCs w:val="20"/>
          <w:color w:val="auto"/>
        </w:rPr>
      </w:pPr>
    </w:p>
    <w:p>
      <w:pPr>
        <w:ind w:left="200" w:right="220" w:firstLine="443"/>
        <w:spacing w:after="0" w:line="256" w:lineRule="auto"/>
        <w:rPr>
          <w:sz w:val="20"/>
          <w:szCs w:val="20"/>
          <w:color w:val="auto"/>
        </w:rPr>
      </w:pPr>
      <w:r>
        <w:rPr>
          <w:rFonts w:ascii="Arial" w:cs="Arial" w:eastAsia="Arial" w:hAnsi="Arial"/>
          <w:sz w:val="18"/>
          <w:szCs w:val="18"/>
          <w:color w:val="auto"/>
        </w:rPr>
        <w:t>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43" w:lineRule="exact"/>
        <w:rPr>
          <w:sz w:val="20"/>
          <w:szCs w:val="20"/>
          <w:color w:val="auto"/>
        </w:rPr>
      </w:pPr>
    </w:p>
    <w:p>
      <w:pPr>
        <w:ind w:left="200" w:right="200" w:firstLine="443"/>
        <w:spacing w:after="0" w:line="259"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40" w:lineRule="exact"/>
        <w:rPr>
          <w:sz w:val="20"/>
          <w:szCs w:val="20"/>
          <w:color w:val="auto"/>
        </w:rPr>
      </w:pPr>
    </w:p>
    <w:p>
      <w:pPr>
        <w:ind w:left="200" w:right="200" w:firstLine="443"/>
        <w:spacing w:after="0" w:line="306"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26" w:lineRule="exact"/>
        <w:rPr>
          <w:sz w:val="20"/>
          <w:szCs w:val="20"/>
          <w:color w:val="auto"/>
        </w:rPr>
      </w:pPr>
    </w:p>
    <w:p>
      <w:pPr>
        <w:ind w:left="1060" w:right="240" w:hanging="323"/>
        <w:spacing w:after="0" w:line="268"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46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3467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40" w:hanging="323"/>
        <w:spacing w:after="0" w:line="255"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w:t>
      </w:r>
      <w:r>
        <w:rPr>
          <w:rFonts w:ascii="Arial" w:cs="Arial" w:eastAsia="Arial" w:hAnsi="Arial"/>
          <w:sz w:val="18"/>
          <w:szCs w:val="18"/>
          <w:i w:val="1"/>
          <w:iCs w:val="1"/>
          <w:color w:val="auto"/>
        </w:rPr>
        <w:t xml:space="preserve"> </w:t>
      </w:r>
      <w:r>
        <w:rPr>
          <w:rFonts w:ascii="Arial" w:cs="Arial" w:eastAsia="Arial" w:hAnsi="Arial"/>
          <w:sz w:val="18"/>
          <w:szCs w:val="18"/>
          <w:color w:val="auto"/>
        </w:rPr>
        <w:t>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61" w:lineRule="exact"/>
        <w:rPr>
          <w:rFonts w:ascii="Arial" w:cs="Arial" w:eastAsia="Arial" w:hAnsi="Arial"/>
          <w:sz w:val="18"/>
          <w:szCs w:val="18"/>
          <w:color w:val="auto"/>
        </w:rPr>
      </w:pPr>
    </w:p>
    <w:p>
      <w:pPr>
        <w:ind w:left="1060" w:right="220" w:hanging="323"/>
        <w:spacing w:after="0" w:line="26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50"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business and sector selection;</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investment structuring;</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deal dynamics; and</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90" w:lineRule="exact"/>
        <w:rPr>
          <w:rFonts w:ascii="Arial" w:cs="Arial" w:eastAsia="Arial" w:hAnsi="Arial"/>
          <w:sz w:val="18"/>
          <w:szCs w:val="18"/>
          <w:color w:val="auto"/>
        </w:rPr>
      </w:pPr>
    </w:p>
    <w:p>
      <w:pPr>
        <w:ind w:left="1060" w:right="44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40" w:lineRule="exact"/>
        <w:rPr>
          <w:sz w:val="20"/>
          <w:szCs w:val="20"/>
          <w:color w:val="auto"/>
        </w:rPr>
      </w:pPr>
    </w:p>
    <w:p>
      <w:pPr>
        <w:ind w:left="200" w:right="820"/>
        <w:spacing w:after="0" w:line="268"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1.7% of the more than 2,400 investment opportunities our Investment Team reviewed from our inception through December 6, 2013.</w:t>
      </w:r>
    </w:p>
    <w:p>
      <w:pPr>
        <w:spacing w:after="0" w:line="132" w:lineRule="exact"/>
        <w:rPr>
          <w:sz w:val="20"/>
          <w:szCs w:val="20"/>
          <w:color w:val="auto"/>
        </w:rPr>
      </w:pPr>
    </w:p>
    <w:p>
      <w:pPr>
        <w:ind w:left="200" w:right="40" w:firstLine="443"/>
        <w:spacing w:after="0" w:line="294" w:lineRule="auto"/>
        <w:rPr>
          <w:sz w:val="20"/>
          <w:szCs w:val="20"/>
          <w:color w:val="auto"/>
        </w:rPr>
      </w:pPr>
      <w:r>
        <w:rPr>
          <w:rFonts w:ascii="Arial" w:cs="Arial" w:eastAsia="Arial" w:hAnsi="Arial"/>
          <w:sz w:val="16"/>
          <w:szCs w:val="16"/>
          <w:i w:val="1"/>
          <w:iCs w:val="1"/>
          <w:color w:val="auto"/>
        </w:rPr>
        <w:t>Carefully constructed, existing, wide-ranging portfolio consisting of predominantly senior, floating rate loans</w:t>
      </w:r>
      <w:r>
        <w:rPr>
          <w:rFonts w:ascii="Arial" w:cs="Arial" w:eastAsia="Arial" w:hAnsi="Arial"/>
          <w:sz w:val="16"/>
          <w:szCs w:val="16"/>
          <w:color w:val="auto"/>
        </w:rPr>
        <w:t>. Since we began investing in 2011,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invested more than $1.3 billion. As of September 30, 2013, we had a portfolio of investments in 25 portfolio companies totaling $889.3 million that we believe exhibits strong credit quality and broad industry composition. As of September 30, 2013, approximately 98.5% of the fair value of our portfolio was invested in secured loans with floating rates of interest, and 90.4% of the fair value of our portfolio was invested in first-lien loans. We believe this portfolio will allow us to generate meaningful investment income, and consequently dividend income, for our stockholders.</w:t>
      </w:r>
    </w:p>
    <w:p>
      <w:pPr>
        <w:spacing w:after="0" w:line="116"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seven managing directors of TSSP on the Adviser’s team have deep experience identifying and executing</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18" w:lineRule="exact"/>
        <w:rPr>
          <w:sz w:val="20"/>
          <w:szCs w:val="20"/>
          <w:color w:val="auto"/>
        </w:rPr>
      </w:pPr>
    </w:p>
    <w:p>
      <w:pPr>
        <w:jc w:val="both"/>
        <w:ind w:left="200" w:right="120" w:firstLine="443"/>
        <w:spacing w:after="0" w:line="259"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professionals is based on our returns, as opposed to transaction volume, which we believe fosters a focus on credit quality when originating investments.</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52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2527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220" w:firstLine="443"/>
        <w:spacing w:after="0" w:line="33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90" w:lineRule="exact"/>
        <w:rPr>
          <w:sz w:val="20"/>
          <w:szCs w:val="20"/>
          <w:color w:val="auto"/>
        </w:rPr>
      </w:pPr>
    </w:p>
    <w:p>
      <w:pPr>
        <w:ind w:left="1060" w:hanging="323"/>
        <w:spacing w:after="0" w:line="255"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Leverage</w:t>
      </w:r>
      <w:r>
        <w:rPr>
          <w:rFonts w:ascii="Arial" w:cs="Arial" w:eastAsia="Arial" w:hAnsi="Arial"/>
          <w:sz w:val="18"/>
          <w:szCs w:val="18"/>
          <w:color w:val="auto"/>
        </w:rPr>
        <w:t>. Regulations under the 1940 Act limit our ability to use borrowing, also known as leverage, in significant respects. With certain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we are currently only allowed to borrow amounts, including by issuing debt securities, or issue preferred stock where our asset coverage, as defined in the 1940 Act, equals at least 200% after the borrowing. See “Regulation.” The asset coverage rule may change over time. For example, recent legislation introduced in the U.S. House of Representatives, if passed, would modify this section of the 1940 Act and increase the amount of debt that BDCs may incur.</w:t>
      </w:r>
    </w:p>
    <w:p>
      <w:pPr>
        <w:spacing w:after="0" w:line="61" w:lineRule="exact"/>
        <w:rPr>
          <w:rFonts w:ascii="Arial" w:cs="Arial" w:eastAsia="Arial" w:hAnsi="Arial"/>
          <w:sz w:val="18"/>
          <w:szCs w:val="18"/>
          <w:color w:val="auto"/>
        </w:rPr>
      </w:pPr>
    </w:p>
    <w:p>
      <w:pPr>
        <w:ind w:left="1060" w:right="40" w:hanging="323"/>
        <w:spacing w:after="0" w:line="255"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Investment Allocation</w:t>
      </w:r>
      <w:r>
        <w:rPr>
          <w:rFonts w:ascii="Arial" w:cs="Arial" w:eastAsia="Arial" w:hAnsi="Arial"/>
          <w:sz w:val="18"/>
          <w:szCs w:val="18"/>
          <w:color w:val="auto"/>
        </w:rPr>
        <w:t>. Our business strategy focuses on investments that are deemed “qualifying assets.” As a BDC, we are generally prohibited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investing in assets other than qualifying assets unless, at the time of the investment and after giving effect to it, at least 70% of our total assets are qualifying assets. Qualifying assets generally include securities of “eligible portfolio companies,” cash, cash equivalents, U.S. government securities and high-quality debt instruments maturing in one year or less from the time of investment. Under the rules of the 1940 Act, “eligible portfolio companies” include:</w:t>
      </w:r>
    </w:p>
    <w:p>
      <w:pPr>
        <w:spacing w:after="0" w:line="61" w:lineRule="exact"/>
        <w:rPr>
          <w:rFonts w:ascii="Arial" w:cs="Arial" w:eastAsia="Arial" w:hAnsi="Arial"/>
          <w:sz w:val="18"/>
          <w:szCs w:val="18"/>
          <w:color w:val="auto"/>
        </w:rPr>
      </w:pPr>
    </w:p>
    <w:p>
      <w:pPr>
        <w:ind w:left="1620" w:hanging="437"/>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90" w:lineRule="exact"/>
        <w:rPr>
          <w:rFonts w:ascii="Arial" w:cs="Arial" w:eastAsia="Arial" w:hAnsi="Arial"/>
          <w:sz w:val="18"/>
          <w:szCs w:val="18"/>
          <w:color w:val="auto"/>
        </w:rPr>
      </w:pPr>
    </w:p>
    <w:p>
      <w:pPr>
        <w:ind w:left="1620" w:right="220" w:hanging="437"/>
        <w:spacing w:after="0" w:line="259"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public domestic operating companies whose securities are not listed on a national securities exchange (e.g., the New York Stock Exchange, NYSE Amex Equities and The NASDAQ Global Market) or registered under the U.S. Securities Exchange Act of 1934, as amended, or the Exchange Act; and</w:t>
      </w:r>
    </w:p>
    <w:p>
      <w:pPr>
        <w:spacing w:after="0" w:line="59" w:lineRule="exact"/>
        <w:rPr>
          <w:rFonts w:ascii="Arial" w:cs="Arial" w:eastAsia="Arial" w:hAnsi="Arial"/>
          <w:sz w:val="18"/>
          <w:szCs w:val="18"/>
          <w:color w:val="auto"/>
        </w:rPr>
      </w:pPr>
    </w:p>
    <w:p>
      <w:pPr>
        <w:ind w:left="1620" w:hanging="437"/>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Public domestic operating companies whose securities are quoted on the over-the-counter bulletin board and through OTC Markets Group, Inc.</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are not listed on a national securities exchange and, as a result, are eligible portfolio companies.</w:t>
      </w:r>
    </w:p>
    <w:p>
      <w:pPr>
        <w:spacing w:after="0" w:line="205" w:lineRule="exact"/>
        <w:rPr>
          <w:sz w:val="20"/>
          <w:szCs w:val="20"/>
          <w:color w:val="auto"/>
        </w:rPr>
      </w:pPr>
    </w:p>
    <w:p>
      <w:pPr>
        <w:ind w:left="1060" w:right="20" w:hanging="323"/>
        <w:spacing w:after="0" w:line="259"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 having our</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subject to corporate-level U.S. federal income taxation, we must satisfy certain source of income, asset diversification and distribution requirements. See “Material U.S. Federal Income Tax Considerations.”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additional information regarding qualifying as an emerging growth company, see “—Implications of Being an Emerging Growth Company.”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Leverage</w:t>
      </w:r>
    </w:p>
    <w:p>
      <w:pPr>
        <w:spacing w:after="0" w:line="96"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Leverage increases the potential for gain and loss on amounts invested and, as a result, increases the risks associated with investing in our common stock.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83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4838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See “Risk Factors—Risks Related to Our Business and Structure—We borrow money, which magnifies the potential for gain or loss and increases the risk of investing in us”; “Risk Factors—Risks Related to Our Business and Structure—Regulations governing our operation as a BDC affect our ability to, and the way in which we, raise additional capital”; “The Company—General”; and “Regulation.”</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Interests</w:t>
      </w:r>
    </w:p>
    <w:p>
      <w:pPr>
        <w:spacing w:after="0" w:line="96" w:lineRule="exact"/>
        <w:rPr>
          <w:sz w:val="20"/>
          <w:szCs w:val="20"/>
          <w:color w:val="auto"/>
        </w:rPr>
      </w:pPr>
    </w:p>
    <w:p>
      <w:pPr>
        <w:ind w:left="200" w:right="120" w:firstLine="443"/>
        <w:spacing w:after="0" w:line="288" w:lineRule="auto"/>
        <w:rPr>
          <w:sz w:val="20"/>
          <w:szCs w:val="20"/>
          <w:color w:val="auto"/>
        </w:rPr>
      </w:pPr>
      <w:r>
        <w:rPr>
          <w:rFonts w:ascii="Arial" w:cs="Arial" w:eastAsia="Arial" w:hAnsi="Arial"/>
          <w:sz w:val="16"/>
          <w:szCs w:val="16"/>
          <w:color w:val="auto"/>
        </w:rPr>
        <w:t>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then determine an appropriate size for our investment.</w:t>
      </w:r>
    </w:p>
    <w:p>
      <w:pPr>
        <w:spacing w:after="0" w:line="120" w:lineRule="exact"/>
        <w:rPr>
          <w:sz w:val="20"/>
          <w:szCs w:val="20"/>
          <w:color w:val="auto"/>
        </w:rPr>
      </w:pPr>
    </w:p>
    <w:p>
      <w:pPr>
        <w:ind w:left="200" w:right="40" w:firstLine="443"/>
        <w:spacing w:after="0" w:line="289" w:lineRule="auto"/>
        <w:rPr>
          <w:sz w:val="20"/>
          <w:szCs w:val="20"/>
          <w:color w:val="auto"/>
        </w:rPr>
      </w:pPr>
      <w:r>
        <w:rPr>
          <w:rFonts w:ascii="Arial" w:cs="Arial" w:eastAsia="Arial" w:hAnsi="Arial"/>
          <w:sz w:val="16"/>
          <w:szCs w:val="16"/>
          <w:color w:val="auto"/>
        </w:rPr>
        <w:t>We may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18"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Our Adviser and its affiliates may face conflicts in allocating investment opportunities between us and other TSSP and TPG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Exemptive Relief Application</w:t>
      </w:r>
    </w:p>
    <w:p>
      <w:pPr>
        <w:spacing w:after="0" w:line="96" w:lineRule="exact"/>
        <w:rPr>
          <w:sz w:val="20"/>
          <w:szCs w:val="20"/>
          <w:color w:val="auto"/>
        </w:rPr>
      </w:pPr>
    </w:p>
    <w:p>
      <w:pPr>
        <w:ind w:left="200" w:right="120" w:firstLine="443"/>
        <w:spacing w:after="0" w:line="291" w:lineRule="auto"/>
        <w:rPr>
          <w:sz w:val="20"/>
          <w:szCs w:val="20"/>
          <w:color w:val="auto"/>
        </w:rPr>
      </w:pPr>
      <w:r>
        <w:rPr>
          <w:rFonts w:ascii="Arial" w:cs="Arial" w:eastAsia="Arial" w:hAnsi="Arial"/>
          <w:sz w:val="16"/>
          <w:szCs w:val="16"/>
          <w:color w:val="auto"/>
        </w:rPr>
        <w:t>On November 23, 2011, we, the Adviser and certain other affiliates of TPG filed an application with the SEC for exemptive relief. We most recently filed a revised application with the SEC on January 23,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among others, prior approval by a majority of the directors of the Board who are not “interested persons” of us, the Adviser or any of our or its respective affiliates, as defined in the 1940 Act (known as the Independent Directors). The terms and conditions of the investment applicable to any affiliates of TSSP and TPG also must be the same as those applicable to us.</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00" w:firstLine="443"/>
        <w:spacing w:after="0" w:line="291" w:lineRule="auto"/>
        <w:rPr>
          <w:sz w:val="20"/>
          <w:szCs w:val="20"/>
          <w:color w:val="auto"/>
        </w:rPr>
      </w:pPr>
      <w:r>
        <w:rPr>
          <w:rFonts w:ascii="Arial" w:cs="Arial" w:eastAsia="Arial" w:hAnsi="Arial"/>
          <w:sz w:val="16"/>
          <w:szCs w:val="16"/>
          <w:color w:val="auto"/>
        </w:rPr>
        <w:t>If the SEC grants our exemptive relief request, to the extent the size of the opportunity exceeds the amount our Adviser independently determines is appropriate for us to invest, our affiliates may be able to co-invest with us. We believe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96" w:lineRule="exact"/>
        <w:rPr>
          <w:sz w:val="20"/>
          <w:szCs w:val="20"/>
          <w:color w:val="auto"/>
        </w:rPr>
      </w:pPr>
    </w:p>
    <w:p>
      <w:pPr>
        <w:jc w:val="both"/>
        <w:ind w:left="200" w:right="200" w:firstLine="443"/>
        <w:spacing w:after="0" w:line="259" w:lineRule="auto"/>
        <w:rPr>
          <w:sz w:val="20"/>
          <w:szCs w:val="20"/>
          <w:color w:val="auto"/>
        </w:rPr>
      </w:pPr>
      <w:r>
        <w:rPr>
          <w:rFonts w:ascii="Arial" w:cs="Arial" w:eastAsia="Arial" w:hAnsi="Arial"/>
          <w:sz w:val="18"/>
          <w:szCs w:val="18"/>
          <w:color w:val="auto"/>
        </w:rPr>
        <w:t>We qualify as an emerging growth company, as that term is used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59" w:lineRule="exact"/>
        <w:rPr>
          <w:sz w:val="20"/>
          <w:szCs w:val="20"/>
          <w:color w:val="auto"/>
        </w:rPr>
      </w:pPr>
    </w:p>
    <w:p>
      <w:pPr>
        <w:ind w:left="1060" w:right="500" w:hanging="323"/>
        <w:spacing w:after="0" w:line="26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the emerging growth company’s internal control over financial reporting under Section 404 of the Sarbanes-Oxley Act of 2002, or the Sarbanes-Oxley Act;</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non-binding advisory votes on executive compensation or golden parachute arrangements;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financial statement and executive compensation disclosure requirements.</w:t>
      </w:r>
    </w:p>
    <w:p>
      <w:pPr>
        <w:spacing w:after="0" w:line="171"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We are a “non-accelerated filer” under the Exchange Act, and as a non-accelerated filer, we are currently exempt from compliance with auditor attestation requirements under Section 404 of the Sarbanes-Oxley Act. In addition, we do not have any direct executive compensation or golden parachute payments to report in our periodic reports or proxy statements because we have no employees. We do not know if some investors will find our common stock less attractive as a result of our taking advantage of exemptions available to emerging growth companies. The result may be a less active trading market for our common stock and our stock price may be more volatile.</w:t>
      </w:r>
    </w:p>
    <w:p>
      <w:pPr>
        <w:spacing w:after="0" w:line="11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and Section 13(a) of the Exchange Act for complying with new or revised accounting standards.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90" w:lineRule="exact"/>
        <w:rPr>
          <w:sz w:val="20"/>
          <w:szCs w:val="20"/>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exceed $1 billion;</w:t>
      </w:r>
    </w:p>
    <w:p>
      <w:pPr>
        <w:spacing w:after="0" w:line="90" w:lineRule="exact"/>
        <w:rPr>
          <w:rFonts w:ascii="Arial" w:cs="Arial" w:eastAsia="Arial" w:hAnsi="Arial"/>
          <w:sz w:val="18"/>
          <w:szCs w:val="18"/>
          <w:color w:val="auto"/>
        </w:rPr>
      </w:pPr>
    </w:p>
    <w:p>
      <w:pPr>
        <w:ind w:left="1060" w:right="160" w:hanging="323"/>
        <w:spacing w:after="0" w:line="25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59"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Split</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On December 3, 2013, our Board approved a stock split in the form of a stock dividend, which we refer to as the stock split,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 As of December 5, 2013, our issued and outstanding shares total 37,026,023, as adjusted for the stock split.</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96" w:lineRule="exact"/>
        <w:rPr>
          <w:sz w:val="20"/>
          <w:szCs w:val="20"/>
          <w:color w:val="auto"/>
        </w:rPr>
      </w:pPr>
    </w:p>
    <w:p>
      <w:pPr>
        <w:jc w:val="both"/>
        <w:ind w:left="200" w:right="240" w:firstLine="443"/>
        <w:spacing w:after="0" w:line="306" w:lineRule="auto"/>
        <w:rPr>
          <w:sz w:val="20"/>
          <w:szCs w:val="20"/>
          <w:color w:val="auto"/>
        </w:rPr>
      </w:pPr>
      <w:r>
        <w:rPr>
          <w:rFonts w:ascii="Arial" w:cs="Arial" w:eastAsia="Arial" w:hAnsi="Arial"/>
          <w:sz w:val="16"/>
          <w:szCs w:val="16"/>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for a description of these and other risks relating to our business and investments in our common stock, including that:</w:t>
      </w:r>
    </w:p>
    <w:p>
      <w:pPr>
        <w:spacing w:after="0" w:line="26" w:lineRule="exact"/>
        <w:rPr>
          <w:sz w:val="20"/>
          <w:szCs w:val="20"/>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TPG and their affiliates for our future success;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90" w:lineRule="exact"/>
        <w:rPr>
          <w:rFonts w:ascii="Arial" w:cs="Arial" w:eastAsia="Arial" w:hAnsi="Arial"/>
          <w:sz w:val="18"/>
          <w:szCs w:val="18"/>
          <w:color w:val="auto"/>
        </w:rPr>
      </w:pPr>
    </w:p>
    <w:p>
      <w:pPr>
        <w:ind w:left="1060" w:right="46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50" w:lineRule="exact"/>
        <w:rPr>
          <w:rFonts w:ascii="Arial" w:cs="Arial" w:eastAsia="Arial" w:hAnsi="Arial"/>
          <w:sz w:val="18"/>
          <w:szCs w:val="18"/>
          <w:color w:val="auto"/>
        </w:rPr>
      </w:pPr>
    </w:p>
    <w:p>
      <w:pPr>
        <w:ind w:left="1060" w:right="54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50" w:lineRule="exact"/>
        <w:rPr>
          <w:rFonts w:ascii="Arial" w:cs="Arial" w:eastAsia="Arial" w:hAnsi="Arial"/>
          <w:sz w:val="18"/>
          <w:szCs w:val="18"/>
          <w:color w:val="auto"/>
        </w:rPr>
      </w:pPr>
    </w:p>
    <w:p>
      <w:pPr>
        <w:ind w:left="1060" w:right="16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50" w:lineRule="exact"/>
        <w:rPr>
          <w:rFonts w:ascii="Arial" w:cs="Arial" w:eastAsia="Arial" w:hAnsi="Arial"/>
          <w:sz w:val="18"/>
          <w:szCs w:val="18"/>
          <w:color w:val="auto"/>
        </w:rPr>
      </w:pPr>
    </w:p>
    <w:p>
      <w:pPr>
        <w:ind w:left="1060" w:right="12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90" w:lineRule="exact"/>
        <w:rPr>
          <w:rFonts w:ascii="Arial" w:cs="Arial" w:eastAsia="Arial" w:hAnsi="Arial"/>
          <w:sz w:val="18"/>
          <w:szCs w:val="18"/>
          <w:color w:val="auto"/>
        </w:rPr>
      </w:pPr>
    </w:p>
    <w:p>
      <w:pPr>
        <w:ind w:left="1060" w:right="4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Adviser can resign on 60 days’ notice and we may not be able to find a suitable replacement within that time, resulting in a disruption in our operations and a loss of benefits from our relationship with TSSP and TPG;</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prior to our incorporation, the Adviser and its management had no prior experience managing a BDC or a RIC;</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incur significant costs as a result of being a publicly traded company;</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Board may change our investment objective, operating policies and strategies without prior notice or stockholder approval;</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3008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43008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323"/>
        <w:spacing w:after="0" w:line="259"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59"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90" w:lineRule="exact"/>
        <w:rPr>
          <w:rFonts w:ascii="Arial" w:cs="Arial" w:eastAsia="Arial" w:hAnsi="Arial"/>
          <w:sz w:val="18"/>
          <w:szCs w:val="18"/>
          <w:color w:val="auto"/>
        </w:rPr>
      </w:pPr>
    </w:p>
    <w:p>
      <w:pPr>
        <w:ind w:left="1060" w:right="20" w:hanging="323"/>
        <w:spacing w:after="0" w:line="259"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because we currently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59"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90" w:lineRule="exact"/>
        <w:rPr>
          <w:rFonts w:ascii="Arial" w:cs="Arial" w:eastAsia="Arial" w:hAnsi="Arial"/>
          <w:sz w:val="18"/>
          <w:szCs w:val="18"/>
          <w:color w:val="auto"/>
        </w:rPr>
      </w:pPr>
    </w:p>
    <w:p>
      <w:pPr>
        <w:ind w:left="1060" w:right="180" w:hanging="323"/>
        <w:spacing w:after="0" w:line="268"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50" w:lineRule="exact"/>
        <w:rPr>
          <w:rFonts w:ascii="Arial" w:cs="Arial" w:eastAsia="Arial" w:hAnsi="Arial"/>
          <w:sz w:val="18"/>
          <w:szCs w:val="18"/>
          <w:color w:val="auto"/>
        </w:rPr>
      </w:pPr>
    </w:p>
    <w:p>
      <w:pPr>
        <w:ind w:left="1060" w:right="260" w:hanging="323"/>
        <w:spacing w:after="0" w:line="268"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90" w:lineRule="exact"/>
        <w:rPr>
          <w:rFonts w:ascii="Arial" w:cs="Arial" w:eastAsia="Arial" w:hAnsi="Arial"/>
          <w:sz w:val="18"/>
          <w:szCs w:val="18"/>
          <w:color w:val="auto"/>
        </w:rPr>
      </w:pPr>
    </w:p>
    <w:p>
      <w:pPr>
        <w:ind w:left="1060" w:right="60" w:hanging="323"/>
        <w:spacing w:after="0" w:line="268"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unless Congress renews certain exemptions that expired for taxable years commencing after December 31, 2013, certain dividend distributions we make to certain non-U.S. stockholders will be subject to U.S. withholding tax;</w:t>
      </w:r>
    </w:p>
    <w:p>
      <w:pPr>
        <w:spacing w:after="0" w:line="50" w:lineRule="exact"/>
        <w:rPr>
          <w:rFonts w:ascii="Arial" w:cs="Arial" w:eastAsia="Arial" w:hAnsi="Arial"/>
          <w:sz w:val="18"/>
          <w:szCs w:val="18"/>
          <w:color w:val="auto"/>
        </w:rPr>
      </w:pPr>
    </w:p>
    <w:p>
      <w:pPr>
        <w:ind w:left="1060" w:hanging="323"/>
        <w:spacing w:after="0" w:line="335" w:lineRule="auto"/>
        <w:tabs>
          <w:tab w:leader="none" w:pos="10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7" w:lineRule="exact"/>
        <w:rPr>
          <w:rFonts w:ascii="Arial" w:cs="Arial" w:eastAsia="Arial" w:hAnsi="Arial"/>
          <w:sz w:val="15"/>
          <w:szCs w:val="15"/>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is a risk that you may not receive dividends or that our dividends may not grow over time;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301 Commerce Street, Suite 3300, Fort Worth, TX 76102 and our telephone number is (817) 871-4000.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corporate website is located at http://www.tpgspecialtylending.com. Information on our website is not incorporated into or a part of this prospectus.</w:t>
      </w:r>
    </w:p>
    <w:p>
      <w:pPr>
        <w:spacing w:after="0" w:line="3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THE OFFERING SUMMARY</w:t>
      </w:r>
    </w:p>
    <w:p>
      <w:pPr>
        <w:sectPr>
          <w:pgSz w:w="11900" w:h="16838" w:orient="portrait"/>
          <w:cols w:equalWidth="0" w:num="1">
            <w:col w:w="11220"/>
          </w:cols>
          <w:pgMar w:left="240" w:top="459" w:right="43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180" w:firstLine="527"/>
        <w:spacing w:after="0" w:line="268" w:lineRule="auto"/>
        <w:rPr>
          <w:sz w:val="20"/>
          <w:szCs w:val="20"/>
          <w:color w:val="auto"/>
        </w:rPr>
      </w:pPr>
      <w:r>
        <w:rPr>
          <w:rFonts w:ascii="Arial" w:cs="Arial" w:eastAsia="Arial" w:hAnsi="Arial"/>
          <w:sz w:val="18"/>
          <w:szCs w:val="18"/>
          <w:color w:val="auto"/>
        </w:rPr>
        <w:t>shares (or shares if the underwriters exercise their option to purchase additional shares of our common stock to cover over-allotments in full).</w:t>
      </w:r>
    </w:p>
    <w:p>
      <w:pPr>
        <w:spacing w:after="0" w:line="172"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ind w:right="200" w:firstLine="527"/>
        <w:spacing w:after="0" w:line="268" w:lineRule="auto"/>
        <w:rPr>
          <w:sz w:val="20"/>
          <w:szCs w:val="20"/>
          <w:color w:val="auto"/>
        </w:rPr>
      </w:pPr>
      <w:r>
        <w:rPr>
          <w:rFonts w:ascii="Arial" w:cs="Arial" w:eastAsia="Arial" w:hAnsi="Arial"/>
          <w:sz w:val="18"/>
          <w:szCs w:val="18"/>
          <w:color w:val="auto"/>
        </w:rPr>
        <w:t>shares, or shares if the underwriters exercise their option to purchase additional shares of our common stock to cover over-allotments in full.</w:t>
      </w:r>
    </w:p>
    <w:p>
      <w:pPr>
        <w:spacing w:after="0" w:line="172" w:lineRule="exact"/>
        <w:rPr>
          <w:sz w:val="20"/>
          <w:szCs w:val="20"/>
          <w:color w:val="auto"/>
        </w:rPr>
      </w:pPr>
    </w:p>
    <w:p>
      <w:pPr>
        <w:sectPr>
          <w:pgSz w:w="11900" w:h="16838" w:orient="portrait"/>
          <w:cols w:equalWidth="0" w:num="2">
            <w:col w:w="3900" w:space="50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tabs>
          <w:tab w:leader="none" w:pos="4580" w:val="left"/>
        </w:tabs>
        <w:rPr>
          <w:sz w:val="20"/>
          <w:szCs w:val="20"/>
          <w:color w:val="auto"/>
        </w:rPr>
      </w:pPr>
      <w:r>
        <w:rPr>
          <w:rFonts w:ascii="Arial" w:cs="Arial" w:eastAsia="Arial" w:hAnsi="Arial"/>
          <w:sz w:val="18"/>
          <w:szCs w:val="18"/>
          <w:color w:val="auto"/>
        </w:rPr>
        <w:t>Our net proceeds from this offering will be approximately $</w:t>
      </w:r>
      <w:r>
        <w:rPr>
          <w:sz w:val="20"/>
          <w:szCs w:val="20"/>
          <w:color w:val="auto"/>
        </w:rPr>
        <w:tab/>
      </w:r>
      <w:r>
        <w:rPr>
          <w:rFonts w:ascii="Arial" w:cs="Arial" w:eastAsia="Arial" w:hAnsi="Arial"/>
          <w:sz w:val="16"/>
          <w:szCs w:val="16"/>
          <w:color w:val="auto"/>
        </w:rPr>
        <w:t>million, or approximately</w:t>
      </w:r>
    </w:p>
    <w:p>
      <w:pPr>
        <w:spacing w:after="0" w:line="15"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4400" w:right="460" w:hanging="3"/>
        <w:spacing w:after="0" w:line="261" w:lineRule="auto"/>
        <w:tabs>
          <w:tab w:leader="none" w:pos="48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million if the underwriters exercise their option to purchase additional shares of our common stock to cover over-allotments in full.</w:t>
      </w:r>
    </w:p>
    <w:p>
      <w:pPr>
        <w:spacing w:after="0" w:line="178"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We intend to use 100% of the net proceeds of this offering, together with our cash and cash</w:t>
      </w:r>
    </w:p>
    <w:p>
      <w:pPr>
        <w:spacing w:after="0" w:line="38" w:lineRule="exact"/>
        <w:rPr>
          <w:sz w:val="20"/>
          <w:szCs w:val="20"/>
          <w:color w:val="auto"/>
        </w:rPr>
      </w:pPr>
    </w:p>
    <w:p>
      <w:pPr>
        <w:ind w:left="4400"/>
        <w:spacing w:after="0" w:line="281" w:lineRule="auto"/>
        <w:rPr>
          <w:sz w:val="20"/>
          <w:szCs w:val="20"/>
          <w:color w:val="auto"/>
        </w:rPr>
      </w:pPr>
      <w:r>
        <w:rPr>
          <w:rFonts w:ascii="Arial" w:cs="Arial" w:eastAsia="Arial" w:hAnsi="Arial"/>
          <w:sz w:val="16"/>
          <w:szCs w:val="16"/>
          <w:color w:val="auto"/>
        </w:rPr>
        <w:t>equivalents, to pay down $ million (or $ million if the underwriters exercise their option to purchase additional shares of our common stock to cover over-allotments in full) of outstanding indebtedness incurred under a Senior Secured Revolving Credit Agreement between us and SunTrust, as amended, which we refer to as the Revolving Credit Facility (SunTrust), on or about the date of this offering. After giving effect to the use of proceeds to pay down a portion</w:t>
      </w:r>
    </w:p>
    <w:p>
      <w:pPr>
        <w:spacing w:after="0" w:line="3" w:lineRule="exact"/>
        <w:rPr>
          <w:sz w:val="20"/>
          <w:szCs w:val="20"/>
          <w:color w:val="auto"/>
        </w:rPr>
      </w:pPr>
    </w:p>
    <w:p>
      <w:pPr>
        <w:ind w:left="4400"/>
        <w:spacing w:after="0"/>
        <w:tabs>
          <w:tab w:leader="none" w:pos="10140" w:val="left"/>
        </w:tabs>
        <w:rPr>
          <w:sz w:val="20"/>
          <w:szCs w:val="20"/>
          <w:color w:val="auto"/>
        </w:rPr>
      </w:pPr>
      <w:r>
        <w:rPr>
          <w:rFonts w:ascii="Arial" w:cs="Arial" w:eastAsia="Arial" w:hAnsi="Arial"/>
          <w:sz w:val="18"/>
          <w:szCs w:val="18"/>
          <w:color w:val="auto"/>
        </w:rPr>
        <w:t>of the outstanding balance under the Revolving Credit Facility (SunTrust), $</w:t>
      </w:r>
      <w:r>
        <w:rPr>
          <w:sz w:val="20"/>
          <w:szCs w:val="20"/>
          <w:color w:val="auto"/>
        </w:rPr>
        <w:tab/>
      </w:r>
      <w:r>
        <w:rPr>
          <w:rFonts w:ascii="Arial" w:cs="Arial" w:eastAsia="Arial" w:hAnsi="Arial"/>
          <w:sz w:val="16"/>
          <w:szCs w:val="16"/>
          <w:color w:val="auto"/>
        </w:rPr>
        <w:t>million (or</w:t>
      </w:r>
    </w:p>
    <w:p>
      <w:pPr>
        <w:spacing w:after="0" w:line="9" w:lineRule="exact"/>
        <w:rPr>
          <w:sz w:val="20"/>
          <w:szCs w:val="20"/>
          <w:color w:val="auto"/>
        </w:rPr>
      </w:pPr>
    </w:p>
    <w:p>
      <w:pPr>
        <w:ind w:left="4400" w:right="40" w:hanging="3"/>
        <w:spacing w:after="0" w:line="252" w:lineRule="auto"/>
        <w:tabs>
          <w:tab w:leader="none" w:pos="4883"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million if the underwriters exercise their option to purchase additional shares of our common stock to cover over-allotments in full) will remain outstanding under the facility. We do not intend to terminate the facility and may reborrow the amount we repay, subject to certain conditions. As of September 30, 2013, amounts outstanding under our Revolving Credit Facility (SunTrust) bore interest at a rate of LIBOR plus 225 basis points. The facility matures on July 2, 2018.</w:t>
      </w:r>
    </w:p>
    <w:p>
      <w:pPr>
        <w:spacing w:after="0" w:line="18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See “Use of Proceeds.”</w:t>
      </w:r>
    </w:p>
    <w:p>
      <w:pPr>
        <w:sectPr>
          <w:pgSz w:w="11900" w:h="16838" w:orient="portrait"/>
          <w:cols w:equalWidth="0" w:num="1">
            <w:col w:w="11220"/>
          </w:cols>
          <w:pgMar w:left="240" w:top="459" w:right="439" w:bottom="1440" w:gutter="0" w:footer="0" w:header="0"/>
          <w:type w:val="continuous"/>
        </w:sect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Proposed Symbol on the New York Stock Exchange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“TSLX”</w:t>
      </w:r>
    </w:p>
    <w:p>
      <w:pPr>
        <w:spacing w:after="0" w:line="200" w:lineRule="exact"/>
        <w:rPr>
          <w:sz w:val="20"/>
          <w:szCs w:val="20"/>
          <w:color w:val="auto"/>
        </w:rPr>
      </w:pPr>
    </w:p>
    <w:p>
      <w:pPr>
        <w:sectPr>
          <w:pgSz w:w="11900" w:h="16838" w:orient="portrait"/>
          <w:cols w:equalWidth="0" w:num="2">
            <w:col w:w="3860" w:space="540"/>
            <w:col w:w="6820"/>
          </w:cols>
          <w:pgMar w:left="240" w:top="459" w:right="439" w:bottom="1440" w:gutter="0" w:footer="0" w:header="0"/>
          <w:type w:val="continuous"/>
        </w:sectPr>
      </w:pP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Distributions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To the extent we have earnings available for distribution, we expect to continue distributing quarterly dividends to our stockholders.</w:t>
      </w:r>
    </w:p>
    <w:p>
      <w:pPr>
        <w:spacing w:after="0" w:line="172"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4400"/>
        <w:spacing w:after="0"/>
        <w:tabs>
          <w:tab w:leader="none" w:pos="7900" w:val="left"/>
        </w:tabs>
        <w:rPr>
          <w:sz w:val="20"/>
          <w:szCs w:val="20"/>
          <w:color w:val="auto"/>
        </w:rPr>
      </w:pPr>
      <w:r>
        <w:rPr>
          <w:rFonts w:ascii="Arial" w:cs="Arial" w:eastAsia="Arial" w:hAnsi="Arial"/>
          <w:sz w:val="18"/>
          <w:szCs w:val="18"/>
          <w:color w:val="auto"/>
        </w:rPr>
        <w:t>Our Board intends to declare a dividend of $</w:t>
      </w:r>
      <w:r>
        <w:rPr>
          <w:sz w:val="20"/>
          <w:szCs w:val="20"/>
          <w:color w:val="auto"/>
        </w:rPr>
        <w:tab/>
      </w:r>
      <w:r>
        <w:rPr>
          <w:rFonts w:ascii="Arial" w:cs="Arial" w:eastAsia="Arial" w:hAnsi="Arial"/>
          <w:sz w:val="15"/>
          <w:szCs w:val="15"/>
          <w:color w:val="auto"/>
        </w:rPr>
        <w:t>per share for the quarter ending</w:t>
      </w:r>
    </w:p>
    <w:p>
      <w:pPr>
        <w:sectPr>
          <w:pgSz w:w="11900" w:h="16838" w:orient="portrait"/>
          <w:cols w:equalWidth="0" w:num="1">
            <w:col w:w="11220"/>
          </w:cols>
          <w:pgMar w:left="240" w:top="459" w:right="439" w:bottom="1440" w:gutter="0" w:footer="0" w:header="0"/>
          <w:type w:val="continuous"/>
        </w:sectPr>
      </w:pPr>
    </w:p>
    <w:p>
      <w:pPr>
        <w:spacing w:after="0" w:line="1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 Shares offered in this prospectus will be entitled to receive this dividend</w:t>
      </w:r>
    </w:p>
    <w:p>
      <w:pPr>
        <w:spacing w:after="0" w:line="3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payment.</w:t>
      </w:r>
    </w:p>
    <w:p>
      <w:pPr>
        <w:spacing w:after="0" w:line="205" w:lineRule="exact"/>
        <w:rPr>
          <w:sz w:val="20"/>
          <w:szCs w:val="20"/>
          <w:color w:val="auto"/>
        </w:rPr>
      </w:pPr>
    </w:p>
    <w:p>
      <w:pPr>
        <w:ind w:left="4400" w:right="60"/>
        <w:spacing w:after="0" w:line="268" w:lineRule="auto"/>
        <w:rPr>
          <w:sz w:val="20"/>
          <w:szCs w:val="20"/>
          <w:color w:val="auto"/>
        </w:rPr>
      </w:pPr>
      <w:r>
        <w:rPr>
          <w:rFonts w:ascii="Arial" w:cs="Arial" w:eastAsia="Arial" w:hAnsi="Arial"/>
          <w:sz w:val="18"/>
          <w:szCs w:val="18"/>
          <w:color w:val="auto"/>
        </w:rPr>
        <w:t>We anticipate that this dividend will be paid from income generated primarily by interest earned on our investment portfolio.</w:t>
      </w:r>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2620" w:type="dxa"/>
            <w:vAlign w:val="bottom"/>
            <w:tcBorders>
              <w:top w:val="single" w:sz="8" w:color="auto"/>
              <w:left w:val="single" w:sz="8" w:color="auto"/>
            </w:tcBorders>
          </w:tcPr>
          <w:p>
            <w:pPr>
              <w:spacing w:after="0"/>
              <w:rPr>
                <w:sz w:val="24"/>
                <w:szCs w:val="24"/>
                <w:color w:val="auto"/>
              </w:rPr>
            </w:pPr>
          </w:p>
        </w:tc>
        <w:tc>
          <w:tcPr>
            <w:tcW w:w="884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color w:val="auto"/>
                <w:w w:val="92"/>
              </w:rPr>
              <w:t>The specific tax characteristics of our distributions will be reported to stockholders after the end</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of the calendar year. Future quarterly dividends, if any, will be determined by our Board.</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See “Distributions.”</w:t>
            </w:r>
          </w:p>
        </w:tc>
      </w:tr>
      <w:tr>
        <w:trPr>
          <w:trHeight w:val="412"/>
        </w:trPr>
        <w:tc>
          <w:tcPr>
            <w:tcW w:w="2620" w:type="dxa"/>
            <w:vAlign w:val="bottom"/>
            <w:tcBorders>
              <w:left w:val="single" w:sz="8" w:color="auto"/>
            </w:tcBorders>
          </w:tcPr>
          <w:p>
            <w:pPr>
              <w:spacing w:after="0"/>
              <w:rPr>
                <w:sz w:val="24"/>
                <w:szCs w:val="24"/>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3"/>
              </w:rPr>
              <w:t>To maintain our tax treatment as a RIC, we must make certain distributions. See “Material U.S.</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Federal Income Tax Considerations —Regulated Investment Company Classification.”</w:t>
            </w:r>
          </w:p>
        </w:tc>
      </w:tr>
      <w:tr>
        <w:trPr>
          <w:trHeight w:val="412"/>
        </w:trPr>
        <w:tc>
          <w:tcPr>
            <w:tcW w:w="26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Taxation</w:t>
            </w: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89"/>
              </w:rPr>
              <w:t>We have elected to be treated as a RIC for U.S. federal income tax purposes. Our status as a RIC</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2"/>
              </w:rPr>
              <w:t>will enable us to deduct qualifying distributions to our stockholders, so that we will be subject to</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1"/>
              </w:rPr>
              <w:t>corporate-level U.S. federal income taxation only in respect of earnings that we retain and do not</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distribute.</w:t>
            </w:r>
          </w:p>
        </w:tc>
      </w:tr>
      <w:tr>
        <w:trPr>
          <w:trHeight w:val="412"/>
        </w:trPr>
        <w:tc>
          <w:tcPr>
            <w:tcW w:w="2620" w:type="dxa"/>
            <w:vAlign w:val="bottom"/>
            <w:tcBorders>
              <w:left w:val="single" w:sz="8" w:color="auto"/>
            </w:tcBorders>
          </w:tcPr>
          <w:p>
            <w:pPr>
              <w:spacing w:after="0"/>
              <w:rPr>
                <w:sz w:val="24"/>
                <w:szCs w:val="24"/>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0"/>
              </w:rPr>
              <w:t>To maintain our status as a RIC and to avoid being subject to corporate-level U.S. federal income</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taxation on our earnings, we must, among other things:</w:t>
            </w:r>
          </w:p>
        </w:tc>
      </w:tr>
      <w:tr>
        <w:trPr>
          <w:trHeight w:val="297"/>
        </w:trPr>
        <w:tc>
          <w:tcPr>
            <w:tcW w:w="2620" w:type="dxa"/>
            <w:vAlign w:val="bottom"/>
            <w:tcBorders>
              <w:left w:val="single" w:sz="8" w:color="auto"/>
            </w:tcBorders>
          </w:tcPr>
          <w:p>
            <w:pPr>
              <w:spacing w:after="0"/>
              <w:rPr>
                <w:sz w:val="24"/>
                <w:szCs w:val="24"/>
                <w:color w:val="auto"/>
              </w:rPr>
            </w:pPr>
          </w:p>
        </w:tc>
        <w:tc>
          <w:tcPr>
            <w:tcW w:w="884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 maintain our election under the 1940 Act to be treated as a BDC;</w:t>
            </w:r>
          </w:p>
        </w:tc>
      </w:tr>
      <w:tr>
        <w:trPr>
          <w:trHeight w:val="291"/>
        </w:trPr>
        <w:tc>
          <w:tcPr>
            <w:tcW w:w="2620" w:type="dxa"/>
            <w:vAlign w:val="bottom"/>
            <w:tcBorders>
              <w:left w:val="single" w:sz="8" w:color="auto"/>
            </w:tcBorders>
          </w:tcPr>
          <w:p>
            <w:pPr>
              <w:spacing w:after="0"/>
              <w:rPr>
                <w:sz w:val="24"/>
                <w:szCs w:val="24"/>
                <w:color w:val="auto"/>
              </w:rPr>
            </w:pPr>
          </w:p>
        </w:tc>
        <w:tc>
          <w:tcPr>
            <w:tcW w:w="884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1"/>
              </w:rPr>
              <w:t>• derive in each taxable year at least 90% of our gross income from dividends, interest, gains</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4"/>
              </w:rPr>
              <w:t>from the sale or other disposition of stock or securities and other specified categories of</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investment income; and</w:t>
            </w:r>
          </w:p>
        </w:tc>
      </w:tr>
      <w:tr>
        <w:trPr>
          <w:trHeight w:val="297"/>
        </w:trPr>
        <w:tc>
          <w:tcPr>
            <w:tcW w:w="2620" w:type="dxa"/>
            <w:vAlign w:val="bottom"/>
            <w:tcBorders>
              <w:left w:val="single" w:sz="8" w:color="auto"/>
            </w:tcBorders>
          </w:tcPr>
          <w:p>
            <w:pPr>
              <w:spacing w:after="0"/>
              <w:rPr>
                <w:sz w:val="24"/>
                <w:szCs w:val="24"/>
                <w:color w:val="auto"/>
              </w:rPr>
            </w:pPr>
          </w:p>
        </w:tc>
        <w:tc>
          <w:tcPr>
            <w:tcW w:w="884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 maintain diversified holdings.</w:t>
            </w:r>
          </w:p>
        </w:tc>
      </w:tr>
      <w:tr>
        <w:trPr>
          <w:trHeight w:val="412"/>
        </w:trPr>
        <w:tc>
          <w:tcPr>
            <w:tcW w:w="2620" w:type="dxa"/>
            <w:vAlign w:val="bottom"/>
            <w:tcBorders>
              <w:left w:val="single" w:sz="8" w:color="auto"/>
            </w:tcBorders>
          </w:tcPr>
          <w:p>
            <w:pPr>
              <w:spacing w:after="0"/>
              <w:rPr>
                <w:sz w:val="24"/>
                <w:szCs w:val="24"/>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4"/>
              </w:rPr>
              <w:t>In addition, we must distribute (or be treated as distributing) in each taxable year dividends for</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89"/>
              </w:rPr>
              <w:t>tax purposes equal to at least 90% of our investment company taxable income and net tax-exempt</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income for that taxable year.</w:t>
            </w:r>
          </w:p>
        </w:tc>
      </w:tr>
      <w:tr>
        <w:trPr>
          <w:trHeight w:val="412"/>
        </w:trPr>
        <w:tc>
          <w:tcPr>
            <w:tcW w:w="2620" w:type="dxa"/>
            <w:vAlign w:val="bottom"/>
            <w:tcBorders>
              <w:left w:val="single" w:sz="8" w:color="auto"/>
            </w:tcBorders>
          </w:tcPr>
          <w:p>
            <w:pPr>
              <w:spacing w:after="0"/>
              <w:rPr>
                <w:sz w:val="24"/>
                <w:szCs w:val="24"/>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7"/>
              </w:rPr>
              <w:t>As a RIC, we generally will not be subject to corporate-level U.S. federal income tax on our</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3"/>
              </w:rPr>
              <w:t>investment company taxable income and net capital gains that we distribute to stockholders. If</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6"/>
              </w:rPr>
              <w:t>we fail to distribute our investment company taxable income or net capital gains on a timely</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1"/>
              </w:rPr>
              <w:t>basis, we will be subject to a nondeductible 4% U.S. federal excise tax. We may choose to carry</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2"/>
              </w:rPr>
              <w:t>forward investment company taxable income in excess of current year distributions into the next</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1"/>
              </w:rPr>
              <w:t>tax year and pay a 4% excise tax on such income. We elected to retain a small portion of income</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0"/>
              </w:rPr>
              <w:t>and capital gains for the calendar year ended December 31, 2012 and recorded a net expense of</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1"/>
              </w:rPr>
              <w:t>$0.1 million for U.S. federal excise tax as a result. Any carryover of investment company taxable</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2"/>
              </w:rPr>
              <w:t>income or net capital gains must be timely declared and distributed as a dividend in the taxable</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5"/>
              </w:rPr>
              <w:t>year following the taxable year in which the income or gains were earned. See “Distributions”</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and “Material U.S. Federal Income Tax Considerations.”</w:t>
            </w:r>
          </w:p>
        </w:tc>
      </w:tr>
      <w:tr>
        <w:trPr>
          <w:trHeight w:val="412"/>
        </w:trPr>
        <w:tc>
          <w:tcPr>
            <w:tcW w:w="26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Leverage</w:t>
            </w: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5"/>
              </w:rPr>
              <w:t>As a BDC, we are permitted under the 1940 Act to borrow funds or issue senior securities to</w:t>
            </w:r>
          </w:p>
        </w:tc>
      </w:tr>
      <w:tr>
        <w:trPr>
          <w:trHeight w:val="216"/>
        </w:trPr>
        <w:tc>
          <w:tcPr>
            <w:tcW w:w="262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2"/>
              </w:rPr>
              <w:t>finance a portion of our investments. As a result, we are exposed to the risks of leverage, which</w:t>
            </w:r>
          </w:p>
        </w:tc>
      </w:tr>
      <w:tr>
        <w:trPr>
          <w:trHeight w:val="222"/>
        </w:trPr>
        <w:tc>
          <w:tcPr>
            <w:tcW w:w="2620" w:type="dxa"/>
            <w:vAlign w:val="bottom"/>
            <w:tcBorders>
              <w:left w:val="single" w:sz="8" w:color="auto"/>
            </w:tcBorders>
          </w:tcPr>
          <w:p>
            <w:pPr>
              <w:spacing w:after="0"/>
              <w:rPr>
                <w:sz w:val="19"/>
                <w:szCs w:val="19"/>
                <w:color w:val="auto"/>
              </w:rPr>
            </w:pPr>
          </w:p>
        </w:tc>
        <w:tc>
          <w:tcPr>
            <w:tcW w:w="884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may be considered a speculative investment technique.</w:t>
            </w:r>
          </w:p>
        </w:tc>
      </w:tr>
      <w:tr>
        <w:trPr>
          <w:trHeight w:val="161"/>
        </w:trPr>
        <w:tc>
          <w:tcPr>
            <w:tcW w:w="2620" w:type="dxa"/>
            <w:vAlign w:val="bottom"/>
            <w:tcBorders>
              <w:left w:val="single" w:sz="8" w:color="auto"/>
              <w:bottom w:val="single" w:sz="8" w:color="auto"/>
            </w:tcBorders>
          </w:tcPr>
          <w:p>
            <w:pPr>
              <w:spacing w:after="0"/>
              <w:rPr>
                <w:sz w:val="13"/>
                <w:szCs w:val="13"/>
                <w:color w:val="auto"/>
              </w:rPr>
            </w:pPr>
          </w:p>
        </w:tc>
        <w:tc>
          <w:tcPr>
            <w:tcW w:w="8840" w:type="dxa"/>
            <w:vAlign w:val="bottom"/>
            <w:tcBorders>
              <w:bottom w:val="single" w:sz="8" w:color="auto"/>
              <w:right w:val="single" w:sz="8" w:color="auto"/>
            </w:tcBorders>
          </w:tcPr>
          <w:p>
            <w:pPr>
              <w:spacing w:after="0"/>
              <w:rPr>
                <w:sz w:val="13"/>
                <w:szCs w:val="13"/>
                <w:color w:val="auto"/>
              </w:rPr>
            </w:pPr>
          </w:p>
        </w:tc>
      </w:tr>
      <w:tr>
        <w:trPr>
          <w:trHeight w:val="359"/>
        </w:trPr>
        <w:tc>
          <w:tcPr>
            <w:tcW w:w="2620" w:type="dxa"/>
            <w:vAlign w:val="bottom"/>
          </w:tcPr>
          <w:p>
            <w:pPr>
              <w:spacing w:after="0"/>
              <w:rPr>
                <w:sz w:val="24"/>
                <w:szCs w:val="24"/>
                <w:color w:val="auto"/>
              </w:rPr>
            </w:pPr>
          </w:p>
        </w:tc>
        <w:tc>
          <w:tcPr>
            <w:tcW w:w="8840" w:type="dxa"/>
            <w:vAlign w:val="bottom"/>
          </w:tcPr>
          <w:p>
            <w:pPr>
              <w:ind w:left="300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724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56724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4400"/>
        <w:spacing w:after="0" w:line="302" w:lineRule="auto"/>
        <w:rPr>
          <w:sz w:val="20"/>
          <w:szCs w:val="20"/>
          <w:color w:val="auto"/>
        </w:rPr>
      </w:pPr>
      <w:r>
        <w:rPr>
          <w:rFonts w:ascii="Arial" w:cs="Arial" w:eastAsia="Arial" w:hAnsi="Arial"/>
          <w:sz w:val="15"/>
          <w:szCs w:val="15"/>
          <w:color w:val="auto"/>
        </w:rPr>
        <w:t>Leverage increases the potential for gain and loss on amounts invested and, as a result, increases the risks associated with investing in our securities. With certain limited exceptions, we currently are only allowed to borrow amounts, including by issuing debt securities, or issue preferred stock where our asset coverage, as defined in the 1940 Act, equals at least 200% after the borrowing.</w:t>
      </w:r>
    </w:p>
    <w:p>
      <w:pPr>
        <w:spacing w:after="0" w:line="3" w:lineRule="exact"/>
        <w:rPr>
          <w:sz w:val="20"/>
          <w:szCs w:val="20"/>
          <w:color w:val="auto"/>
        </w:rPr>
      </w:pPr>
    </w:p>
    <w:p>
      <w:pPr>
        <w:ind w:left="4400" w:right="460"/>
        <w:spacing w:after="0" w:line="261" w:lineRule="auto"/>
        <w:rPr>
          <w:sz w:val="20"/>
          <w:szCs w:val="20"/>
          <w:color w:val="auto"/>
        </w:rPr>
      </w:pPr>
      <w:r>
        <w:rPr>
          <w:rFonts w:ascii="Arial" w:cs="Arial" w:eastAsia="Arial" w:hAnsi="Arial"/>
          <w:sz w:val="18"/>
          <w:szCs w:val="18"/>
          <w:color w:val="auto"/>
        </w:rPr>
        <w:t>The costs associated with our borrowings, including any increase in the fees payable to the Adviser, are borne by our stockholders. See “Regulation.”</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7"/>
              </w:rPr>
              <w:t>As of September 30, 2013 and December 31, 2012, our asset coverage was 265.9% and 244.6%,</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8"/>
              </w:rPr>
              <w:t>respectively. Following this IPO and the repayment of indebtedness as contemplated under “Use</w:t>
            </w:r>
          </w:p>
        </w:tc>
      </w:tr>
      <w:tr>
        <w:trPr>
          <w:trHeight w:val="216"/>
        </w:trPr>
        <w:tc>
          <w:tcPr>
            <w:tcW w:w="3100" w:type="dxa"/>
            <w:vAlign w:val="bottom"/>
          </w:tcPr>
          <w:p>
            <w:pPr>
              <w:spacing w:after="0"/>
              <w:rPr>
                <w:sz w:val="18"/>
                <w:szCs w:val="18"/>
                <w:color w:val="auto"/>
              </w:rPr>
            </w:pPr>
          </w:p>
        </w:tc>
        <w:tc>
          <w:tcPr>
            <w:tcW w:w="5900" w:type="dxa"/>
            <w:vAlign w:val="bottom"/>
          </w:tcPr>
          <w:p>
            <w:pPr>
              <w:ind w:left="1100"/>
              <w:spacing w:after="0"/>
              <w:rPr>
                <w:sz w:val="20"/>
                <w:szCs w:val="20"/>
                <w:color w:val="auto"/>
              </w:rPr>
            </w:pPr>
            <w:r>
              <w:rPr>
                <w:rFonts w:ascii="Arial" w:cs="Arial" w:eastAsia="Arial" w:hAnsi="Arial"/>
                <w:sz w:val="18"/>
                <w:szCs w:val="18"/>
                <w:color w:val="auto"/>
                <w:w w:val="97"/>
              </w:rPr>
              <w:t>of Proceeds,” and based on the value of our total assets as of</w:t>
            </w:r>
          </w:p>
        </w:tc>
        <w:tc>
          <w:tcPr>
            <w:tcW w:w="2040" w:type="dxa"/>
            <w:vAlign w:val="bottom"/>
          </w:tcPr>
          <w:p>
            <w:pPr>
              <w:ind w:left="540"/>
              <w:spacing w:after="0"/>
              <w:rPr>
                <w:sz w:val="20"/>
                <w:szCs w:val="20"/>
                <w:color w:val="auto"/>
              </w:rPr>
            </w:pPr>
            <w:r>
              <w:rPr>
                <w:rFonts w:ascii="Arial" w:cs="Arial" w:eastAsia="Arial" w:hAnsi="Arial"/>
                <w:sz w:val="18"/>
                <w:szCs w:val="18"/>
                <w:color w:val="auto"/>
                <w:w w:val="86"/>
              </w:rPr>
              <w:t>, we expect our asset</w:t>
            </w:r>
          </w:p>
        </w:tc>
      </w:tr>
      <w:tr>
        <w:trPr>
          <w:trHeight w:val="222"/>
        </w:trPr>
        <w:tc>
          <w:tcPr>
            <w:tcW w:w="3100" w:type="dxa"/>
            <w:vAlign w:val="bottom"/>
          </w:tcPr>
          <w:p>
            <w:pPr>
              <w:spacing w:after="0"/>
              <w:rPr>
                <w:sz w:val="19"/>
                <w:szCs w:val="19"/>
                <w:color w:val="auto"/>
              </w:rPr>
            </w:pPr>
          </w:p>
        </w:tc>
        <w:tc>
          <w:tcPr>
            <w:tcW w:w="5900" w:type="dxa"/>
            <w:vAlign w:val="bottom"/>
          </w:tcPr>
          <w:p>
            <w:pPr>
              <w:ind w:left="1100"/>
              <w:spacing w:after="0"/>
              <w:rPr>
                <w:sz w:val="20"/>
                <w:szCs w:val="20"/>
                <w:color w:val="auto"/>
              </w:rPr>
            </w:pPr>
            <w:r>
              <w:rPr>
                <w:rFonts w:ascii="Arial" w:cs="Arial" w:eastAsia="Arial" w:hAnsi="Arial"/>
                <w:sz w:val="18"/>
                <w:szCs w:val="18"/>
                <w:color w:val="auto"/>
              </w:rPr>
              <w:t>coverage ratio to be approximately   %.</w:t>
            </w:r>
          </w:p>
        </w:tc>
        <w:tc>
          <w:tcPr>
            <w:tcW w:w="2040" w:type="dxa"/>
            <w:vAlign w:val="bottom"/>
          </w:tcPr>
          <w:p>
            <w:pPr>
              <w:spacing w:after="0"/>
              <w:rPr>
                <w:sz w:val="19"/>
                <w:szCs w:val="19"/>
                <w:color w:val="auto"/>
              </w:rPr>
            </w:pPr>
          </w:p>
        </w:tc>
      </w:tr>
      <w:tr>
        <w:trPr>
          <w:trHeight w:val="412"/>
        </w:trPr>
        <w:tc>
          <w:tcPr>
            <w:tcW w:w="3100" w:type="dxa"/>
            <w:vAlign w:val="bottom"/>
          </w:tcPr>
          <w:p>
            <w:pPr>
              <w:spacing w:after="0"/>
              <w:rPr>
                <w:sz w:val="20"/>
                <w:szCs w:val="20"/>
                <w:color w:val="auto"/>
              </w:rPr>
            </w:pPr>
            <w:r>
              <w:rPr>
                <w:rFonts w:ascii="Arial" w:cs="Arial" w:eastAsia="Arial" w:hAnsi="Arial"/>
                <w:sz w:val="18"/>
                <w:szCs w:val="18"/>
                <w:color w:val="auto"/>
              </w:rPr>
              <w:t>Dividend Reinvestment Plan</w:t>
            </w: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6"/>
              </w:rPr>
              <w:t>We have adopted a dividend reinvestment plan for our stockholders, which is an “opt out”</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0"/>
              </w:rPr>
              <w:t>dividend reinvestment plan. Under this plan, if we declare a cash dividend or other distribution,</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1"/>
              </w:rPr>
              <w:t>our stockholders who have not elected to “opt out” of our dividend reinvestment plan will have</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0"/>
              </w:rPr>
              <w:t>their cash distribution automatically reinvested in additional shares of our common stock, rather</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4"/>
              </w:rPr>
              <w:t>than receiving the cash distribution. If a stockholder elects to “opt out”, that stockholder will</w:t>
            </w:r>
          </w:p>
        </w:tc>
      </w:tr>
      <w:tr>
        <w:trPr>
          <w:trHeight w:val="222"/>
        </w:trPr>
        <w:tc>
          <w:tcPr>
            <w:tcW w:w="3100" w:type="dxa"/>
            <w:vAlign w:val="bottom"/>
          </w:tcPr>
          <w:p>
            <w:pPr>
              <w:spacing w:after="0"/>
              <w:rPr>
                <w:sz w:val="19"/>
                <w:szCs w:val="19"/>
                <w:color w:val="auto"/>
              </w:rPr>
            </w:pPr>
          </w:p>
        </w:tc>
        <w:tc>
          <w:tcPr>
            <w:tcW w:w="5900" w:type="dxa"/>
            <w:vAlign w:val="bottom"/>
          </w:tcPr>
          <w:p>
            <w:pPr>
              <w:ind w:left="1100"/>
              <w:spacing w:after="0"/>
              <w:rPr>
                <w:sz w:val="20"/>
                <w:szCs w:val="20"/>
                <w:color w:val="auto"/>
              </w:rPr>
            </w:pPr>
            <w:r>
              <w:rPr>
                <w:rFonts w:ascii="Arial" w:cs="Arial" w:eastAsia="Arial" w:hAnsi="Arial"/>
                <w:sz w:val="18"/>
                <w:szCs w:val="18"/>
                <w:color w:val="auto"/>
              </w:rPr>
              <w:t>receive cash dividends or other distributions.</w:t>
            </w:r>
          </w:p>
        </w:tc>
        <w:tc>
          <w:tcPr>
            <w:tcW w:w="2040" w:type="dxa"/>
            <w:vAlign w:val="bottom"/>
          </w:tcPr>
          <w:p>
            <w:pPr>
              <w:spacing w:after="0"/>
              <w:rPr>
                <w:sz w:val="19"/>
                <w:szCs w:val="19"/>
                <w:color w:val="auto"/>
              </w:rPr>
            </w:pPr>
          </w:p>
        </w:tc>
      </w:tr>
      <w:tr>
        <w:trPr>
          <w:trHeight w:val="412"/>
        </w:trPr>
        <w:tc>
          <w:tcPr>
            <w:tcW w:w="3100" w:type="dxa"/>
            <w:vAlign w:val="bottom"/>
          </w:tcPr>
          <w:p>
            <w:pPr>
              <w:spacing w:after="0"/>
              <w:rPr>
                <w:sz w:val="24"/>
                <w:szCs w:val="24"/>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6"/>
              </w:rPr>
              <w:t>We will determine the number of shares to be issued to a stockholder under the dividend</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9"/>
              </w:rPr>
              <w:t>reinvestment plan by dividing the total dollar amount of the dividend payable to such stockholder</w:t>
            </w:r>
          </w:p>
        </w:tc>
      </w:tr>
      <w:tr>
        <w:trPr>
          <w:trHeight w:val="222"/>
        </w:trPr>
        <w:tc>
          <w:tcPr>
            <w:tcW w:w="3100" w:type="dxa"/>
            <w:vAlign w:val="bottom"/>
          </w:tcPr>
          <w:p>
            <w:pPr>
              <w:spacing w:after="0"/>
              <w:rPr>
                <w:sz w:val="19"/>
                <w:szCs w:val="19"/>
                <w:color w:val="auto"/>
              </w:rPr>
            </w:pPr>
          </w:p>
        </w:tc>
        <w:tc>
          <w:tcPr>
            <w:tcW w:w="5900" w:type="dxa"/>
            <w:vAlign w:val="bottom"/>
          </w:tcPr>
          <w:p>
            <w:pPr>
              <w:ind w:left="1100"/>
              <w:spacing w:after="0"/>
              <w:rPr>
                <w:sz w:val="20"/>
                <w:szCs w:val="20"/>
                <w:color w:val="auto"/>
              </w:rPr>
            </w:pPr>
            <w:r>
              <w:rPr>
                <w:rFonts w:ascii="Arial" w:cs="Arial" w:eastAsia="Arial" w:hAnsi="Arial"/>
                <w:sz w:val="18"/>
                <w:szCs w:val="18"/>
                <w:color w:val="auto"/>
              </w:rPr>
              <w:t>by the market price of our common stock.</w:t>
            </w:r>
          </w:p>
        </w:tc>
        <w:tc>
          <w:tcPr>
            <w:tcW w:w="2040" w:type="dxa"/>
            <w:vAlign w:val="bottom"/>
          </w:tcPr>
          <w:p>
            <w:pPr>
              <w:spacing w:after="0"/>
              <w:rPr>
                <w:sz w:val="19"/>
                <w:szCs w:val="19"/>
                <w:color w:val="auto"/>
              </w:rPr>
            </w:pPr>
          </w:p>
        </w:tc>
      </w:tr>
      <w:tr>
        <w:trPr>
          <w:trHeight w:val="412"/>
        </w:trPr>
        <w:tc>
          <w:tcPr>
            <w:tcW w:w="3100" w:type="dxa"/>
            <w:vAlign w:val="bottom"/>
          </w:tcPr>
          <w:p>
            <w:pPr>
              <w:spacing w:after="0"/>
              <w:rPr>
                <w:sz w:val="24"/>
                <w:szCs w:val="24"/>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3"/>
              </w:rPr>
              <w:t>Stockholders who receive dividends and other distributions in the form of shares of common</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8"/>
              </w:rPr>
              <w:t>stock generally are subject to the same U.S. federal tax consequences as stockholders who elect</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8"/>
              </w:rPr>
              <w:t>to receive their distributions in cash; however, since their cash dividends will be reinvested, those</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98"/>
              </w:rPr>
              <w:t>stockholders will not receive cash with which to pay any applicable taxes on reinvested</w:t>
            </w:r>
          </w:p>
        </w:tc>
      </w:tr>
      <w:tr>
        <w:trPr>
          <w:trHeight w:val="222"/>
        </w:trPr>
        <w:tc>
          <w:tcPr>
            <w:tcW w:w="3100" w:type="dxa"/>
            <w:vAlign w:val="bottom"/>
          </w:tcPr>
          <w:p>
            <w:pPr>
              <w:spacing w:after="0"/>
              <w:rPr>
                <w:sz w:val="19"/>
                <w:szCs w:val="19"/>
                <w:color w:val="auto"/>
              </w:rPr>
            </w:pPr>
          </w:p>
        </w:tc>
        <w:tc>
          <w:tcPr>
            <w:tcW w:w="5900" w:type="dxa"/>
            <w:vAlign w:val="bottom"/>
          </w:tcPr>
          <w:p>
            <w:pPr>
              <w:ind w:left="1100"/>
              <w:spacing w:after="0"/>
              <w:rPr>
                <w:sz w:val="20"/>
                <w:szCs w:val="20"/>
                <w:color w:val="auto"/>
              </w:rPr>
            </w:pPr>
            <w:r>
              <w:rPr>
                <w:rFonts w:ascii="Arial" w:cs="Arial" w:eastAsia="Arial" w:hAnsi="Arial"/>
                <w:sz w:val="18"/>
                <w:szCs w:val="18"/>
                <w:color w:val="auto"/>
              </w:rPr>
              <w:t>dividends. See “Dividend Reinvestment Plan.”</w:t>
            </w:r>
          </w:p>
        </w:tc>
        <w:tc>
          <w:tcPr>
            <w:tcW w:w="2040" w:type="dxa"/>
            <w:vAlign w:val="bottom"/>
          </w:tcPr>
          <w:p>
            <w:pPr>
              <w:spacing w:after="0"/>
              <w:rPr>
                <w:sz w:val="19"/>
                <w:szCs w:val="19"/>
                <w:color w:val="auto"/>
              </w:rPr>
            </w:pPr>
          </w:p>
        </w:tc>
      </w:tr>
      <w:tr>
        <w:trPr>
          <w:trHeight w:val="412"/>
        </w:trPr>
        <w:tc>
          <w:tcPr>
            <w:tcW w:w="3100" w:type="dxa"/>
            <w:vAlign w:val="bottom"/>
          </w:tcPr>
          <w:p>
            <w:pPr>
              <w:spacing w:after="0"/>
              <w:rPr>
                <w:sz w:val="20"/>
                <w:szCs w:val="20"/>
                <w:color w:val="auto"/>
              </w:rPr>
            </w:pPr>
            <w:r>
              <w:rPr>
                <w:rFonts w:ascii="Arial" w:cs="Arial" w:eastAsia="Arial" w:hAnsi="Arial"/>
                <w:sz w:val="18"/>
                <w:szCs w:val="18"/>
                <w:color w:val="auto"/>
              </w:rPr>
              <w:t>Investment Advisory Fees</w:t>
            </w: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9"/>
              </w:rPr>
              <w:t>We pay the Adviser a fee for its services under an advisory agreement, which we refer to as the</w:t>
            </w:r>
          </w:p>
        </w:tc>
      </w:tr>
      <w:tr>
        <w:trPr>
          <w:trHeight w:val="216"/>
        </w:trPr>
        <w:tc>
          <w:tcPr>
            <w:tcW w:w="3100" w:type="dxa"/>
            <w:vAlign w:val="bottom"/>
          </w:tcPr>
          <w:p>
            <w:pPr>
              <w:spacing w:after="0"/>
              <w:rPr>
                <w:sz w:val="18"/>
                <w:szCs w:val="18"/>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8"/>
              </w:rPr>
              <w:t>Investment Advisory Agreement, consisting of two components—a base management fee, which</w:t>
            </w:r>
          </w:p>
        </w:tc>
      </w:tr>
      <w:tr>
        <w:trPr>
          <w:trHeight w:val="222"/>
        </w:trPr>
        <w:tc>
          <w:tcPr>
            <w:tcW w:w="3100" w:type="dxa"/>
            <w:vAlign w:val="bottom"/>
          </w:tcPr>
          <w:p>
            <w:pPr>
              <w:spacing w:after="0"/>
              <w:rPr>
                <w:sz w:val="19"/>
                <w:szCs w:val="19"/>
                <w:color w:val="auto"/>
              </w:rPr>
            </w:pPr>
          </w:p>
        </w:tc>
        <w:tc>
          <w:tcPr>
            <w:tcW w:w="7940" w:type="dxa"/>
            <w:vAlign w:val="bottom"/>
            <w:gridSpan w:val="2"/>
          </w:tcPr>
          <w:p>
            <w:pPr>
              <w:ind w:left="1100"/>
              <w:spacing w:after="0"/>
              <w:rPr>
                <w:sz w:val="20"/>
                <w:szCs w:val="20"/>
                <w:color w:val="auto"/>
              </w:rPr>
            </w:pPr>
            <w:r>
              <w:rPr>
                <w:rFonts w:ascii="Arial" w:cs="Arial" w:eastAsia="Arial" w:hAnsi="Arial"/>
                <w:sz w:val="18"/>
                <w:szCs w:val="18"/>
                <w:color w:val="auto"/>
                <w:w w:val="88"/>
              </w:rPr>
              <w:t>we refer to as the Management Fee, and an incentive fee, which we refer to as the Incentive Fee.</w:t>
            </w:r>
          </w:p>
        </w:tc>
      </w:tr>
    </w:tbl>
    <w:p>
      <w:pPr>
        <w:spacing w:after="0" w:line="196" w:lineRule="exact"/>
        <w:rPr>
          <w:sz w:val="20"/>
          <w:szCs w:val="20"/>
          <w:color w:val="auto"/>
        </w:rPr>
      </w:pPr>
    </w:p>
    <w:p>
      <w:pPr>
        <w:ind w:left="4400"/>
        <w:spacing w:after="0" w:line="290" w:lineRule="auto"/>
        <w:rPr>
          <w:sz w:val="20"/>
          <w:szCs w:val="20"/>
          <w:color w:val="auto"/>
        </w:rPr>
      </w:pPr>
      <w:r>
        <w:rPr>
          <w:rFonts w:ascii="Arial" w:cs="Arial" w:eastAsia="Arial" w:hAnsi="Arial"/>
          <w:sz w:val="16"/>
          <w:szCs w:val="16"/>
          <w:color w:val="auto"/>
        </w:rPr>
        <w:t>The Management Fee paid to the Adviser, payable at the end of each quarter in arrears, is calculated at an annual rate of 1.5% of our gross assets, or total assets before deduction of any liabilities under generally accepted accounting principles in the United States, which we refer to as U.S. GAAP. Because the Management Fee is payable based on our gross assets, which includes cash and assets acquired through the use of leverage, our Adviser may have an incentive to use leverage to make additional investments. The amount of leverage that we employ will depend on our Adviser’s and our Board’s assessment</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4400" w:right="300"/>
        <w:spacing w:after="0" w:line="259" w:lineRule="auto"/>
        <w:rPr>
          <w:sz w:val="20"/>
          <w:szCs w:val="20"/>
          <w:color w:val="auto"/>
        </w:rPr>
      </w:pPr>
      <w:r>
        <w:rPr>
          <w:rFonts w:ascii="Arial" w:cs="Arial" w:eastAsia="Arial" w:hAnsi="Arial"/>
          <w:sz w:val="18"/>
          <w:szCs w:val="18"/>
          <w:color w:val="auto"/>
        </w:rPr>
        <w:t>of market and other factors at the time of any proposed borrowing. See “Risk Factors—Risks Related to Our Business and Structure—We borrow money, which magnifies the potential for gain or loss and increases the risk of investing in us.”</w:t>
      </w:r>
    </w:p>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Incentive Fee consists of two parts.</w:t>
      </w:r>
    </w:p>
    <w:p>
      <w:pPr>
        <w:spacing w:after="0" w:line="90" w:lineRule="exact"/>
        <w:rPr>
          <w:sz w:val="20"/>
          <w:szCs w:val="20"/>
          <w:color w:val="auto"/>
        </w:rPr>
      </w:pPr>
    </w:p>
    <w:p>
      <w:pPr>
        <w:ind w:left="4820" w:hanging="160"/>
        <w:spacing w:after="0" w:line="285" w:lineRule="auto"/>
        <w:tabs>
          <w:tab w:leader="none" w:pos="4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 increase from 15% prior to this IPO and for the quarter in which this IPO is completed) and, for pre-Incentive Fee net investment income in excess of 1.82% quarterly, 17.5% of all remaining pre-Incentive Fee net investment income for that quarter (an increase from 15% prior to the completion of this IPO and for the quarter in which this IPO is completed). The 100% “catch-up” provision for pre-Incentive Fee net investment income in excess of the 1.5% “hurdle rate” (6.0% annualized)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 Pre-Incentive Fee net investment income may include income that we have not received in cash.</w:t>
      </w:r>
    </w:p>
    <w:p>
      <w:pPr>
        <w:spacing w:after="0" w:line="166" w:lineRule="exact"/>
        <w:rPr>
          <w:rFonts w:ascii="Arial" w:cs="Arial" w:eastAsia="Arial" w:hAnsi="Arial"/>
          <w:sz w:val="16"/>
          <w:szCs w:val="16"/>
          <w:color w:val="auto"/>
        </w:rPr>
      </w:pPr>
    </w:p>
    <w:p>
      <w:pPr>
        <w:ind w:left="4820" w:right="80"/>
        <w:spacing w:after="0" w:line="287" w:lineRule="auto"/>
        <w:rPr>
          <w:rFonts w:ascii="Arial" w:cs="Arial" w:eastAsia="Arial" w:hAnsi="Arial"/>
          <w:sz w:val="16"/>
          <w:szCs w:val="16"/>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 our net assets as of the end of the calendar quarter immediately preceding the day; plus the aggregate amount of capital drawn from investors (or reinvested pursuant to our dividend reinvestment plan) from the beginning of the current quarter to the day; minus 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63" w:lineRule="exact"/>
        <w:rPr>
          <w:rFonts w:ascii="Arial" w:cs="Arial" w:eastAsia="Arial" w:hAnsi="Arial"/>
          <w:sz w:val="16"/>
          <w:szCs w:val="16"/>
          <w:color w:val="auto"/>
        </w:rPr>
      </w:pPr>
    </w:p>
    <w:p>
      <w:pPr>
        <w:ind w:left="4820" w:right="40"/>
        <w:spacing w:after="0" w:line="256" w:lineRule="auto"/>
        <w:rPr>
          <w:rFonts w:ascii="Arial" w:cs="Arial" w:eastAsia="Arial" w:hAnsi="Arial"/>
          <w:sz w:val="16"/>
          <w:szCs w:val="16"/>
          <w:color w:val="auto"/>
        </w:rPr>
      </w:pPr>
      <w:r>
        <w:rPr>
          <w:rFonts w:ascii="Arial" w:cs="Arial" w:eastAsia="Arial" w:hAnsi="Arial"/>
          <w:sz w:val="18"/>
          <w:szCs w:val="18"/>
          <w:color w:val="auto"/>
        </w:rPr>
        <w:t>Following this IPO, for purposes of determining whether pre-Incentive Fee net investment income exceeds the hurdle rate, pre-Incentive Fee net investment income will be expressed as a rate of return on the value of our net assets at the end of the immediately preceding calendar quarter.</w:t>
      </w:r>
    </w:p>
    <w:p>
      <w:pPr>
        <w:spacing w:after="0" w:line="62" w:lineRule="exact"/>
        <w:rPr>
          <w:rFonts w:ascii="Arial" w:cs="Arial" w:eastAsia="Arial" w:hAnsi="Arial"/>
          <w:sz w:val="16"/>
          <w:szCs w:val="16"/>
          <w:color w:val="auto"/>
        </w:rPr>
      </w:pPr>
    </w:p>
    <w:p>
      <w:pPr>
        <w:ind w:left="4820" w:right="120" w:hanging="160"/>
        <w:spacing w:after="0" w:line="268" w:lineRule="auto"/>
        <w:tabs>
          <w:tab w:leader="none" w:pos="4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second component, referred to as the Capital Gains Fee, is determined and payable in arrears as of the end of each calendar</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4140" w:type="dxa"/>
            <w:vAlign w:val="bottom"/>
            <w:tcBorders>
              <w:top w:val="single" w:sz="8" w:color="auto"/>
              <w:left w:val="single" w:sz="8" w:color="auto"/>
            </w:tcBorders>
          </w:tcPr>
          <w:p>
            <w:pPr>
              <w:spacing w:after="0"/>
              <w:rPr>
                <w:sz w:val="24"/>
                <w:szCs w:val="24"/>
                <w:color w:val="auto"/>
              </w:rPr>
            </w:pPr>
          </w:p>
        </w:tc>
        <w:tc>
          <w:tcPr>
            <w:tcW w:w="732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color w:val="auto"/>
                <w:w w:val="91"/>
              </w:rPr>
              <w:t>year in an amount equal to a weighted percentage of our realized capital gains, if any, on a</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5"/>
              </w:rPr>
              <w:t>cumulative basis as between our inception to the end of the quarter in which this IPO is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completed at 15% and thereafter at 17.5%, less cumulative realized capital losses,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5"/>
              </w:rPr>
              <w:t>unrealized capital depreciation and net of the aggregate amount of any previously paid</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capital gain Incentive Fee for prior periods.</w:t>
            </w:r>
          </w:p>
        </w:tc>
      </w:tr>
      <w:tr>
        <w:trPr>
          <w:trHeight w:val="291"/>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Because of the structure of the Incentive Fee, it is possible that we may pay an Incentive Fee in a</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quarter in which we incur a loss.</w:t>
            </w:r>
          </w:p>
        </w:tc>
      </w:tr>
      <w:tr>
        <w:trPr>
          <w:trHeight w:val="291"/>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5"/>
              </w:rPr>
              <w:t>See “Management and Other Agreements—Investment Advisory Agreement; Administration</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Agreement; License Agreement.”</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Administration Agreement</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We reimburse the Adviser under an administration agreement, which we refer to as the</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Administration Agreement, for certain administrative services to us.</w:t>
            </w:r>
          </w:p>
        </w:tc>
      </w:tr>
      <w:tr>
        <w:trPr>
          <w:trHeight w:val="412"/>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8"/>
              </w:rPr>
              <w:t>These services include providing office space, equipment and office services, maintaining</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financial records, preparing reports to stockholders and reports filed with the SEC, and managing</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the payment of expenses and the performance of administrative and professional services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5"/>
              </w:rPr>
              <w:t>rendered by others. In addition, the Adviser may delegate its duties under the Administration</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8"/>
              </w:rPr>
              <w:t>Agreement to affiliates or third parties and we will pay or reimburse the Adviser expenses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incurred by any of those affiliates or third parties for work done on our behalf. See “Management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and Other Agreements—Investment Advisory Agreement; Administration Agreement; License</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Agreement.”</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License Arrangements</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We have entered into a license agreement with an affiliate of TPG, under which the affiliate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granted us a non-exclusive license to use the TPG name and logo, for a nominal fee, for so long</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as the Adviser or one of its affiliates remains our investment adviser. Other than with respect to</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this limited license, we have no legal right to the “TPG” name or logo.</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 at a Discount</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Shares of closed-end investment companies, including BDCs, frequently trade at a discount to</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their net asset value. We are not generally able to issue and sell our common stock at a price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89"/>
              </w:rPr>
              <w:t>below our net asset value per share unless we have stockholder approval. The risk that our shares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may trade at a discount to our net asset value is separate and distinct from the risk that our net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asset value per share may decline. We cannot predict whether our shares will trade above, at or</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below net asset value. See “Risk Factors.”</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4"/>
              </w:rPr>
              <w:t>Custodian, Transfer and Dividend Paying Agent and</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State Street Bank and Trust Company serves as our custodian and will serve as our transfer and</w:t>
            </w:r>
          </w:p>
        </w:tc>
      </w:tr>
      <w:tr>
        <w:trPr>
          <w:trHeight w:val="216"/>
        </w:trPr>
        <w:tc>
          <w:tcPr>
            <w:tcW w:w="4140" w:type="dxa"/>
            <w:vAlign w:val="bottom"/>
            <w:tcBorders>
              <w:left w:val="single" w:sz="8" w:color="auto"/>
            </w:tcBorders>
          </w:tcPr>
          <w:p>
            <w:pPr>
              <w:ind w:left="280"/>
              <w:spacing w:after="0"/>
              <w:rPr>
                <w:sz w:val="20"/>
                <w:szCs w:val="20"/>
                <w:color w:val="auto"/>
              </w:rPr>
            </w:pPr>
            <w:r>
              <w:rPr>
                <w:rFonts w:ascii="Arial" w:cs="Arial" w:eastAsia="Arial" w:hAnsi="Arial"/>
                <w:sz w:val="18"/>
                <w:szCs w:val="18"/>
                <w:color w:val="auto"/>
              </w:rPr>
              <w:t>Registrar</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dividend paying agent and registrar. See “Custodian, Transfer and Dividend Paying Agent and</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Registrar.”</w:t>
            </w:r>
          </w:p>
        </w:tc>
      </w:tr>
      <w:tr>
        <w:trPr>
          <w:trHeight w:val="161"/>
        </w:trPr>
        <w:tc>
          <w:tcPr>
            <w:tcW w:w="4140" w:type="dxa"/>
            <w:vAlign w:val="bottom"/>
            <w:tcBorders>
              <w:left w:val="single" w:sz="8" w:color="auto"/>
              <w:bottom w:val="single" w:sz="8" w:color="auto"/>
            </w:tcBorders>
          </w:tcPr>
          <w:p>
            <w:pPr>
              <w:spacing w:after="0"/>
              <w:rPr>
                <w:sz w:val="13"/>
                <w:szCs w:val="13"/>
                <w:color w:val="auto"/>
              </w:rPr>
            </w:pPr>
          </w:p>
        </w:tc>
        <w:tc>
          <w:tcPr>
            <w:tcW w:w="7320" w:type="dxa"/>
            <w:vAlign w:val="bottom"/>
            <w:tcBorders>
              <w:bottom w:val="single" w:sz="8" w:color="auto"/>
              <w:right w:val="single" w:sz="8" w:color="auto"/>
            </w:tcBorders>
          </w:tcPr>
          <w:p>
            <w:pPr>
              <w:spacing w:after="0"/>
              <w:rPr>
                <w:sz w:val="13"/>
                <w:szCs w:val="13"/>
                <w:color w:val="auto"/>
              </w:rPr>
            </w:pPr>
          </w:p>
        </w:tc>
      </w:tr>
      <w:tr>
        <w:trPr>
          <w:trHeight w:val="359"/>
        </w:trPr>
        <w:tc>
          <w:tcPr>
            <w:tcW w:w="4140" w:type="dxa"/>
            <w:vAlign w:val="bottom"/>
          </w:tcPr>
          <w:p>
            <w:pPr>
              <w:spacing w:after="0"/>
              <w:rPr>
                <w:sz w:val="24"/>
                <w:szCs w:val="24"/>
                <w:color w:val="auto"/>
              </w:rPr>
            </w:pPr>
          </w:p>
        </w:tc>
        <w:tc>
          <w:tcPr>
            <w:tcW w:w="7320" w:type="dxa"/>
            <w:vAlign w:val="bottom"/>
          </w:tcPr>
          <w:p>
            <w:pPr>
              <w:ind w:left="148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60"/>
          </w:cols>
          <w:pgMar w:left="240" w:top="459" w:right="1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08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Available Information</w:t>
            </w:r>
          </w:p>
        </w:tc>
        <w:tc>
          <w:tcPr>
            <w:tcW w:w="8380" w:type="dxa"/>
            <w:vAlign w:val="bottom"/>
            <w:tcBorders>
              <w:top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93"/>
              </w:rPr>
              <w:t>We have filed with the SEC a registration statement on Form N-2, of which this prospectus is a</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part, under the Securities Act. This registration statement contains additional information about</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0"/>
              </w:rPr>
              <w:t>us and the shares of our common stock being offered by this prospectus. We are also required to</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file periodic reports, current reports, proxy statements and other information with the SEC. This</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4"/>
              </w:rPr>
              <w:t>information is available at the SEC’s public reference room at 100 F Street, N.E., Washington,</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1"/>
              </w:rPr>
              <w:t>D.C. 20549 and on the SEC’s website at http://www.sec.gov</w:t>
            </w:r>
            <w:r>
              <w:rPr>
                <w:rFonts w:ascii="Arial" w:cs="Arial" w:eastAsia="Arial" w:hAnsi="Arial"/>
                <w:sz w:val="18"/>
                <w:szCs w:val="18"/>
                <w:i w:val="1"/>
                <w:iCs w:val="1"/>
                <w:color w:val="auto"/>
                <w:w w:val="91"/>
              </w:rPr>
              <w:t>.</w:t>
            </w:r>
            <w:r>
              <w:rPr>
                <w:rFonts w:ascii="Arial" w:cs="Arial" w:eastAsia="Arial" w:hAnsi="Arial"/>
                <w:sz w:val="18"/>
                <w:szCs w:val="18"/>
                <w:color w:val="auto"/>
                <w:w w:val="91"/>
              </w:rPr>
              <w:t xml:space="preserve"> Information on the operation of the</w:t>
            </w:r>
          </w:p>
        </w:tc>
      </w:tr>
      <w:tr>
        <w:trPr>
          <w:trHeight w:val="222"/>
        </w:trPr>
        <w:tc>
          <w:tcPr>
            <w:tcW w:w="3080" w:type="dxa"/>
            <w:vAlign w:val="bottom"/>
            <w:tcBorders>
              <w:left w:val="single" w:sz="8" w:color="auto"/>
            </w:tcBorders>
          </w:tcPr>
          <w:p>
            <w:pPr>
              <w:spacing w:after="0"/>
              <w:rPr>
                <w:sz w:val="19"/>
                <w:szCs w:val="19"/>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SEC’s public reference room may be obtained by calling the SEC at 1 (800) SEC-0330.</w:t>
            </w:r>
          </w:p>
        </w:tc>
      </w:tr>
      <w:tr>
        <w:trPr>
          <w:trHeight w:val="412"/>
        </w:trPr>
        <w:tc>
          <w:tcPr>
            <w:tcW w:w="3080" w:type="dxa"/>
            <w:vAlign w:val="bottom"/>
            <w:tcBorders>
              <w:left w:val="single" w:sz="8" w:color="auto"/>
            </w:tcBorders>
          </w:tcPr>
          <w:p>
            <w:pPr>
              <w:spacing w:after="0"/>
              <w:rPr>
                <w:sz w:val="24"/>
                <w:szCs w:val="24"/>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We maintain a website at http://www.tpgspecialtylending.com and make all of our periodic and</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current reports, proxy statements and other information available, free of charge, on or through</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4"/>
              </w:rPr>
              <w:t>our website. Information on our website is not incorporated into or part of this prospectus. You</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6"/>
              </w:rPr>
              <w:t>may also obtain such information free of charge by contacting us in writing at 345 California</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2"/>
              </w:rPr>
              <w:t>Street, Suite 3300, San Francisco, CA 94104, Attention: Investor Relations, or by emailing us at</w:t>
            </w:r>
          </w:p>
        </w:tc>
      </w:tr>
      <w:tr>
        <w:trPr>
          <w:trHeight w:val="222"/>
        </w:trPr>
        <w:tc>
          <w:tcPr>
            <w:tcW w:w="3080" w:type="dxa"/>
            <w:vAlign w:val="bottom"/>
            <w:tcBorders>
              <w:left w:val="single" w:sz="8" w:color="auto"/>
            </w:tcBorders>
          </w:tcPr>
          <w:p>
            <w:pPr>
              <w:spacing w:after="0"/>
              <w:rPr>
                <w:sz w:val="19"/>
                <w:szCs w:val="19"/>
                <w:color w:val="auto"/>
              </w:rPr>
            </w:pPr>
          </w:p>
        </w:tc>
        <w:tc>
          <w:tcPr>
            <w:tcW w:w="8380" w:type="dxa"/>
            <w:vAlign w:val="bottom"/>
            <w:tcBorders>
              <w:right w:val="single" w:sz="8" w:color="auto"/>
            </w:tcBorders>
          </w:tcPr>
          <w:p>
            <w:pPr>
              <w:ind w:left="1320"/>
              <w:spacing w:after="0"/>
              <w:rPr>
                <w:sz w:val="20"/>
                <w:szCs w:val="20"/>
                <w:color w:val="auto"/>
              </w:rPr>
            </w:pPr>
            <w:r>
              <w:rPr>
                <w:rFonts w:ascii="Arial" w:cs="Arial" w:eastAsia="Arial" w:hAnsi="Arial"/>
                <w:sz w:val="18"/>
                <w:szCs w:val="18"/>
                <w:i w:val="1"/>
                <w:iCs w:val="1"/>
                <w:color w:val="auto"/>
              </w:rPr>
              <w:t>IRTSL   tpg.com</w:t>
            </w:r>
            <w:r>
              <w:rPr>
                <w:rFonts w:ascii="Arial" w:cs="Arial" w:eastAsia="Arial" w:hAnsi="Arial"/>
                <w:sz w:val="18"/>
                <w:szCs w:val="18"/>
                <w:color w:val="auto"/>
              </w:rPr>
              <w:t>.</w:t>
            </w:r>
          </w:p>
        </w:tc>
      </w:tr>
      <w:tr>
        <w:trPr>
          <w:trHeight w:val="161"/>
        </w:trPr>
        <w:tc>
          <w:tcPr>
            <w:tcW w:w="3080" w:type="dxa"/>
            <w:vAlign w:val="bottom"/>
            <w:tcBorders>
              <w:left w:val="single" w:sz="8" w:color="auto"/>
              <w:bottom w:val="single" w:sz="8" w:color="auto"/>
            </w:tcBorders>
          </w:tcPr>
          <w:p>
            <w:pPr>
              <w:spacing w:after="0"/>
              <w:rPr>
                <w:sz w:val="13"/>
                <w:szCs w:val="13"/>
                <w:color w:val="auto"/>
              </w:rPr>
            </w:pPr>
          </w:p>
        </w:tc>
        <w:tc>
          <w:tcPr>
            <w:tcW w:w="8380" w:type="dxa"/>
            <w:vAlign w:val="bottom"/>
            <w:tcBorders>
              <w:bottom w:val="single" w:sz="8" w:color="auto"/>
              <w:right w:val="single" w:sz="8" w:color="auto"/>
            </w:tcBorders>
          </w:tcPr>
          <w:p>
            <w:pPr>
              <w:spacing w:after="0"/>
              <w:rPr>
                <w:sz w:val="13"/>
                <w:szCs w:val="13"/>
                <w:color w:val="auto"/>
              </w:rPr>
            </w:pPr>
          </w:p>
        </w:tc>
      </w:tr>
      <w:tr>
        <w:trPr>
          <w:trHeight w:val="359"/>
        </w:trPr>
        <w:tc>
          <w:tcPr>
            <w:tcW w:w="3080" w:type="dxa"/>
            <w:vAlign w:val="bottom"/>
          </w:tcPr>
          <w:p>
            <w:pPr>
              <w:spacing w:after="0"/>
              <w:rPr>
                <w:sz w:val="24"/>
                <w:szCs w:val="24"/>
                <w:color w:val="auto"/>
              </w:rPr>
            </w:pPr>
          </w:p>
        </w:tc>
        <w:tc>
          <w:tcPr>
            <w:tcW w:w="8380" w:type="dxa"/>
            <w:vAlign w:val="bottom"/>
          </w:tcPr>
          <w:p>
            <w:pPr>
              <w:ind w:left="2540"/>
              <w:spacing w:after="0"/>
              <w:rPr>
                <w:sz w:val="20"/>
                <w:szCs w:val="20"/>
                <w:color w:val="auto"/>
              </w:rPr>
            </w:pPr>
            <w:r>
              <w:rPr>
                <w:rFonts w:ascii="Arial" w:cs="Arial" w:eastAsia="Arial" w:hAnsi="Arial"/>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-452755</wp:posOffset>
            </wp:positionV>
            <wp:extent cx="77470" cy="774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ectPr>
          <w:pgSz w:w="11900" w:h="16838" w:orient="portrait"/>
          <w:cols w:equalWidth="0" w:num="1">
            <w:col w:w="11460"/>
          </w:cols>
          <w:pgMar w:left="240" w:top="459" w:right="1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85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59385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left="200" w:firstLine="443"/>
        <w:spacing w:after="0" w:line="303" w:lineRule="auto"/>
        <w:rPr>
          <w:sz w:val="20"/>
          <w:szCs w:val="20"/>
          <w:color w:val="auto"/>
        </w:rPr>
      </w:pPr>
      <w:r>
        <w:rPr>
          <w:rFonts w:ascii="Arial" w:cs="Arial" w:eastAsia="Arial" w:hAnsi="Arial"/>
          <w:sz w:val="15"/>
          <w:szCs w:val="15"/>
          <w:color w:val="auto"/>
        </w:rPr>
        <w:t>The following table is intended to assist you in understanding the costs and expenses that you will bear directly or indirectly. We caution you that some of the percentages indicated in the table below are estimates and may vary. The following table should not be considered a representation of our future expenses. Actual expenses may be greater or less than shown. The expenses shown in the table under “estimated annual expenses” are based on estimated</w:t>
      </w:r>
    </w:p>
    <w:p>
      <w:pPr>
        <w:spacing w:after="0" w:line="1" w:lineRule="exact"/>
        <w:rPr>
          <w:sz w:val="20"/>
          <w:szCs w:val="20"/>
          <w:color w:val="auto"/>
        </w:rPr>
      </w:pPr>
    </w:p>
    <w:p>
      <w:pPr>
        <w:ind w:left="200"/>
        <w:spacing w:after="0"/>
        <w:tabs>
          <w:tab w:leader="none" w:pos="5040" w:val="left"/>
        </w:tabs>
        <w:rPr>
          <w:sz w:val="20"/>
          <w:szCs w:val="20"/>
          <w:color w:val="auto"/>
        </w:rPr>
      </w:pPr>
      <w:r>
        <w:rPr>
          <w:rFonts w:ascii="Arial" w:cs="Arial" w:eastAsia="Arial" w:hAnsi="Arial"/>
          <w:sz w:val="18"/>
          <w:szCs w:val="18"/>
          <w:color w:val="auto"/>
        </w:rPr>
        <w:t>amounts for our current fiscal year and assume that we issue</w:t>
      </w:r>
      <w:r>
        <w:rPr>
          <w:sz w:val="20"/>
          <w:szCs w:val="20"/>
          <w:color w:val="auto"/>
        </w:rPr>
        <w:tab/>
      </w:r>
      <w:r>
        <w:rPr>
          <w:rFonts w:ascii="Arial" w:cs="Arial" w:eastAsia="Arial" w:hAnsi="Arial"/>
          <w:sz w:val="15"/>
          <w:szCs w:val="15"/>
          <w:color w:val="auto"/>
        </w:rPr>
        <w:t>shares of common stock in this offering and the underwriters do not exercise their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option to purchase any additional shares to cover over-allotments. If we issue fewer shares, all other things being equal, these expenses would increase as a</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percentage of our net assets attributable to common stock. In addition, the expenses in the table are based on the assumption that we will have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borrowings outstanding under our credit facilities, after giving effect to this offering and the expected repayment of indebtedness as discussed in more detail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under “Use of Proceeds.” Our leverage may vary periodically depending on market conditions, our portfolio composition and our Adviser’s assessment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risks and returns. However, our total borrowings are limited so that our asset coverage ratio cannot fall below 200%, as defined in the 1940 Act. Except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where the context suggests otherwise, whenever this prospectus contains a reference to fees or expenses paid by “us,” “the Company” or “TPG Specialty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Lending,” or that “we” will pay fees or expenses, you will indirectly bear these fees or expenses as an investor in TPG Specialty Lending.</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Sales load (as a percentage of offering price)</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9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Dividend reinvestment plan expenses</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 %</w:t>
            </w:r>
            <w:r>
              <w:rPr>
                <w:rFonts w:ascii="Arial" w:cs="Arial" w:eastAsia="Arial" w:hAnsi="Arial"/>
                <w:sz w:val="11"/>
                <w:szCs w:val="11"/>
                <w:color w:val="auto"/>
              </w:rPr>
              <w:t>(3)</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(4)</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 (17.5% of investment income and capital gain)</w:t>
            </w:r>
          </w:p>
        </w:tc>
        <w:tc>
          <w:tcPr>
            <w:tcW w:w="9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(5)</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Interest payments on borrowed funds</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(6)</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400" w:type="dxa"/>
            <w:vAlign w:val="bottom"/>
            <w:tcBorders>
              <w:bottom w:val="single" w:sz="8" w:color="auto"/>
            </w:tcBorders>
            <w:shd w:val="clear" w:color="auto" w:fill="CCEEFF"/>
          </w:tcPr>
          <w:p>
            <w:pPr>
              <w:spacing w:after="0"/>
              <w:rPr>
                <w:sz w:val="18"/>
                <w:szCs w:val="18"/>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3"/>
              </w:rPr>
              <w:t>%</w:t>
            </w:r>
            <w:r>
              <w:rPr>
                <w:rFonts w:ascii="Arial" w:cs="Arial" w:eastAsia="Arial" w:hAnsi="Arial"/>
                <w:sz w:val="11"/>
                <w:szCs w:val="11"/>
                <w:color w:val="auto"/>
                <w:w w:val="93"/>
              </w:rPr>
              <w:t>(7)(8)</w:t>
            </w:r>
          </w:p>
        </w:tc>
      </w:tr>
      <w:tr>
        <w:trPr>
          <w:trHeight w:val="222"/>
        </w:trPr>
        <w:tc>
          <w:tcPr>
            <w:tcW w:w="10120" w:type="dxa"/>
            <w:vAlign w:val="bottom"/>
            <w:gridSpan w:val="2"/>
          </w:tcPr>
          <w:p>
            <w:pPr>
              <w:spacing w:after="0"/>
              <w:rPr>
                <w:sz w:val="20"/>
                <w:szCs w:val="20"/>
                <w:color w:val="auto"/>
              </w:rPr>
            </w:pPr>
            <w:r>
              <w:rPr>
                <w:rFonts w:ascii="Arial" w:cs="Arial" w:eastAsia="Arial" w:hAnsi="Arial"/>
                <w:sz w:val="18"/>
                <w:szCs w:val="18"/>
                <w:color w:val="auto"/>
              </w:rPr>
              <w:t>Total annual expenses</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(8)</w:t>
            </w:r>
          </w:p>
        </w:tc>
      </w:tr>
      <w:tr>
        <w:trPr>
          <w:trHeight w:val="20"/>
        </w:trPr>
        <w:tc>
          <w:tcPr>
            <w:tcW w:w="110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03"/>
        </w:trPr>
        <w:tc>
          <w:tcPr>
            <w:tcW w:w="1100" w:type="dxa"/>
            <w:vAlign w:val="bottom"/>
            <w:tcBorders>
              <w:bottom w:val="single" w:sz="8" w:color="auto"/>
            </w:tcBorders>
          </w:tcPr>
          <w:p>
            <w:pPr>
              <w:spacing w:after="0"/>
              <w:rPr>
                <w:sz w:val="8"/>
                <w:szCs w:val="8"/>
                <w:color w:val="auto"/>
              </w:rPr>
            </w:pPr>
          </w:p>
        </w:tc>
        <w:tc>
          <w:tcPr>
            <w:tcW w:w="9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r>
    </w:tbl>
    <w:p>
      <w:pPr>
        <w:spacing w:after="0" w:line="19" w:lineRule="exact"/>
        <w:rPr>
          <w:sz w:val="20"/>
          <w:szCs w:val="20"/>
          <w:color w:val="auto"/>
        </w:rPr>
      </w:pPr>
    </w:p>
    <w:p>
      <w:pPr>
        <w:ind w:left="620" w:right="620" w:hanging="423"/>
        <w:spacing w:after="0" w:line="268"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sales load (underwriting discount) with respect to the shares of our common stock sold in this offering, which is a one-time fee paid to the underwriters, is the only sales load paid in connection with this offering.</w:t>
      </w:r>
    </w:p>
    <w:p>
      <w:pPr>
        <w:spacing w:after="0" w:line="51" w:lineRule="exact"/>
        <w:rPr>
          <w:sz w:val="20"/>
          <w:szCs w:val="20"/>
          <w:color w:val="auto"/>
        </w:rPr>
      </w:pPr>
    </w:p>
    <w:p>
      <w:pPr>
        <w:ind w:left="200"/>
        <w:spacing w:after="0"/>
        <w:tabs>
          <w:tab w:leader="none" w:pos="600" w:val="left"/>
          <w:tab w:leader="none" w:pos="5820" w:val="left"/>
        </w:tabs>
        <w:rPr>
          <w:sz w:val="20"/>
          <w:szCs w:val="20"/>
          <w:color w:val="auto"/>
        </w:rPr>
      </w:pPr>
      <w:r>
        <w:rPr>
          <w:rFonts w:ascii="Arial" w:cs="Arial" w:eastAsia="Arial" w:hAnsi="Arial"/>
          <w:sz w:val="18"/>
          <w:szCs w:val="18"/>
          <w:color w:val="auto"/>
        </w:rPr>
        <w:t>(2)</w:t>
        <w:tab/>
        <w:t>Amount reflects estimated offering expenses of approximately $</w:t>
      </w:r>
      <w:r>
        <w:rPr>
          <w:sz w:val="20"/>
          <w:szCs w:val="20"/>
          <w:color w:val="auto"/>
        </w:rPr>
        <w:tab/>
      </w:r>
      <w:r>
        <w:rPr>
          <w:rFonts w:ascii="Arial" w:cs="Arial" w:eastAsia="Arial" w:hAnsi="Arial"/>
          <w:sz w:val="18"/>
          <w:szCs w:val="18"/>
          <w:color w:val="auto"/>
        </w:rPr>
        <w:t>.</w:t>
      </w:r>
    </w:p>
    <w:p>
      <w:pPr>
        <w:spacing w:after="0" w:line="90" w:lineRule="exact"/>
        <w:rPr>
          <w:sz w:val="20"/>
          <w:szCs w:val="20"/>
          <w:color w:val="auto"/>
        </w:rPr>
      </w:pPr>
    </w:p>
    <w:p>
      <w:pPr>
        <w:ind w:left="620" w:right="620" w:hanging="423"/>
        <w:spacing w:after="0" w:line="268"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w:t>
      </w:r>
    </w:p>
    <w:p>
      <w:pPr>
        <w:spacing w:after="0" w:line="50" w:lineRule="exact"/>
        <w:rPr>
          <w:rFonts w:ascii="Arial" w:cs="Arial" w:eastAsia="Arial" w:hAnsi="Arial"/>
          <w:sz w:val="18"/>
          <w:szCs w:val="18"/>
          <w:color w:val="auto"/>
        </w:rPr>
      </w:pPr>
    </w:p>
    <w:p>
      <w:pPr>
        <w:ind w:left="620" w:right="240" w:hanging="423"/>
        <w:spacing w:after="0" w:line="256"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Management Fee is 1.5% of our gross assets (including cash and cash equivalents and assets purchased with borrowed amounts). We may from time to time decide it is appropriate to change the terms of the agreement. Under the 1940 Act, any material change to our Investment Advisory Agreement must be submitted to stockholders for approval. See “Management and Other Agreements—Investment Advisory Agreement; Administration Agreement; License Agreement.”</w:t>
      </w:r>
    </w:p>
    <w:p>
      <w:pPr>
        <w:spacing w:after="0" w:line="62" w:lineRule="exact"/>
        <w:rPr>
          <w:sz w:val="20"/>
          <w:szCs w:val="20"/>
          <w:color w:val="auto"/>
        </w:rPr>
      </w:pPr>
    </w:p>
    <w:p>
      <w:pPr>
        <w:ind w:left="620" w:right="120"/>
        <w:spacing w:after="0" w:line="305" w:lineRule="auto"/>
        <w:rPr>
          <w:sz w:val="20"/>
          <w:szCs w:val="20"/>
          <w:color w:val="auto"/>
        </w:rPr>
      </w:pPr>
      <w:r>
        <w:rPr>
          <w:rFonts w:ascii="Arial" w:cs="Arial" w:eastAsia="Arial" w:hAnsi="Arial"/>
          <w:sz w:val="15"/>
          <w:szCs w:val="15"/>
          <w:color w:val="auto"/>
        </w:rPr>
        <w:t>The Management Fee reflected in the table is calculated by determining the ratio that the Management Fee bears to our net assets attributable to common stock (rather than our gross assets). The estimate of our Management Fee referenced in the table is based on our gross assets (including cash</w:t>
      </w:r>
    </w:p>
    <w:p>
      <w:pPr>
        <w:ind w:left="620" w:right="20"/>
        <w:spacing w:after="0" w:line="261" w:lineRule="auto"/>
        <w:rPr>
          <w:sz w:val="20"/>
          <w:szCs w:val="20"/>
          <w:color w:val="auto"/>
        </w:rPr>
      </w:pPr>
      <w:r>
        <w:rPr>
          <w:rFonts w:ascii="Arial" w:cs="Arial" w:eastAsia="Arial" w:hAnsi="Arial"/>
          <w:sz w:val="18"/>
          <w:szCs w:val="18"/>
          <w:color w:val="auto"/>
        </w:rPr>
        <w:t>and cash equivalents and assets purchased with borrowed money) and net assets pro forma as of after giving effect to this offering and the expected repayment of indebtedness, as discussed in more detail under “Use of Proceeds.”</w:t>
      </w:r>
    </w:p>
    <w:p>
      <w:pPr>
        <w:spacing w:after="0" w:line="57" w:lineRule="exact"/>
        <w:rPr>
          <w:sz w:val="20"/>
          <w:szCs w:val="20"/>
          <w:color w:val="auto"/>
        </w:rPr>
      </w:pPr>
    </w:p>
    <w:p>
      <w:pPr>
        <w:ind w:left="620" w:right="140" w:hanging="423"/>
        <w:spacing w:after="0" w:line="268"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have capital gains and interest income that could result in the payment of an Incentive Fee to the Adviser in the first year after completion of this offering. The Incentive Fee payable in the example below is</w:t>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20" w:right="100"/>
        <w:spacing w:after="0" w:line="259" w:lineRule="auto"/>
        <w:rPr>
          <w:sz w:val="20"/>
          <w:szCs w:val="20"/>
          <w:color w:val="auto"/>
        </w:rPr>
      </w:pPr>
      <w:r>
        <w:rPr>
          <w:rFonts w:ascii="Arial" w:cs="Arial" w:eastAsia="Arial" w:hAnsi="Arial"/>
          <w:sz w:val="18"/>
          <w:szCs w:val="18"/>
          <w:color w:val="auto"/>
        </w:rPr>
        <w:t>based upon our actual results for the year ended December 31, 2013 as if they had occurred following the IPO, and assumes that the Incentive Fee is 17.5% for all relevant periods. However, the Incentive Fee payable to the Adviser is based on our performance and will not be paid unless we achieve certain goals.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Incentive Fee consists of two parts:</w:t>
      </w:r>
    </w:p>
    <w:p>
      <w:pPr>
        <w:spacing w:after="0" w:line="90" w:lineRule="exact"/>
        <w:rPr>
          <w:sz w:val="20"/>
          <w:szCs w:val="20"/>
          <w:color w:val="auto"/>
        </w:rPr>
      </w:pPr>
    </w:p>
    <w:p>
      <w:pPr>
        <w:ind w:left="620" w:right="180"/>
        <w:spacing w:after="0" w:line="255" w:lineRule="auto"/>
        <w:rPr>
          <w:sz w:val="20"/>
          <w:szCs w:val="20"/>
          <w:color w:val="auto"/>
        </w:rPr>
      </w:pPr>
      <w:r>
        <w:rPr>
          <w:rFonts w:ascii="Arial" w:cs="Arial" w:eastAsia="Arial" w:hAnsi="Arial"/>
          <w:sz w:val="18"/>
          <w:szCs w:val="18"/>
          <w:color w:val="auto"/>
        </w:rPr>
        <w:t>The first component, payable at the end of each quarter in arrears, equals 100% of the pre- Incentive Fee net investment income in excess of a 1.5% quarterly “hurdle rate” until the Adviser has received 17.5% of the total pre-Incentive Fee net investment income for that quarter (an increase from 15% prior to this IPO and for the quarter in which this IPO is completed) and, for pre-Incentive Fee net investment income in excess of 1.82% quarterly, 17.5% of all remaining pre-Incentive Fee net investment income for that quarter (an increase from 15% prior to the completion of this IPO and for the quarter in which this IPO is completed).</w:t>
      </w:r>
    </w:p>
    <w:p>
      <w:pPr>
        <w:spacing w:after="0" w:line="62" w:lineRule="exact"/>
        <w:rPr>
          <w:sz w:val="20"/>
          <w:szCs w:val="20"/>
          <w:color w:val="auto"/>
        </w:rPr>
      </w:pPr>
    </w:p>
    <w:p>
      <w:pPr>
        <w:ind w:left="620" w:right="200"/>
        <w:spacing w:after="0" w:line="256" w:lineRule="auto"/>
        <w:rPr>
          <w:sz w:val="20"/>
          <w:szCs w:val="20"/>
          <w:color w:val="auto"/>
        </w:rPr>
      </w:pPr>
      <w:r>
        <w:rPr>
          <w:rFonts w:ascii="Arial" w:cs="Arial" w:eastAsia="Arial" w:hAnsi="Arial"/>
          <w:sz w:val="18"/>
          <w:szCs w:val="18"/>
          <w:color w:val="auto"/>
        </w:rPr>
        <w:t>The second part is determined and payable in arrears as of the end of each calendar year in an amount equal to a weighted percentage of our realized capital gains, if any, on a cumulative basis as between our inception to the end of the quarter in which this IPO is completed at 15% and thereafter at 17.5%, less cumulative realized capital losses, unrealized capital depreciation and net of the aggregate amount of any previously paid capital gain Incentive Fee for prior periods.</w:t>
      </w:r>
    </w:p>
    <w:p>
      <w:pPr>
        <w:spacing w:after="0" w:line="6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See “Management and Other Agreements—Investment Advisory Agreement; Administration Agreement; License Agreement”</w:t>
      </w:r>
    </w:p>
    <w:p>
      <w:pPr>
        <w:spacing w:after="0" w:line="90" w:lineRule="exact"/>
        <w:rPr>
          <w:sz w:val="20"/>
          <w:szCs w:val="20"/>
          <w:color w:val="auto"/>
        </w:rPr>
      </w:pPr>
    </w:p>
    <w:p>
      <w:pPr>
        <w:ind w:left="620" w:right="40" w:hanging="423"/>
        <w:spacing w:after="0" w:line="298" w:lineRule="auto"/>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Interest payments on borrowed funds represents an estimate of our annualized interest expenses under our credit facilities based on the amounts expected to be outstanding after this offering and the repayment of certain credit facility indebtedness described in “Use of Proceeds.”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31" w:lineRule="exact"/>
        <w:rPr>
          <w:rFonts w:ascii="Arial" w:cs="Arial" w:eastAsia="Arial" w:hAnsi="Arial"/>
          <w:sz w:val="16"/>
          <w:szCs w:val="16"/>
          <w:color w:val="auto"/>
        </w:rPr>
      </w:pPr>
    </w:p>
    <w:p>
      <w:pPr>
        <w:ind w:left="620" w:right="120" w:hanging="423"/>
        <w:spacing w:after="0" w:line="259"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our overhead expenses, such as payments under the Administration Agreement for certain expenses incurred by the Adviser. See “Management and Other Agreements— Investment Advisory Agreement; Administration Agreement; License Agreement.” We based these expenses on estimated amounts for the current fiscal year.</w:t>
      </w:r>
    </w:p>
    <w:p>
      <w:pPr>
        <w:spacing w:after="0" w:line="59" w:lineRule="exact"/>
        <w:rPr>
          <w:rFonts w:ascii="Arial" w:cs="Arial" w:eastAsia="Arial" w:hAnsi="Arial"/>
          <w:sz w:val="18"/>
          <w:szCs w:val="18"/>
          <w:color w:val="auto"/>
        </w:rPr>
      </w:pPr>
    </w:p>
    <w:p>
      <w:pPr>
        <w:ind w:left="620" w:hanging="42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Estimated.</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(taking into account the repayment of certain credit facility indebtedness as described in “Use of Proceeds”) and that our annual operating expenses would remain at the levels set forth in the table above. The Incentive Fee payable in the example below assumes that the Incentive Fee is 17.5% for all relevant periods. Transaction expenses are included in the following example.</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1 year</w:t>
            </w: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3 years</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99"/>
              </w:rPr>
              <w:t>10 years</w:t>
            </w:r>
          </w:p>
        </w:tc>
      </w:tr>
      <w:tr>
        <w:trPr>
          <w:trHeight w:val="188"/>
        </w:trPr>
        <w:tc>
          <w:tcPr>
            <w:tcW w:w="79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2"/>
              </w:rPr>
              <w:t>You would pay the following expenses on a $1,000 investment, assuming a 5% annual return from realized</w:t>
            </w:r>
          </w:p>
        </w:tc>
        <w:tc>
          <w:tcPr>
            <w:tcW w:w="4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gains</w:t>
            </w: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bl>
    <w:p>
      <w:pPr>
        <w:spacing w:after="0" w:line="154" w:lineRule="exact"/>
        <w:rPr>
          <w:sz w:val="20"/>
          <w:szCs w:val="20"/>
          <w:color w:val="auto"/>
        </w:rPr>
      </w:pPr>
    </w:p>
    <w:p>
      <w:pPr>
        <w:ind w:left="200" w:right="80" w:firstLine="443"/>
        <w:spacing w:after="0" w:line="298" w:lineRule="auto"/>
        <w:rPr>
          <w:sz w:val="20"/>
          <w:szCs w:val="20"/>
          <w:color w:val="auto"/>
        </w:rPr>
      </w:pPr>
      <w:r>
        <w:rPr>
          <w:rFonts w:ascii="Arial" w:cs="Arial" w:eastAsia="Arial" w:hAnsi="Arial"/>
          <w:sz w:val="16"/>
          <w:szCs w:val="16"/>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847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18478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52" w:lineRule="auto"/>
        <w:rPr>
          <w:sz w:val="20"/>
          <w:szCs w:val="20"/>
          <w:color w:val="auto"/>
        </w:rPr>
      </w:pPr>
      <w:r>
        <w:rPr>
          <w:rFonts w:ascii="Arial" w:cs="Arial" w:eastAsia="Arial" w:hAnsi="Arial"/>
          <w:sz w:val="18"/>
          <w:szCs w:val="18"/>
          <w:color w:val="auto"/>
        </w:rPr>
        <w:t>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if our Board authorizes and we declare a cash dividend, participants in our dividend reinvestment plan who have not otherwise elected to receive cash will receive a number of shares of our common stock, determined by dividing the total dollar amount of the dividend payable to a participant by the market price per share of our common stock at the close of trading on the valuation date for the dividend. See “Dividend Reinvestment Plan” for additional information regarding our dividend reinvestment plan.</w:t>
      </w:r>
    </w:p>
    <w:p>
      <w:pPr>
        <w:spacing w:after="0" w:line="151"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Investing in our common stock involves a number of significant risks. Before you invest in our common stock, you should be aware of various risks associated with the investment, including those described below. You should carefully consider these risk factors, together with all of the other information included in this prospectus, before you decide whether to make an investment in our common stock.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recently formed company with relatively little operating history.</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began our investing activities on July 8, 2011. As a result, we have relatively limited financial information on which you can evaluate an investment in our company or our prior performance. We are subject to all of the business risks and uncertainties associated with any new business, including the risk that we will not achieve our investment objective and that the value of your investment could decline substantially or your investment could become worthless.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upon at least 60 days’ written notice to the other party. The holders of a majority of our outstanding voting securities may also terminate the Investment Advisory Agreement without penalty upon not less than 60 days’ written notice.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1940 Act imposes numerous constraints on the operations of BDCs. See “Regulation”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200%. Consequently, if the value of our assets declines, we may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Although we do not anticipate issuing preferred stock during the 12 months following this offering, 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currently do not intend to sell our common stock, or warrants, options or rights to acquire our common stock, at a price below the then-current net asset value per share of our common stock but we may elect to do so if our Board determines that a sale is in the best interests of us and our stockholders, and our stockholders approve it.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and the investors who acquire shares in the offering may thereafter experience the same type of dilution from subsequent offerings at a discount.</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“—We may enter into collateralized loan obligations or their equivalents, which may subject us to certain structured financing risks.”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part of our business strategy, we borrow from and may in the future issue senior debt securities to banks, insurance companies and other lenders. Holders of these loans or senior securities would have fixed-dollar claims on our assets that are superior to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economic conditions and competitive pressures. In addition, the Management Fee is payable based on our gross assets, including cash and assets acquired through the use of leverage, which may give our Adviser an incentive to use leverage to make additional investments. See “—Even in the event the value of your investment declines, the Management Fee and, in certain circumstances, the Incentive Fee will still be payable to the Adviser.”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credit facilities also impose financial and operating covenants that restrict our business activities, remedies on default and similar matters. As of November 30, 2013,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of November 30, 2013, we had approximately $372 million of outstanding indebtedness, which would have an annualized interest cost of 2.55% under the terms of our credit facilities, excluding fees (such as fees on undrawn amounts and amortization of upfront fees), to the extent the amount remains outstanding. For us to cover these annualized interest payments on indebtedness (exclusive of other fees we owe), we must achieve annual returns on our investments of at least 1.01%. Since we generally pay interest at a floating rate on our credit facilities, an increase in interest rates will generally increase our borrowing costs.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2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89"/>
              </w:rPr>
              <w:t>Assumed Return on Our Portfolio</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8"/>
        </w:trPr>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3"/>
              </w:rPr>
              <w:t>(net of expenses)</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13"/>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-10%</w:t>
            </w:r>
          </w:p>
        </w:tc>
        <w:tc>
          <w:tcPr>
            <w:tcW w:w="38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0%</w:t>
            </w:r>
          </w:p>
        </w:tc>
        <w:tc>
          <w:tcPr>
            <w:tcW w:w="500" w:type="dxa"/>
            <w:vAlign w:val="bottom"/>
          </w:tcPr>
          <w:p>
            <w:pPr>
              <w:spacing w:after="0"/>
              <w:rPr>
                <w:sz w:val="24"/>
                <w:szCs w:val="24"/>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rPr>
              <w:t>5%</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10%</w:t>
            </w:r>
          </w:p>
        </w:tc>
        <w:tc>
          <w:tcPr>
            <w:tcW w:w="200" w:type="dxa"/>
            <w:vAlign w:val="bottom"/>
          </w:tcPr>
          <w:p>
            <w:pPr>
              <w:spacing w:after="0"/>
              <w:rPr>
                <w:sz w:val="24"/>
                <w:szCs w:val="24"/>
                <w:color w:val="auto"/>
              </w:rPr>
            </w:pPr>
          </w:p>
        </w:tc>
      </w:tr>
      <w:tr>
        <w:trPr>
          <w:trHeight w:val="210"/>
        </w:trPr>
        <w:tc>
          <w:tcPr>
            <w:tcW w:w="37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Corresponding return to stockholder</w:t>
            </w:r>
          </w:p>
        </w:tc>
        <w:tc>
          <w:tcPr>
            <w:tcW w:w="1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jc w:val="right"/>
              <w:ind w:right="257"/>
              <w:spacing w:after="0"/>
              <w:rPr>
                <w:sz w:val="20"/>
                <w:szCs w:val="20"/>
                <w:color w:val="auto"/>
              </w:rPr>
            </w:pPr>
            <w:r>
              <w:rPr>
                <w:rFonts w:ascii="Arial" w:cs="Arial" w:eastAsia="Arial" w:hAnsi="Arial"/>
                <w:sz w:val="18"/>
                <w:szCs w:val="18"/>
                <w:color w:val="auto"/>
                <w:w w:val="74"/>
              </w:rPr>
              <w:t>%</w:t>
            </w: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87"/>
              </w:rPr>
              <w:t>%</w:t>
            </w: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108"/>
        </w:trPr>
        <w:tc>
          <w:tcPr>
            <w:tcW w:w="11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8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1520" w:type="dxa"/>
            <w:vAlign w:val="bottom"/>
            <w:gridSpan w:val="4"/>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28"/>
        </w:trPr>
        <w:tc>
          <w:tcPr>
            <w:tcW w:w="1620" w:type="dxa"/>
            <w:vAlign w:val="bottom"/>
            <w:gridSpan w:val="2"/>
          </w:tcPr>
          <w:p>
            <w:pPr>
              <w:spacing w:after="0"/>
              <w:rPr>
                <w:sz w:val="20"/>
                <w:szCs w:val="20"/>
                <w:color w:val="auto"/>
              </w:rPr>
            </w:pPr>
            <w:r>
              <w:rPr>
                <w:rFonts w:ascii="Arial" w:cs="Arial" w:eastAsia="Arial" w:hAnsi="Arial"/>
                <w:sz w:val="18"/>
                <w:szCs w:val="18"/>
                <w:color w:val="auto"/>
              </w:rPr>
              <w:t>(1)   Assumes (i) $</w:t>
            </w:r>
          </w:p>
        </w:tc>
        <w:tc>
          <w:tcPr>
            <w:tcW w:w="2100" w:type="dxa"/>
            <w:vAlign w:val="bottom"/>
          </w:tcPr>
          <w:p>
            <w:pPr>
              <w:ind w:left="200"/>
              <w:spacing w:after="0"/>
              <w:rPr>
                <w:sz w:val="20"/>
                <w:szCs w:val="20"/>
                <w:color w:val="auto"/>
              </w:rPr>
            </w:pPr>
            <w:r>
              <w:rPr>
                <w:rFonts w:ascii="Arial" w:cs="Arial" w:eastAsia="Arial" w:hAnsi="Arial"/>
                <w:sz w:val="18"/>
                <w:szCs w:val="18"/>
                <w:color w:val="auto"/>
                <w:w w:val="98"/>
              </w:rPr>
              <w:t>million in investments at</w:t>
            </w:r>
          </w:p>
        </w:tc>
        <w:tc>
          <w:tcPr>
            <w:tcW w:w="1220" w:type="dxa"/>
            <w:vAlign w:val="bottom"/>
          </w:tcPr>
          <w:p>
            <w:pPr>
              <w:ind w:left="600"/>
              <w:spacing w:after="0"/>
              <w:rPr>
                <w:sz w:val="20"/>
                <w:szCs w:val="20"/>
                <w:color w:val="auto"/>
              </w:rPr>
            </w:pPr>
            <w:r>
              <w:rPr>
                <w:rFonts w:ascii="Arial" w:cs="Arial" w:eastAsia="Arial" w:hAnsi="Arial"/>
                <w:sz w:val="18"/>
                <w:szCs w:val="18"/>
                <w:color w:val="auto"/>
              </w:rPr>
              <w:t>, (ii) $</w:t>
            </w: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w w:val="95"/>
              </w:rPr>
              <w:t>million in outstanding indebtedness at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 (iii) $</w:t>
            </w:r>
          </w:p>
        </w:tc>
        <w:tc>
          <w:tcPr>
            <w:tcW w:w="1520" w:type="dxa"/>
            <w:vAlign w:val="bottom"/>
            <w:gridSpan w:val="4"/>
          </w:tcPr>
          <w:p>
            <w:pPr>
              <w:ind w:left="120"/>
              <w:spacing w:after="0"/>
              <w:rPr>
                <w:sz w:val="20"/>
                <w:szCs w:val="20"/>
                <w:color w:val="auto"/>
              </w:rPr>
            </w:pPr>
            <w:r>
              <w:rPr>
                <w:rFonts w:ascii="Arial" w:cs="Arial" w:eastAsia="Arial" w:hAnsi="Arial"/>
                <w:sz w:val="18"/>
                <w:szCs w:val="18"/>
                <w:color w:val="auto"/>
                <w:w w:val="87"/>
              </w:rPr>
              <w:t>million in net assets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2"/>
        </w:trPr>
        <w:tc>
          <w:tcPr>
            <w:tcW w:w="1160" w:type="dxa"/>
            <w:vAlign w:val="bottom"/>
          </w:tcPr>
          <w:p>
            <w:pPr>
              <w:ind w:left="460"/>
              <w:spacing w:after="0"/>
              <w:rPr>
                <w:sz w:val="20"/>
                <w:szCs w:val="20"/>
                <w:color w:val="auto"/>
              </w:rPr>
            </w:pPr>
            <w:r>
              <w:rPr>
                <w:rFonts w:ascii="Arial" w:cs="Arial" w:eastAsia="Arial" w:hAnsi="Arial"/>
                <w:sz w:val="18"/>
                <w:szCs w:val="18"/>
                <w:color w:val="auto"/>
              </w:rPr>
              <w:t>at</w:t>
            </w: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w w:val="92"/>
              </w:rPr>
              <w:t>and (iv) average cost of funds of</w:t>
            </w:r>
          </w:p>
        </w:tc>
        <w:tc>
          <w:tcPr>
            <w:tcW w:w="4660" w:type="dxa"/>
            <w:vAlign w:val="bottom"/>
            <w:gridSpan w:val="6"/>
          </w:tcPr>
          <w:p>
            <w:pPr>
              <w:jc w:val="right"/>
              <w:ind w:right="20"/>
              <w:spacing w:after="0"/>
              <w:rPr>
                <w:sz w:val="20"/>
                <w:szCs w:val="20"/>
                <w:color w:val="auto"/>
              </w:rPr>
            </w:pPr>
            <w:r>
              <w:rPr>
                <w:rFonts w:ascii="Arial" w:cs="Arial" w:eastAsia="Arial" w:hAnsi="Arial"/>
                <w:sz w:val="18"/>
                <w:szCs w:val="18"/>
                <w:color w:val="auto"/>
                <w:w w:val="91"/>
              </w:rPr>
              <w:t>%, which is the estimated borrowing cost on our credit facilities.</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90"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BDC, under the 1940 Act we generally will not be permitted to incur borrowings, issue debt securities or issue preferred stock unless immediately after the borrowing or issuance the ratio of total assets (less total liabilities other than indebtedness) to total indebtedness plus preferred stock, is at least 200%. Recent legislation introduced in the U.S. House of Representatives, if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(since we no longer have the ability to call capital from our existing investors).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16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where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later incur significant realized capital losses and unrealized capital depreciation on the remaining investments in our portfolio during subsequent years. Incentive Fees earned in prior years cannot be clawed back in later years even if we later incur losses.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0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19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3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90" w:lineRule="exact"/>
        <w:rPr>
          <w:rFonts w:ascii="Arial" w:cs="Arial" w:eastAsia="Arial" w:hAnsi="Arial"/>
          <w:sz w:val="18"/>
          <w:szCs w:val="18"/>
          <w:color w:val="auto"/>
        </w:rPr>
      </w:pPr>
    </w:p>
    <w:p>
      <w:pPr>
        <w:ind w:left="1480" w:right="80" w:hanging="446"/>
        <w:spacing w:after="0" w:line="268"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90" w:lineRule="exact"/>
        <w:rPr>
          <w:sz w:val="20"/>
          <w:szCs w:val="20"/>
          <w:color w:val="auto"/>
        </w:rPr>
      </w:pPr>
    </w:p>
    <w:p>
      <w:pPr>
        <w:ind w:left="920" w:right="80"/>
        <w:spacing w:after="0" w:line="255" w:lineRule="auto"/>
        <w:rPr>
          <w:sz w:val="20"/>
          <w:szCs w:val="20"/>
          <w:color w:val="auto"/>
        </w:rPr>
      </w:pPr>
      <w:r>
        <w:rPr>
          <w:rFonts w:ascii="Arial" w:cs="Arial" w:eastAsia="Arial" w:hAnsi="Arial"/>
          <w:sz w:val="18"/>
          <w:szCs w:val="18"/>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62" w:lineRule="exact"/>
        <w:rPr>
          <w:sz w:val="20"/>
          <w:szCs w:val="20"/>
          <w:color w:val="auto"/>
        </w:rPr>
      </w:pPr>
    </w:p>
    <w:p>
      <w:pPr>
        <w:ind w:left="9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50" w:lineRule="exact"/>
        <w:rPr>
          <w:rFonts w:ascii="Arial" w:cs="Arial" w:eastAsia="Arial" w:hAnsi="Arial"/>
          <w:sz w:val="18"/>
          <w:szCs w:val="18"/>
          <w:color w:val="auto"/>
        </w:rPr>
      </w:pPr>
    </w:p>
    <w:p>
      <w:pPr>
        <w:ind w:left="900" w:right="260" w:hanging="325"/>
        <w:spacing w:after="0" w:line="335" w:lineRule="auto"/>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8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elect to retain some income and capital gains in excess of what is permissible for excise tax purposes and such amounts will be subject to 4%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excise tax.</w:t>
      </w:r>
    </w:p>
    <w:p>
      <w:pPr>
        <w:spacing w:after="0" w:line="8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calendar year ended December 31, 2012, we retained $2.8 million of income and capital gains in order to provide us with additional liquidity and recorded a net expense of $0.1 million for U.S. federal excise tax as a result. We may decide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“Material U.S. Federal Income Tax Considerations—Regulated Investment Company Classification.”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or TPG may in the future organize a separate investment vehicle aimed specifically at non-U.S. middle-market loan originations or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TPG and the Adviser were to determine that an investment is appropriate both for us and for one or more other TSSP or TPG vehicles, we would only be able to make the investment in conjunction with another vehicle if we receive an order from the SEC permitting us to do so or the investment is otherwise permitted under relevant SEC guidance. We have applied for an order permitting certain co-investment transactions relating to middle-market loan originations for companies domiciled in the United States and certain follow-on investments in companies in which we have already invested, but we cannot assure you when or whether the order will be obtained. See “Related-Party Transactions and Certain Relationships.”</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TSSP and TPG.</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Adviser has the right, under the Investment Advisory Agreement and the Administration Agreement, to resign at any time upon not less than 60 days’ written notice, regardless of whether we have found a replacement. In addition, our Board has the authority to remove the Adviser for any reason or for no reason, or may choose not to renew the Investment Advisory Agreement and the Administration Agreement. If the Adviser resigns or is terminated,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distributions, are likely to be adversely affected, and the value of our common stock may decline.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new Investment Advisory Agreement also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13"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to our incorporation, the Adviser and its management had no prior experience managing a BDC or a RIC.</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Prior to our incorporation, the senior members of our Investment Team had no experience managing a BDC or a RIC, and the investment philosophy and techniques used by the Adviser to manage us may differ from the investment philosophy and techniques previously employed by the senior members of our Investment Team in identifying and managing past investments. Accordingly, our performance may differ from the performance of other businesses or companies with which the senior members of our Investment Team have been affiliated.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shares of common stock less attractive to investors.</w:t>
      </w:r>
    </w:p>
    <w:p>
      <w:pPr>
        <w:spacing w:after="0" w:line="5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Although we expect to become a large accelerated filer at some point following this IPO, we currently are a “non-accelerated filer” under the Exchange Act, which has exempted us from compliance with these auditor attestation requirements. We cannot predict if investors will find shares of our common stock less attractive because we will rely on these exemptions. If some investors find our shares of common stock less attractive as a result, there may be a less active trading market for our shares and our share price may be more volatile.</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choosing not to take advantage of the extended transition period for complying with new or revised accounting standards, which may make it more difficult for investors and securities analysts to compare our financial statements to companies that comply with private company effective dates.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last day of the fiscal year in which our annual gross revenue exceeds $1 billion;</w:t>
      </w:r>
    </w:p>
    <w:p>
      <w:pPr>
        <w:spacing w:after="0" w:line="90"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costs as a result of being a publicly traded company.</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publicly traded company, we will incur legal, accounting, investor relations and other expenses, including costs associated with corporate governance requirements, such as those under the Sarbanes-Oxley Act, and other rules implemented by the SEC and the listing standards of the New York Stock Exchange, or NYSE. Upon ceasing to qualify as an emerging growth company under the JOBS Act, our independent registered public accounting firm will be required to attest to the effectiveness of our internal controls over financial reporting pursuant to Section 404 of the Sarbanes-Oxley Act, which will increase the costs associated with our periodic reporting requirements.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amendment and syndication fees, the level of our expenses and default rates on our investments. As a result of these and other possible factors, results for any period should not be relied upon as being indicative of performance in future periods.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51"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following this offering, our certificate of incorporation will require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Our bylaws further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 See “Description of Our Capital Stock—Anti-Takeover Provisions.”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2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3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cyber attacks.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90"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make distributions.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Any changes to the laws and regulations governing our operations may cause us to alter our investment strategy to avail ourselves of new or different opportunities. For more information on tax regulatory risks, see “—Unless Congress renews certain exemptions that expired for taxable years commencing after December 31, 2013, certain dividend distributions we make to certain non-U.S. stockholders will be subject to U.S. withholding tax.”</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21, 2010, the Wall Street Reform and Consumer Protection Act, or Dodd-Frank Act, was signed into law. 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U.S. capital markets experienced extreme volatility and disruption in recent years, leading to recessionary conditions and depressed levels of consumer and commercial spending.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3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Uncertainty about the financial stability of the United States and of several countries in the European Union (EU) could have a significant adverse effect on our business, results of operations and financial condition.</w:t>
      </w:r>
    </w:p>
    <w:p>
      <w:pPr>
        <w:spacing w:after="0" w:line="51"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Due to federal budget deficit concerns, S&amp;P downgraded the federal government’s credit rating from AAA to AA+ for the first time in history on August 5, 2011. Further, Moody’s and Fitch have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2010, a financial crisis emerged in Europe, triggered by high budget deficits and rising direct and contingent sovereign debt in Greece, Ireland, Italy, Portugal and Spain, which created concerns about the ability of these nations to continue to service their sovereign debt obligations. Risks and ongoing concerns resulting from the debt crisis in Europe could have a detrimental impact on the global economic recovery, sovereign and non-sovereign debt in these countries and the financial condition of European financial institutions. Market and economic disruptions have affected, and may continue to affect, consumer confidence levels and spending, personal bankruptcy rates, levels of incurrence and default on consumer debt and home prices, among other factors. We cannot assure you that the market disruptions in Europe, including the increased cost of funding for certain governments and financial institutions, will not spread, and we cannot assure you that future assistance packages will be available, or if available, sufficient to stabilize the affected countries and markets in Europe or elsewhere. To the extent uncertainty regarding any economic recovery in Europe continues to negatively impact consumer confidence and consumer credit factors, our business and results of operations could be significantly and adversely affected.</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December 18, 2013, the U.S. Federal Reserve announced that it would scale back its bond-buying program, or quantitative easing, which is designed to stimulate the economy and expand the Federal Reserve’s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holdings of long-term securities until key economic indicators, such as the unemployment rate, show signs of improvement. The Federal Reserve signaled it would reduce its purchases of long-term Treasury bonds and would scale back on its purchases of mortgage-backed securities.</w:t>
      </w:r>
    </w:p>
    <w:p>
      <w:pPr>
        <w:spacing w:after="0" w:line="85"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It is unclear what effect, if any, the incremental reduction in the rate of the U.S. Federal Reserve’s monthly purchases will have on the value of our investments. However, it is possible that absent continued quantitative easing by the Federal Reserve, these developments, along with the European sovereign debt crisis, could cause interest rates and borrowing costs to rise, which may negatively impact our ability to access the debt markets on favorable terms.</w:t>
      </w:r>
    </w:p>
    <w:p>
      <w:pPr>
        <w:spacing w:after="0" w:line="16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 failure or the perceived risk of a failure to raise the statutory debt limit of the United States, or a shutdown of the United States federal government, could have a material adverse effect on our business, financial condition and results of operations.</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widely reported, the federal government may not be able to meet its debt payments in the relatively near future unless the federal debt ceiling is raised. If legislation increasing the debt ceiling is not enacted and the debt ceiling is reached, the federal government may stop or delay making payments on its obligations. A failure by Congress to raise the debt limit would increase the risk of default by the United States on its obligations, as well as the risk of other economic dislocations.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the U.S. government fails to complete its budget process or to provide for a continuing resolution before the expiration of the current continuing resolution, a federal government shutdown may result. Such a failure or the perceived risk of such a failure consequently could have a material adverse effect on the financial markets and economic conditions in the United States and throughout the world. It could also limit our ability and the ability of our portfolio companies to obtain financing, and it could have a material adverse effect on the valuation of our portfolio companies. Consequently, the continued uncertainty in the general economic environment, including the recent government shutdown and potential debt ceiling implications, as well in specific economies of several individual geographic markets in which our portfolio companies operate, could adversely affect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primarily invest in first-lien debt, second-lien debt, mezzanine debt or equity securities issued by middle-market companies. The companies in which we intend to invest will typically be highly leveraged, and, in most cases, our investments in these companies will not be rated by any rating agency. If these instruments were rated, we believe that they would likely receive a rating of below investment grade (that is, below BBB- or Baa3). Exposure to below investment grade instruments involves certain risks, including speculation with respect to the borrower’s capacity to pay interest and repay principal.</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First-Lien Debt</w:t>
      </w:r>
      <w:r>
        <w:rPr>
          <w:rFonts w:ascii="Arial" w:cs="Arial" w:eastAsia="Arial" w:hAnsi="Arial"/>
          <w:sz w:val="16"/>
          <w:szCs w:val="16"/>
          <w:color w:val="auto"/>
        </w:rPr>
        <w:t>. When we make a first-lien loan, we generally take a security interest in the available assets of the portfolio company, including the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be subordinated to those of other lenders in the loan under certain circumstances. This may result in greater risk and loss of principal on these loans.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i w:val="1"/>
          <w:iCs w:val="1"/>
          <w:color w:val="auto"/>
        </w:rPr>
        <w:t>Second-Lien and Mezzanine Debt</w:t>
      </w:r>
      <w:r>
        <w:rPr>
          <w:rFonts w:ascii="Arial" w:cs="Arial" w:eastAsia="Arial" w:hAnsi="Arial"/>
          <w:sz w:val="15"/>
          <w:szCs w:val="15"/>
          <w:color w:val="auto"/>
        </w:rPr>
        <w:t>. Our investments in second-lien and mezzanine debt generally are subordinated to senior loans and will either have junior</w:t>
      </w:r>
      <w:r>
        <w:rPr>
          <w:rFonts w:ascii="Arial" w:cs="Arial" w:eastAsia="Arial" w:hAnsi="Arial"/>
          <w:sz w:val="15"/>
          <w:szCs w:val="15"/>
          <w:i w:val="1"/>
          <w:iCs w:val="1"/>
          <w:color w:val="auto"/>
        </w:rPr>
        <w:t xml:space="preserve"> </w:t>
      </w:r>
      <w:r>
        <w:rPr>
          <w:rFonts w:ascii="Arial" w:cs="Arial" w:eastAsia="Arial" w:hAnsi="Arial"/>
          <w:sz w:val="15"/>
          <w:szCs w:val="15"/>
          <w:color w:val="auto"/>
        </w:rPr>
        <w:t>security interests or be unsecured. As such, other creditors may rank senior to us in the event of insolvency. This may result in greater risk and loss of principal.</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When we invest in first-lien debt, second-lien debt or mezzanine debt, we may acquire equity securities, such as warrants,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instruments, as well.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investments involve a number of significant risks, including:</w:t>
      </w:r>
    </w:p>
    <w:p>
      <w:pPr>
        <w:spacing w:after="0" w:line="90" w:lineRule="exact"/>
        <w:rPr>
          <w:sz w:val="20"/>
          <w:szCs w:val="20"/>
          <w:color w:val="auto"/>
        </w:rPr>
      </w:pPr>
    </w:p>
    <w:p>
      <w:pPr>
        <w:ind w:left="900" w:right="12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4" w:lineRule="exact"/>
        <w:rPr>
          <w:rFonts w:ascii="Arial" w:cs="Arial" w:eastAsia="Arial" w:hAnsi="Arial"/>
          <w:sz w:val="16"/>
          <w:szCs w:val="16"/>
          <w:color w:val="auto"/>
        </w:rPr>
      </w:pPr>
    </w:p>
    <w:p>
      <w:pPr>
        <w:jc w:val="both"/>
        <w:ind w:left="900" w:right="1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59"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4" w:lineRule="exact"/>
        <w:rPr>
          <w:rFonts w:ascii="Arial" w:cs="Arial" w:eastAsia="Arial" w:hAnsi="Arial"/>
          <w:sz w:val="16"/>
          <w:szCs w:val="16"/>
          <w:color w:val="auto"/>
        </w:rPr>
      </w:pPr>
    </w:p>
    <w:p>
      <w:pPr>
        <w:ind w:left="900" w:right="3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To the extent we invest in preferred securities, we may incur particular risks, including:</w:t>
      </w:r>
    </w:p>
    <w:p>
      <w:pPr>
        <w:spacing w:after="0" w:line="90" w:lineRule="exact"/>
        <w:rPr>
          <w:sz w:val="20"/>
          <w:szCs w:val="20"/>
          <w:color w:val="auto"/>
        </w:rPr>
      </w:pPr>
    </w:p>
    <w:p>
      <w:pPr>
        <w:ind w:left="900" w:right="36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5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will be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in part on our gross assets.</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197"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expect that no single investment will represent more than 15% of our investment portfolio, based on fair value, and are not targeting any specific industries, our investments may be focused on relatively few industries. For example, although we classify the industries of our portfolio companies by end-market (such as healthcare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pharmaceuticals,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 For example, we could use our wholly owned subsidiary, TPG SL SPV, LLC, which holds the assets that support our asset-backed credit facility with Natixis Bank, to form a CLO or other securitization vehicle in the future.</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were to create a CLO or other securitization vehicle, we would depend on distributions from the vehicle to make distributions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1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may be exposed to many of the same risks as described above with respect to our wholly owned subsidiary that supports our Revolving Credit Facility (Natixis). However, in the event we formed a CLO or other securitization vehicle, many of the risks described above would be heightened because we may incur a higher degree of leverage under a CLO or other securitization vehicle than we are permitted to incur under our Revolving Credit Facility (Natixis).</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Nonetheless, a CLO or other securitization vehicle, if created, also would likely be consolidated in our financial statements and consequently affect our asset coverage ratio, which may limit our ability to incur additional leverage. See “Regulation.”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57" w:lineRule="auto"/>
        <w:rPr>
          <w:sz w:val="20"/>
          <w:szCs w:val="20"/>
          <w:color w:val="auto"/>
        </w:rPr>
      </w:pPr>
      <w:r>
        <w:rPr>
          <w:rFonts w:ascii="Arial" w:cs="Arial" w:eastAsia="Arial" w:hAnsi="Arial"/>
          <w:sz w:val="15"/>
          <w:szCs w:val="15"/>
          <w:b w:val="1"/>
          <w:bCs w:val="1"/>
          <w:i w:val="1"/>
          <w:iCs w:val="1"/>
          <w:color w:val="auto"/>
        </w:rPr>
        <w:t>Because we currently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ind w:firstLine="456"/>
        <w:spacing w:after="0" w:line="291" w:lineRule="auto"/>
        <w:rPr>
          <w:sz w:val="20"/>
          <w:szCs w:val="20"/>
          <w:color w:val="auto"/>
        </w:rPr>
      </w:pPr>
      <w:r>
        <w:rPr>
          <w:rFonts w:ascii="Arial" w:cs="Arial" w:eastAsia="Arial" w:hAnsi="Arial"/>
          <w:sz w:val="16"/>
          <w:szCs w:val="16"/>
          <w:color w:val="auto"/>
        </w:rPr>
        <w:t>We are a lender, and loans (and any equity investments we make)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may use interest rate risk management techniques in an effort to limit our exposure to interest rate fluctuations. These techniques may include various interest rate hedging activities to the extent permitted by the 1940 Act. See “—We expose ourselves to risks when we engage in hedging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assets. The debt of companies in financial reorganization will, in most cases, not pay current interest, may not accrue interest during reorganization and may be adversely affected by an erosion of the issuer’s fundamental value.</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to:</w:t>
      </w:r>
    </w:p>
    <w:p>
      <w:pPr>
        <w:spacing w:after="0" w:line="113"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decision by TSSP, TPG or our Adviser to allocate an opportunity to another entity could cause us to forgo an investment opportunity that we otherwise would have made. We also generally will be unable to invest in any issuer in which TPG and its other affiliates or a fund managed by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applied for an exemptive order from the SEC that would permit us and certain of our affiliates, including investment funds managed by our affiliates, to co-invest. The order would be subject to certain terms and conditions and we cannot assure you that the order will be granted by the SEC. Accordingly, we cannot assure you that we or our affiliates, including investment funds managed by our affiliates, will be permitted to co-invest, other than in the limited circumstances currently permitted by regulatory guidance.</w:t>
      </w:r>
    </w:p>
    <w:p>
      <w:pPr>
        <w:spacing w:after="0" w:line="22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5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 addition, interest income derived from loans to foreign companies is not eligible to be distributed to our non-U.S. stockholders free from withholding taxes.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Use of these hedging instruments may include counter-party credit risk. To the extent we have non-U.S. investments, particularly investments denominated in non-U.S. currencies, our hedging costs will increase.</w:t>
      </w:r>
    </w:p>
    <w:p>
      <w:pPr>
        <w:spacing w:after="0" w:line="9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also have the ability to borrow in certain foreign currencies under the Revolving Credit Facility (SunTrust). Instead of entering into a foreign exchange forward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(SunTrust), we may seek to utilize interest rate derivatives to hedge our exposure to changes in the associated rate.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80" w:firstLine="456"/>
        <w:spacing w:after="0" w:line="294" w:lineRule="auto"/>
        <w:rPr>
          <w:sz w:val="20"/>
          <w:szCs w:val="20"/>
          <w:color w:val="auto"/>
        </w:rPr>
      </w:pPr>
      <w:r>
        <w:rPr>
          <w:rFonts w:ascii="Arial" w:cs="Arial" w:eastAsia="Arial" w:hAnsi="Arial"/>
          <w:sz w:val="16"/>
          <w:szCs w:val="16"/>
          <w:color w:val="auto"/>
        </w:rPr>
        <w:t>Hedging against a decline in the values of our portfolio positions would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also may not be possible to hedge against an exchange rate or interest rate fluctuation that is so generally anticipated that we are not able to enter into a hedging transaction at an acceptable price.</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success of our hedging strategy will depend on our ability to correctly identify appropriate exposures for hedging. To date, we have entered into such transactions to seek to reduce currency exchange rate risk.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variety of reasons, we may not seek to (or be able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“—We are exposed to risks associated with changes in interest rates” and “Management’s Discussion and Analysis of Financial Condition and Results of Operations—Results of Operations—Hedging.”</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1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Our Adviser intends to claim relief available under a no-action letter, known as Letter 12-40, issued by the staff of the Commodity Futures Trading Commission, or CFTC. Letter 12-40 would relieve our Adviser from registering with the CFTC as the commodity pool operator, or CPO of us, so long as we:</w:t>
      </w:r>
    </w:p>
    <w:p>
      <w:pPr>
        <w:spacing w:after="0" w:line="4"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were not to satisfy the conditions of Letter 12-40,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4.13(a)(3), which is not available for advisers of companies whose stock is marketed to the public.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Investments in below-investment grade debt instruments and certain equity securities may present special tax issues for us. U.S. federal income tax rules are not entirely clear about issues, including when we may cease to accrue interest, original issue discount or market discount, when and to what extent certain deductions may be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“Material U.S. Federal Income Tax Considerations—Regulated Investment Company Classification.”</w:t>
      </w:r>
    </w:p>
    <w:p>
      <w:pPr>
        <w:spacing w:after="0" w:line="1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Unless Congress renews certain exemptions that expired for taxable years commencing after December 31, 2013, certain dividend distributions we make to certain non-U.S. stockholders will be subject to U.S. withholding tax.</w:t>
      </w:r>
    </w:p>
    <w:p>
      <w:pPr>
        <w:spacing w:after="0" w:line="51" w:lineRule="exact"/>
        <w:rPr>
          <w:sz w:val="20"/>
          <w:szCs w:val="20"/>
          <w:color w:val="auto"/>
        </w:rPr>
      </w:pPr>
    </w:p>
    <w:p>
      <w:pPr>
        <w:ind w:right="180" w:firstLine="456"/>
        <w:spacing w:after="0" w:line="310" w:lineRule="auto"/>
        <w:rPr>
          <w:sz w:val="20"/>
          <w:szCs w:val="20"/>
          <w:color w:val="auto"/>
        </w:rPr>
      </w:pPr>
      <w:r>
        <w:rPr>
          <w:rFonts w:ascii="Arial" w:cs="Arial" w:eastAsia="Arial" w:hAnsi="Arial"/>
          <w:sz w:val="15"/>
          <w:szCs w:val="15"/>
          <w:color w:val="auto"/>
        </w:rPr>
        <w:t>In recent years, Congress has renewed the rules under which dividend distributions by RICs paid out of interest income, which we refer to as interest-related dividends, qualified for a generally applicable exemption from U.S. withholding tax. As a result, a non-U.S. stockholder could receive interest-related dividends free of U.S. withholding tax if (as normally would be the case) the stockholder would not have been subject to U.S. withholding tax if it had received the underlying interest income directly. This exemption expired for taxable years commencing after December 31, 2013. Further legislation will be required to make the exemption available with respect to such taxable years. We cannot assure you that Congress will extend the pass-through rules for taxable years commencing after December 31, 2013, or that any such extension will apply to all dividends that we distribute in such taxable years. A failure to extend the exemption for interest-related dividends would not affect the treatment of non-U.S. stockholders that qualify for an exemption from U.S. withholding tax on dividends by reason of their special status (for example, foreign government-related entities and certain pension funds resident in favorable treaty jurisdictions).</w:t>
      </w:r>
    </w:p>
    <w:p>
      <w:pPr>
        <w:spacing w:after="0" w:line="189"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2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and Incentive Fees paid to our investment adviser and certain of our other expenses for the calendar year, and these fees and expenses will be treated as miscellaneous itemized deductions of such U.S. stockholder. Miscellaneous itemized deductions generally are deductible by a U.S. 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 See “Material U.S. Federal Income Tax Considerations—Potential Limitation with respect to Certain U.S. Stockholders on Deductions for Certain Fees and Expenses.”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PIK.</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through contractual payment-in-kind, or PIK, interest (meaning interest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paid in the form of additional principal amount of the loan instead of in cash), or in certain other circumstances.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OID creates the risk that Incentive Fees will be paid to the Adviser based on non-cash accruals that ultimately may not be realized, while the Adviser will be under no obligation to reimburse us for these fees.</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distributions.</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accounting purposes, any cash distributions to shareholders representing OID income are not treated as coming from paid-in capital, even though the cash to pay them comes from the offering proceeds. As a result, despite the fact that a distribution representing OID income could be paid out of amounts invested by our stockholders, the 1940 Act does not require that stockholders be given notice of this fact by reporting it as a return of capital.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PIK interest has the effect of generating investment income at a compounding rate, thereby further increasing the Incentive Fees payable to the Adviser.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Similarly, all things being equal, the deferral associated with PIK interest also increases the loan-to-value ratio at a compounding rate.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you may not receive dividends or that our dividends may not grow over time.</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intend to continue making distributions on a quarterly basis to our stockholders out of assets legally available for distribution. We cannot assure you that we will achieve investment results or maintain a tax status that will allow or require any specified level of cash distributions or year-to-year increases in cash distributions. Our ability to pay distributions might be adversely affected by the impact of one or more of the risk factors described in this prospectus. Due to the asset coverage test applicable to us under the 1940 Act as a BDC or restrictions under our credit facilities, we may be limited in our ability to make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4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“—There are certain risks associated with holding debt obligations that have original issue discount or PIK.”</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Therefore, we may be required to make a distribution to our shareholders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tax. In addition, the withholding tax treatment of our distributions to certain of our non-U.S. stockholders depends on whether and when Congress enacts legislation extending the pass-through treatment of “interest-related dividends.” This treatment expired for taxable years commencing after December 31, 2013. See “Material U.S. Federal Income Tax Considerations—Regulated Investment Company Classification.”</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That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investment adviser, the amount of accrued income written off in any period will reduce the income in the period in which the write-off is taken and thereby reduce that period’s Incentive Fee payment, if any.</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common stock may involve a high degree of risk.</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common stock may not be suitable for someone with lower risk tolerance.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market price and liquidity of the market for shares of our common stock that will prevail in the market after this offering may be higher or lower than the price you pay and may be significantly affected by numerous factors, some of which are beyond our control and may not be directly related to our operating performance. These factors include:</w:t>
      </w:r>
    </w:p>
    <w:p>
      <w:pPr>
        <w:spacing w:after="0" w:line="59" w:lineRule="exact"/>
        <w:rPr>
          <w:sz w:val="20"/>
          <w:szCs w:val="20"/>
          <w:color w:val="auto"/>
        </w:rPr>
      </w:pPr>
    </w:p>
    <w:p>
      <w:pPr>
        <w:ind w:left="900" w:right="1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5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Prior to this offering, there has been no public market for our common stock, and we cannot assure you that a market for our common stock will develop or that the market price of shares of our common stock will not decline following the offering.</w:t>
      </w:r>
    </w:p>
    <w:p>
      <w:pPr>
        <w:spacing w:after="0" w:line="5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intend to apply to list our common stock on the NYSE. We cannot assure you that a trading market will develop for our common stock after this offering or, if one develops, that the trading market can be sustained. In addition, we cannot predict the prices at which our common stock will trade. The IPO price for our common stock will be determined through our negotiations with the underwriters and may not bear any relationship to the market price at which it may trade after our IPO. Shares of companies offered in an IPO often trade at a discount to the initial offering price due to underwriting discounts and commissions and related offering expenses. Also, 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We cannot predict whether our common stock will trade at, above or below net asset value. The risk of loss associated with this characteristic of closed-end management investment companies may be greater for investors expecting to sell shares of common stock purchased in the offering soon after the offering.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Upon completion of this offering, we will have shares of common stock outstanding (or shares of common stock if the underwriters’ over-allotment option is fully exercised). The shares of common stock sold in this offering will be freely tradable without restriction or limitation under the Securities Act. Any shares purchased in this offering or currently owned by our affiliates, as defined in the Securities Act, will be subject to the public information, manner of sale and volume limitations of Rule 144 under the Securities Act. The remaining shares of our common stock that will be outstanding upon the completion of this offering will be “restricted securities” under the meaning of Rule 144 promulgated under the Securities Act and may only be sold if such sale is registered under the Securities Act or exempt from registration, including the exemption under Rule 144. See “Shares Eligible for Future Sale.” Following this offering and the expiration of applicable lock-up periods, subject to applicable securities laws, sales of substantial amounts of our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adopted a dividend reinvestment plan, pursuant to which we will reinvest all cash dividends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“Distributions” and “Dividend Reinvestment Plan” for a description of our dividend policy and obligations.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the number of shares issued pursuant to the dividend reinvestment plan will be determined based on the market price of shares of our common stock, which may be below the net asset value per share. Accordingly, participants in the dividend reinvestment plan may receive a greater number shares of our common stock than the number of shares associated with our net asset value per share, resulting in dilution for other stockholders. Stockholders that opt out of our dividend reinvestment plan will experience dilution in their ownership percentage of our common stock over time.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2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to factors identified elsewhere in this prospectus, the following factors, among others, could cause actual results to differ materially from forward-looking statements or historical performance:</w:t>
      </w:r>
    </w:p>
    <w:p>
      <w:pPr>
        <w:spacing w:after="0" w:line="51" w:lineRule="exact"/>
        <w:rPr>
          <w:sz w:val="20"/>
          <w:szCs w:val="20"/>
          <w:color w:val="auto"/>
        </w:rPr>
      </w:pPr>
    </w:p>
    <w:p>
      <w:pPr>
        <w:ind w:left="900" w:right="4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prospectus.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“Risk Factors” and elsewhere in this prospectus. You should not place undue reliance on these forward-looking statements, which apply only as of the date of this prospectus. We do not undertake any obligation to update or revise any forward-looking statements or any other information contained herein, except as required by applicable law. You should understand that, under Sections 27A(b)(2)(B) and (D) of the Securities Act and Section 21E(b)(2)(B) and (D) of the Exchange Act, the “safe harbor” provisions of the Private Securities Litigation Reform Act of 1995 do not apply to statements made in connection with any offering of securities pursuant to this prospectus.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estimate that the net proceeds we will receive from the sale of shares of our common stock in this offering will be approximately $ million (or approximately $ million if the underwriters exercise their option to purchase additional shares of our common stock to cover over-allotments in full), after deducting the underwriting discounts and commissions and estimated offering expenses of approximately $ million payable by us.</w:t>
      </w:r>
    </w:p>
    <w:p>
      <w:pPr>
        <w:spacing w:after="0" w:line="107" w:lineRule="exact"/>
        <w:rPr>
          <w:sz w:val="20"/>
          <w:szCs w:val="20"/>
          <w:color w:val="auto"/>
        </w:rPr>
      </w:pPr>
    </w:p>
    <w:p>
      <w:pPr>
        <w:ind w:left="460"/>
        <w:spacing w:after="0"/>
        <w:tabs>
          <w:tab w:leader="none" w:pos="9160" w:val="left"/>
          <w:tab w:leader="none" w:pos="10460" w:val="left"/>
        </w:tabs>
        <w:rPr>
          <w:sz w:val="20"/>
          <w:szCs w:val="20"/>
          <w:color w:val="auto"/>
        </w:rPr>
      </w:pPr>
      <w:r>
        <w:rPr>
          <w:rFonts w:ascii="Arial" w:cs="Arial" w:eastAsia="Arial" w:hAnsi="Arial"/>
          <w:sz w:val="18"/>
          <w:szCs w:val="18"/>
          <w:color w:val="auto"/>
        </w:rPr>
        <w:t>We intend to use 100% of the net proceeds of this offering, together with our cash and cash equivalents, to pay down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6"/>
          <w:szCs w:val="16"/>
          <w:color w:val="auto"/>
        </w:rPr>
        <w:t>million if the</w:t>
      </w:r>
    </w:p>
    <w:p>
      <w:pPr>
        <w:spacing w:after="0" w:line="1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underwriters exercise their option to purchase additional shares of our common stock to cover over-allotments in full) of outstanding indebtedness under the Revolving Credit Facility (SunTrust), which matures on July 2, 2018, on or about the date of this offering. After giving effect to the use of proceeds to pay down a</w:t>
      </w:r>
    </w:p>
    <w:p>
      <w:pPr>
        <w:spacing w:after="0" w:line="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portion of the outstanding balance under the Revolving Credit Facility (SunTrust), $ million (or $ million if the underwriters exercise their option to purchase additional shares of our common stock to cover over-allotments in full) will remain outstanding under the facility. We do not intend to terminate the facility and may reborrow the amount we repay, subject to certain conditions. As of September 30, 2013, amounts outstanding under our Revolving Credit Facility (SunTrust) bore interest at a rate of LIBOR plus 225 basis points. Affiliates of certain underwriters are lenders under the Revolving Credit Facility (SunTrust). Accordingly, affiliates of certain of the underwriters may receive more than 5% of the proceeds of this offering to the extent the proceeds are used to pay down outstanding indebtedness under the Revolving Credit Facility (SunTrust).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Board intends to declare a dividend of $ per share for the quarter ending . Shares offered by this prospectus will be entitled to receive this dividend payment. We anticipate that this dividend will be paid from income generated primarily by interest earned on our investment portfolio.</w:t>
      </w:r>
    </w:p>
    <w:p>
      <w:pPr>
        <w:spacing w:after="0" w:line="8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To be treated as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32"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one-year period ending on October 31 of such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small portion of income and capital gains for the calendar year ended December 31, 2012 for purposes of additional liquidity and recorded a net expense of $0.1 million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you. If this happens, you will be treated for U.S. federal income tax purposes as if you had received an actual distribution of the net capital gains that we retain and you reinvested the net after-tax proceeds in us. In this situation, you would be eligible to claim a tax credit (or, in certain circumstances, a tax refund) equal to your allocable share of the tax we paid on the capital gains deemed distributed to you. See “Material U.S. Federal Income Tax Considerations.” We cannot assure you that we will achieve results that will permit us to pay any cash distributions or that will not be limited in our ability to pay dividends under the asset coverage test applicable to us under the 1940 Act.</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Unless you elect to receive your dividends in cash, we intend to make such distributions in additional shares of our common stock under our dividend reinvestment plan. Any fractional shares will be paid in cash. Investors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participating in our dividend reinvestment plan will be treated as receiving cash equal to the amount of the distribution, net of applicable withholding taxes, and investing the amount of such net cash in additional shares of our common stock. Although distributions paid in the form of additional shares of our common stock will generally be subject to U.S. federal income taxes in the same manner as cash distributions, investors participating in our dividend reinvestment plan will not receive any corresponding cash distributions with which to pay any such applicable taxes. If you hold shares of our common stock in the name of a broker or financial intermediary, you should contact such broker or financial intermediary regarding your election to receive distributions in cash in lieu of shares of our common stock. Any dividends reinvested through the issuance of shares through our dividend reinvestment plan will increase our assets on which the Management Fee and the Incentive Fee are determined and paid to the Adviser. See “Dividend Reinvestment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Declared</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 As of December 5, 2013, our issued and outstanding shares total 37,026,023, as adjusted for the stock split.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the dividends declared during the nine months ended September 30, 2013, and the years ended December 31,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88"/>
              </w:rPr>
              <w:t>Nine Months Ended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center"/>
              <w:ind w:right="900"/>
              <w:spacing w:after="0"/>
              <w:rPr>
                <w:sz w:val="20"/>
                <w:szCs w:val="20"/>
                <w:color w:val="auto"/>
              </w:rPr>
            </w:pPr>
            <w:r>
              <w:rPr>
                <w:rFonts w:ascii="Arial" w:cs="Arial" w:eastAsia="Arial" w:hAnsi="Arial"/>
                <w:sz w:val="14"/>
                <w:szCs w:val="14"/>
                <w:b w:val="1"/>
                <w:bCs w:val="1"/>
                <w:color w:val="auto"/>
                <w:w w:val="85"/>
              </w:rPr>
              <w:t>September 30, 2013</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Dividend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60" w:type="dxa"/>
            <w:vAlign w:val="bottom"/>
            <w:gridSpan w:val="3"/>
            <w:vMerge w:val="continue"/>
          </w:tcPr>
          <w:p>
            <w:pPr>
              <w:spacing w:after="0"/>
              <w:rPr>
                <w:sz w:val="14"/>
                <w:szCs w:val="14"/>
                <w:color w:val="auto"/>
              </w:rPr>
            </w:pPr>
          </w:p>
        </w:tc>
        <w:tc>
          <w:tcPr>
            <w:tcW w:w="1660" w:type="dxa"/>
            <w:vAlign w:val="bottom"/>
            <w:gridSpan w:val="2"/>
          </w:tcPr>
          <w:p>
            <w:pPr>
              <w:ind w:left="380"/>
              <w:spacing w:after="0"/>
              <w:rPr>
                <w:sz w:val="20"/>
                <w:szCs w:val="20"/>
                <w:color w:val="auto"/>
              </w:rPr>
            </w:pPr>
            <w:r>
              <w:rPr>
                <w:rFonts w:ascii="Arial" w:cs="Arial" w:eastAsia="Arial" w:hAnsi="Arial"/>
                <w:sz w:val="14"/>
                <w:szCs w:val="14"/>
                <w:b w:val="1"/>
                <w:bCs w:val="1"/>
                <w:color w:val="auto"/>
              </w:rPr>
              <w:t>Record Date</w:t>
            </w:r>
          </w:p>
        </w:tc>
        <w:tc>
          <w:tcPr>
            <w:tcW w:w="460" w:type="dxa"/>
            <w:vAlign w:val="bottom"/>
          </w:tcPr>
          <w:p>
            <w:pPr>
              <w:spacing w:after="0"/>
              <w:rPr>
                <w:sz w:val="14"/>
                <w:szCs w:val="14"/>
                <w:color w:val="auto"/>
              </w:rPr>
            </w:pPr>
          </w:p>
        </w:tc>
        <w:tc>
          <w:tcPr>
            <w:tcW w:w="19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March 31, 2013</w:t>
            </w:r>
          </w:p>
        </w:tc>
        <w:tc>
          <w:tcPr>
            <w:tcW w:w="5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2013</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6, 2013</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June 30, 2013</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June 30, 2013</w:t>
            </w:r>
          </w:p>
        </w:tc>
        <w:tc>
          <w:tcPr>
            <w:tcW w:w="460" w:type="dxa"/>
            <w:vAlign w:val="bottom"/>
          </w:tcPr>
          <w:p>
            <w:pPr>
              <w:spacing w:after="0"/>
              <w:rPr>
                <w:sz w:val="18"/>
                <w:szCs w:val="18"/>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rPr>
              <w:t>July 31, 2013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September 30, 2013</w:t>
            </w:r>
          </w:p>
        </w:tc>
        <w:tc>
          <w:tcPr>
            <w:tcW w:w="4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October 31, 2013</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60" w:type="dxa"/>
            <w:vAlign w:val="bottom"/>
            <w:gridSpan w:val="3"/>
          </w:tcPr>
          <w:p>
            <w:pPr>
              <w:ind w:left="440"/>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gridSpan w:val="3"/>
            <w:vMerge w:val="restart"/>
          </w:tcPr>
          <w:p>
            <w:pPr>
              <w:jc w:val="center"/>
              <w:ind w:right="90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1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center"/>
              <w:ind w:right="900"/>
              <w:spacing w:after="0"/>
              <w:rPr>
                <w:sz w:val="20"/>
                <w:szCs w:val="20"/>
                <w:color w:val="auto"/>
              </w:rPr>
            </w:pPr>
            <w:r>
              <w:rPr>
                <w:rFonts w:ascii="Arial" w:cs="Arial" w:eastAsia="Arial" w:hAnsi="Arial"/>
                <w:sz w:val="14"/>
                <w:szCs w:val="14"/>
                <w:b w:val="1"/>
                <w:bCs w:val="1"/>
                <w:color w:val="auto"/>
                <w:w w:val="85"/>
              </w:rPr>
              <w:t>December 31, 2012</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Dividend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60" w:type="dxa"/>
            <w:vAlign w:val="bottom"/>
            <w:gridSpan w:val="3"/>
            <w:vMerge w:val="continue"/>
          </w:tcPr>
          <w:p>
            <w:pPr>
              <w:spacing w:after="0"/>
              <w:rPr>
                <w:sz w:val="14"/>
                <w:szCs w:val="14"/>
                <w:color w:val="auto"/>
              </w:rPr>
            </w:pPr>
          </w:p>
        </w:tc>
        <w:tc>
          <w:tcPr>
            <w:tcW w:w="1660" w:type="dxa"/>
            <w:vAlign w:val="bottom"/>
            <w:gridSpan w:val="2"/>
          </w:tcPr>
          <w:p>
            <w:pPr>
              <w:ind w:left="380"/>
              <w:spacing w:after="0"/>
              <w:rPr>
                <w:sz w:val="20"/>
                <w:szCs w:val="20"/>
                <w:color w:val="auto"/>
              </w:rPr>
            </w:pPr>
            <w:r>
              <w:rPr>
                <w:rFonts w:ascii="Arial" w:cs="Arial" w:eastAsia="Arial" w:hAnsi="Arial"/>
                <w:sz w:val="14"/>
                <w:szCs w:val="14"/>
                <w:b w:val="1"/>
                <w:bCs w:val="1"/>
                <w:color w:val="auto"/>
              </w:rPr>
              <w:t>Record Date</w:t>
            </w:r>
          </w:p>
        </w:tc>
        <w:tc>
          <w:tcPr>
            <w:tcW w:w="460" w:type="dxa"/>
            <w:vAlign w:val="bottom"/>
          </w:tcPr>
          <w:p>
            <w:pPr>
              <w:spacing w:after="0"/>
              <w:rPr>
                <w:sz w:val="14"/>
                <w:szCs w:val="14"/>
                <w:color w:val="auto"/>
              </w:rPr>
            </w:pPr>
          </w:p>
        </w:tc>
        <w:tc>
          <w:tcPr>
            <w:tcW w:w="19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March 20, 2012</w:t>
            </w:r>
          </w:p>
        </w:tc>
        <w:tc>
          <w:tcPr>
            <w:tcW w:w="5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2012</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7, 2012</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May 9, 2012</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June 30, 2012</w:t>
            </w:r>
          </w:p>
        </w:tc>
        <w:tc>
          <w:tcPr>
            <w:tcW w:w="460" w:type="dxa"/>
            <w:vAlign w:val="bottom"/>
          </w:tcPr>
          <w:p>
            <w:pPr>
              <w:spacing w:after="0"/>
              <w:rPr>
                <w:sz w:val="18"/>
                <w:szCs w:val="18"/>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rPr>
              <w:t>August 3, 2012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September 30, 2012</w:t>
            </w:r>
          </w:p>
        </w:tc>
        <w:tc>
          <w:tcPr>
            <w:tcW w:w="4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October 30, 2012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spacing w:after="0"/>
              <w:rPr>
                <w:sz w:val="20"/>
                <w:szCs w:val="20"/>
                <w:color w:val="auto"/>
              </w:rPr>
            </w:pPr>
            <w:r>
              <w:rPr>
                <w:rFonts w:ascii="Arial" w:cs="Arial" w:eastAsia="Arial" w:hAnsi="Arial"/>
                <w:sz w:val="18"/>
                <w:szCs w:val="18"/>
                <w:color w:val="auto"/>
              </w:rPr>
              <w:t xml:space="preserve">December 31, 2012 </w:t>
            </w:r>
            <w:r>
              <w:rPr>
                <w:rFonts w:ascii="Arial" w:cs="Arial" w:eastAsia="Arial" w:hAnsi="Arial"/>
                <w:sz w:val="11"/>
                <w:szCs w:val="11"/>
                <w:color w:val="auto"/>
              </w:rPr>
              <w:t>(1)</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December 31, 2012</w:t>
            </w:r>
          </w:p>
        </w:tc>
        <w:tc>
          <w:tcPr>
            <w:tcW w:w="460" w:type="dxa"/>
            <w:vAlign w:val="bottom"/>
          </w:tcPr>
          <w:p>
            <w:pPr>
              <w:spacing w:after="0"/>
              <w:rPr>
                <w:sz w:val="19"/>
                <w:szCs w:val="19"/>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January 31, 2013</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Date Declared</w:t>
            </w: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w w:val="88"/>
              </w:rPr>
              <w:t>Dividend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60" w:type="dxa"/>
            <w:vAlign w:val="bottom"/>
            <w:gridSpan w:val="2"/>
            <w:vMerge w:val="continue"/>
          </w:tcPr>
          <w:p>
            <w:pPr>
              <w:spacing w:after="0"/>
              <w:rPr>
                <w:sz w:val="19"/>
                <w:szCs w:val="19"/>
                <w:color w:val="auto"/>
              </w:rPr>
            </w:pPr>
          </w:p>
        </w:tc>
        <w:tc>
          <w:tcPr>
            <w:tcW w:w="1740" w:type="dxa"/>
            <w:vAlign w:val="bottom"/>
            <w:gridSpan w:val="2"/>
          </w:tcPr>
          <w:p>
            <w:pPr>
              <w:ind w:left="260"/>
              <w:spacing w:after="0"/>
              <w:rPr>
                <w:sz w:val="20"/>
                <w:szCs w:val="20"/>
                <w:color w:val="auto"/>
              </w:rPr>
            </w:pPr>
            <w:r>
              <w:rPr>
                <w:rFonts w:ascii="Arial" w:cs="Arial" w:eastAsia="Arial" w:hAnsi="Arial"/>
                <w:sz w:val="18"/>
                <w:szCs w:val="18"/>
                <w:b w:val="1"/>
                <w:bCs w:val="1"/>
                <w:color w:val="auto"/>
              </w:rPr>
              <w:t>Record Date</w:t>
            </w:r>
          </w:p>
        </w:tc>
        <w:tc>
          <w:tcPr>
            <w:tcW w:w="420" w:type="dxa"/>
            <w:vAlign w:val="bottom"/>
          </w:tcPr>
          <w:p>
            <w:pPr>
              <w:spacing w:after="0"/>
              <w:rPr>
                <w:sz w:val="19"/>
                <w:szCs w:val="19"/>
                <w:color w:val="auto"/>
              </w:rPr>
            </w:pPr>
          </w:p>
        </w:tc>
        <w:tc>
          <w:tcPr>
            <w:tcW w:w="1980" w:type="dxa"/>
            <w:vAlign w:val="bottom"/>
            <w:gridSpan w:val="2"/>
          </w:tcPr>
          <w:p>
            <w:pPr>
              <w:ind w:left="100"/>
              <w:spacing w:after="0"/>
              <w:rPr>
                <w:sz w:val="20"/>
                <w:szCs w:val="20"/>
                <w:color w:val="auto"/>
              </w:rPr>
            </w:pPr>
            <w:r>
              <w:rPr>
                <w:rFonts w:ascii="Arial" w:cs="Arial" w:eastAsia="Arial" w:hAnsi="Arial"/>
                <w:sz w:val="18"/>
                <w:szCs w:val="18"/>
                <w:b w:val="1"/>
                <w:bCs w:val="1"/>
                <w:color w:val="auto"/>
              </w:rPr>
              <w:t>Payment Date</w:t>
            </w:r>
          </w:p>
        </w:tc>
        <w:tc>
          <w:tcPr>
            <w:tcW w:w="18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211"/>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6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December 31, 2011</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January 30, 2012</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dividends declared during the year ended December 31, 2012, were derived from net investment income and long-term capital gains, determined on a tax basis. The dividends declared during the year ended December 31, 2011 and during the nine months ended September 30, 2013 were derived from net investment income determined on a tax basis.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actual consolidated capitalization of TPG Specialty Lending, Inc. at September 30, 2013; and</w:t>
      </w:r>
    </w:p>
    <w:p>
      <w:pPr>
        <w:sectPr>
          <w:pgSz w:w="11900" w:h="16838" w:orient="portrait"/>
          <w:cols w:equalWidth="0" w:num="1">
            <w:col w:w="11160"/>
          </w:cols>
          <w:pgMar w:left="240" w:top="459" w:right="499" w:bottom="1440" w:gutter="0" w:footer="0" w:header="0"/>
        </w:sectPr>
      </w:pPr>
    </w:p>
    <w:p>
      <w:pPr>
        <w:spacing w:after="0" w:line="1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consolidated capitalization of TPG Specialty Lending, Inc. at , as adjusted to reflect the assumed sale of shares of our common stock in this offering at the initial public offering price of $ per share (the mid-point of the range on the front cover of this prospectus) after deducting the underwriting discounts and commissions and estimated offering expenses of approximately $ million payable by us and application of the net proceeds as discussed in more detail under “Use of Proceeds.”</w:t>
      </w:r>
    </w:p>
    <w:p>
      <w:pPr>
        <w:spacing w:after="0" w:line="143" w:lineRule="exact"/>
        <w:rPr>
          <w:sz w:val="20"/>
          <w:szCs w:val="20"/>
          <w:color w:val="auto"/>
        </w:rPr>
      </w:pPr>
    </w:p>
    <w:p>
      <w:pPr>
        <w:sectPr>
          <w:pgSz w:w="11900" w:h="16838" w:orient="portrait"/>
          <w:cols w:equalWidth="0" w:num="2">
            <w:col w:w="640" w:space="260"/>
            <w:col w:w="10260"/>
          </w:cols>
          <w:pgMar w:left="240" w:top="459" w:right="499" w:bottom="1440" w:gutter="0" w:footer="0" w:header="0"/>
          <w:type w:val="continuous"/>
        </w:sectPr>
      </w:pPr>
    </w:p>
    <w:p>
      <w:pPr>
        <w:ind w:right="20" w:firstLine="456"/>
        <w:spacing w:after="0" w:line="268" w:lineRule="auto"/>
        <w:rPr>
          <w:sz w:val="20"/>
          <w:szCs w:val="20"/>
          <w:color w:val="auto"/>
        </w:rPr>
      </w:pPr>
      <w:r>
        <w:rPr>
          <w:rFonts w:ascii="Arial" w:cs="Arial" w:eastAsia="Arial" w:hAnsi="Arial"/>
          <w:sz w:val="18"/>
          <w:szCs w:val="18"/>
          <w:color w:val="auto"/>
        </w:rPr>
        <w:t>You should read this table together with “Use of Proceeds” and the consolidated financial statements and the related notes thereto included elsewhere in this prospectus.</w:t>
      </w:r>
    </w:p>
    <w:p>
      <w:pPr>
        <w:spacing w:after="0" w:line="1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5"/>
              </w:rPr>
              <w:t>Actual</w:t>
            </w:r>
            <w:r>
              <w:rPr>
                <w:rFonts w:ascii="Arial" w:cs="Arial" w:eastAsia="Arial" w:hAnsi="Arial"/>
                <w:sz w:val="22"/>
                <w:szCs w:val="22"/>
                <w:b w:val="1"/>
                <w:bCs w:val="1"/>
                <w:color w:val="auto"/>
                <w:w w:val="95"/>
                <w:vertAlign w:val="superscript"/>
              </w:rPr>
              <w:t>(1)</w:t>
            </w:r>
          </w:p>
        </w:tc>
        <w:tc>
          <w:tcPr>
            <w:tcW w:w="240" w:type="dxa"/>
            <w:vAlign w:val="bottom"/>
          </w:tcPr>
          <w:p>
            <w:pPr>
              <w:spacing w:after="0"/>
              <w:rPr>
                <w:sz w:val="14"/>
                <w:szCs w:val="14"/>
                <w:color w:val="auto"/>
              </w:rPr>
            </w:pPr>
          </w:p>
        </w:tc>
        <w:tc>
          <w:tcPr>
            <w:tcW w:w="760" w:type="dxa"/>
            <w:vAlign w:val="bottom"/>
            <w:gridSpan w:val="2"/>
          </w:tcPr>
          <w:p>
            <w:pPr>
              <w:ind w:left="24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000" w:type="dxa"/>
            <w:vAlign w:val="bottom"/>
            <w:gridSpan w:val="3"/>
          </w:tcPr>
          <w:p>
            <w:pPr>
              <w:ind w:left="240"/>
              <w:spacing w:after="0" w:line="176" w:lineRule="exact"/>
              <w:rPr>
                <w:sz w:val="20"/>
                <w:szCs w:val="20"/>
                <w:color w:val="auto"/>
              </w:rPr>
            </w:pPr>
            <w:r>
              <w:rPr>
                <w:rFonts w:ascii="Arial" w:cs="Arial" w:eastAsia="Arial" w:hAnsi="Arial"/>
                <w:sz w:val="13"/>
                <w:szCs w:val="13"/>
                <w:b w:val="1"/>
                <w:bCs w:val="1"/>
                <w:color w:val="auto"/>
              </w:rPr>
              <w:t>Adjusted</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ind w:left="380"/>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8"/>
                <w:szCs w:val="18"/>
                <w:color w:val="auto"/>
              </w:rPr>
              <w:t>:</w:t>
            </w:r>
          </w:p>
        </w:tc>
        <w:tc>
          <w:tcPr>
            <w:tcW w:w="3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Investments at fair value</w:t>
            </w:r>
          </w:p>
        </w:tc>
        <w:tc>
          <w:tcPr>
            <w:tcW w:w="39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$889,330</w:t>
            </w:r>
          </w:p>
        </w:tc>
        <w:tc>
          <w:tcPr>
            <w:tcW w:w="30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Cash and cash equivalents</w:t>
            </w:r>
          </w:p>
        </w:tc>
        <w:tc>
          <w:tcPr>
            <w:tcW w:w="3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3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9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926,154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r>
              <w:rPr>
                <w:rFonts w:ascii="Arial" w:cs="Arial" w:eastAsia="Arial" w:hAnsi="Arial"/>
                <w:sz w:val="18"/>
                <w:szCs w:val="18"/>
                <w:color w:val="auto"/>
              </w:rPr>
              <w:t>:</w:t>
            </w: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60" w:type="dxa"/>
            <w:vAlign w:val="bottom"/>
            <w:vMerge w:val="continue"/>
          </w:tcPr>
          <w:p>
            <w:pPr>
              <w:spacing w:after="0"/>
              <w:rPr>
                <w:sz w:val="18"/>
                <w:szCs w:val="18"/>
                <w:color w:val="auto"/>
              </w:rPr>
            </w:pPr>
          </w:p>
        </w:tc>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Revolving credit facilities</w:t>
            </w:r>
          </w:p>
        </w:tc>
        <w:tc>
          <w:tcPr>
            <w:tcW w:w="39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$338,267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ind w:left="440"/>
              <w:spacing w:after="0"/>
              <w:rPr>
                <w:sz w:val="20"/>
                <w:szCs w:val="20"/>
                <w:color w:val="auto"/>
              </w:rPr>
            </w:pPr>
            <w:r>
              <w:rPr>
                <w:rFonts w:ascii="Arial" w:cs="Arial" w:eastAsia="Arial" w:hAnsi="Arial"/>
                <w:sz w:val="18"/>
                <w:szCs w:val="18"/>
                <w:color w:val="auto"/>
              </w:rPr>
              <w:t>Management fee payable to affiliate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Incentive fee payable to affiliate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Dividends payable</w:t>
            </w:r>
          </w:p>
        </w:tc>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3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39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365,065</w:t>
            </w:r>
          </w:p>
        </w:tc>
        <w:tc>
          <w:tcPr>
            <w:tcW w:w="300" w:type="dxa"/>
            <w:vAlign w:val="bottom"/>
          </w:tcPr>
          <w:p>
            <w:pPr>
              <w:spacing w:after="0"/>
              <w:rPr>
                <w:sz w:val="19"/>
                <w:szCs w:val="19"/>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r>
              <w:rPr>
                <w:rFonts w:ascii="Arial" w:cs="Arial" w:eastAsia="Arial" w:hAnsi="Arial"/>
                <w:sz w:val="18"/>
                <w:szCs w:val="18"/>
                <w:color w:val="auto"/>
              </w:rPr>
              <w:t>:</w:t>
            </w:r>
          </w:p>
        </w:tc>
        <w:tc>
          <w:tcPr>
            <w:tcW w:w="3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20" w:type="dxa"/>
            <w:vAlign w:val="bottom"/>
            <w:gridSpan w:val="2"/>
          </w:tcPr>
          <w:p>
            <w:pPr>
              <w:ind w:left="440"/>
              <w:spacing w:after="0"/>
              <w:rPr>
                <w:sz w:val="20"/>
                <w:szCs w:val="20"/>
                <w:color w:val="auto"/>
              </w:rPr>
            </w:pPr>
            <w:r>
              <w:rPr>
                <w:rFonts w:ascii="Arial" w:cs="Arial" w:eastAsia="Arial" w:hAnsi="Arial"/>
                <w:sz w:val="18"/>
                <w:szCs w:val="18"/>
                <w:color w:val="auto"/>
                <w:w w:val="90"/>
              </w:rPr>
              <w:t>Preferred stock, $0.01 par value; 100,000,000 shares authorized; no shares issued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640"/>
              <w:spacing w:after="0"/>
              <w:rPr>
                <w:sz w:val="20"/>
                <w:szCs w:val="20"/>
                <w:color w:val="auto"/>
              </w:rPr>
            </w:pPr>
            <w:r>
              <w:rPr>
                <w:rFonts w:ascii="Arial" w:cs="Arial" w:eastAsia="Arial" w:hAnsi="Arial"/>
                <w:sz w:val="18"/>
                <w:szCs w:val="18"/>
                <w:color w:val="auto"/>
              </w:rPr>
              <w:t>and outstanding</w:t>
            </w:r>
          </w:p>
        </w:tc>
        <w:tc>
          <w:tcPr>
            <w:tcW w:w="3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Common stock, par value $0.01 per share; 100,000,000 shares authorized;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36,547,515 shares issued and 36,546,516 shares outstanding, actual;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5"/>
              </w:rPr>
              <w:t>shares issued and</w:t>
            </w: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outstanding, as adjusted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545,283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stock at cost; 999 shares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ind w:left="440"/>
              <w:spacing w:after="0"/>
              <w:rPr>
                <w:sz w:val="20"/>
                <w:szCs w:val="20"/>
                <w:color w:val="auto"/>
              </w:rPr>
            </w:pPr>
            <w:r>
              <w:rPr>
                <w:rFonts w:ascii="Arial" w:cs="Arial" w:eastAsia="Arial" w:hAnsi="Arial"/>
                <w:sz w:val="18"/>
                <w:szCs w:val="18"/>
                <w:color w:val="auto"/>
              </w:rPr>
              <w:t>Undistributed net investment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(1,083)</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unrealized gains</w:t>
            </w:r>
          </w:p>
        </w:tc>
        <w:tc>
          <w:tcPr>
            <w:tcW w:w="3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ind w:left="440"/>
              <w:spacing w:after="0"/>
              <w:rPr>
                <w:sz w:val="20"/>
                <w:szCs w:val="20"/>
                <w:color w:val="auto"/>
              </w:rPr>
            </w:pPr>
            <w:r>
              <w:rPr>
                <w:rFonts w:ascii="Arial" w:cs="Arial" w:eastAsia="Arial" w:hAnsi="Arial"/>
                <w:sz w:val="18"/>
                <w:szCs w:val="18"/>
                <w:color w:val="auto"/>
              </w:rPr>
              <w:t>Undistributed net unrealized gains on investments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Net Assets</w:t>
            </w:r>
          </w:p>
        </w:tc>
        <w:tc>
          <w:tcPr>
            <w:tcW w:w="39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$561,089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Liabilities and Net Assets</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926,154</w:t>
            </w:r>
          </w:p>
        </w:tc>
        <w:tc>
          <w:tcPr>
            <w:tcW w:w="30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Asset Value Per Share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Common stock and additional paid-in capital as of September 30, 2013 have been adjusted to reflect the stock split. Amounts in this table do not include the shares issued under our dividend reinvestment plan on November 5, 2013.</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60"/>
          </w:cols>
          <w:pgMar w:left="240" w:top="459" w:right="49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you invest in our common stock, your interest will be diluted to the extent of the difference between the initial public offering price per share of our common stock and the pro forma net asset value per share of our common stock immediately after the completion of this offering. The net asset value per share is determined by dividing the value of (a) total assets minus liabilities by (b) the total number of shares outstanding.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net asset value as of September 30, 2013 was approximately $561.1 million. After giving effect to the sale of shares to be sold in this offering at the</w:t>
      </w:r>
    </w:p>
    <w:p>
      <w:pPr>
        <w:spacing w:after="0" w:line="38"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initial public offering price of $ per share, the deduction of discounts and estimated expenses of this offering payable by us, and the application of the net proceeds as discussed in more detail under “Use of Proceeds,” our net asset value would have been approximately $ million, or $ per share. That net asset value represents an immediate dilution of $ per share, or %, to new investors who purchase our common stock in the offering at the initial public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offering price. The foregoing assumes no exercise of the underwriters’ option to purchase additional shares to cover over-allotments. If the underwriters’ option to</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320" w:type="dxa"/>
            <w:vAlign w:val="bottom"/>
            <w:gridSpan w:val="2"/>
          </w:tcPr>
          <w:p>
            <w:pPr>
              <w:spacing w:after="0"/>
              <w:rPr>
                <w:sz w:val="20"/>
                <w:szCs w:val="20"/>
                <w:color w:val="auto"/>
              </w:rPr>
            </w:pPr>
            <w:r>
              <w:rPr>
                <w:rFonts w:ascii="Arial" w:cs="Arial" w:eastAsia="Arial" w:hAnsi="Arial"/>
                <w:sz w:val="18"/>
                <w:szCs w:val="18"/>
                <w:color w:val="auto"/>
                <w:w w:val="90"/>
              </w:rPr>
              <w:t>purchase additional shares to cover over-allotments is exercised in full, the immediate dilution to shares sold in this offering would instead be $</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0300" w:type="dxa"/>
            <w:vAlign w:val="bottom"/>
          </w:tcPr>
          <w:p>
            <w:pPr>
              <w:jc w:val="right"/>
              <w:ind w:right="4412"/>
              <w:spacing w:after="0"/>
              <w:rPr>
                <w:sz w:val="20"/>
                <w:szCs w:val="20"/>
                <w:color w:val="auto"/>
              </w:rPr>
            </w:pPr>
            <w:r>
              <w:rPr>
                <w:rFonts w:ascii="Arial" w:cs="Arial" w:eastAsia="Arial" w:hAnsi="Arial"/>
                <w:sz w:val="18"/>
                <w:szCs w:val="18"/>
                <w:color w:val="auto"/>
                <w:w w:val="95"/>
              </w:rPr>
              <w:t>The following table illustrates the dilution to the shares on a per share basis: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1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Net asset value per share immediately prior to this offering</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asset value per share immediately after this offering</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0"/>
              </w:rPr>
              <w:t>Dilution per share to new stockholders (without exercise of the underwriters’ option to purchase additional shares of our common stock to cover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300" w:type="dxa"/>
            <w:vAlign w:val="bottom"/>
          </w:tcPr>
          <w:p>
            <w:pPr>
              <w:jc w:val="right"/>
              <w:ind w:right="8852"/>
              <w:spacing w:after="0"/>
              <w:rPr>
                <w:sz w:val="20"/>
                <w:szCs w:val="20"/>
                <w:color w:val="auto"/>
              </w:rPr>
            </w:pPr>
            <w:r>
              <w:rPr>
                <w:rFonts w:ascii="Arial" w:cs="Arial" w:eastAsia="Arial" w:hAnsi="Arial"/>
                <w:sz w:val="18"/>
                <w:szCs w:val="18"/>
                <w:color w:val="auto"/>
              </w:rPr>
              <w:t>over-allotments)</w:t>
            </w:r>
          </w:p>
        </w:tc>
        <w:tc>
          <w:tcPr>
            <w:tcW w:w="11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0320" w:type="dxa"/>
            <w:vAlign w:val="bottom"/>
            <w:gridSpan w:val="2"/>
          </w:tcPr>
          <w:p>
            <w:pPr>
              <w:jc w:val="right"/>
              <w:ind w:right="4432"/>
              <w:spacing w:after="0"/>
              <w:rPr>
                <w:sz w:val="20"/>
                <w:szCs w:val="20"/>
                <w:color w:val="auto"/>
              </w:rPr>
            </w:pPr>
            <w:r>
              <w:rPr>
                <w:rFonts w:ascii="Arial" w:cs="Arial" w:eastAsia="Arial" w:hAnsi="Arial"/>
                <w:sz w:val="18"/>
                <w:szCs w:val="18"/>
                <w:color w:val="auto"/>
              </w:rPr>
              <w:t>52</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You should read the following selected consolidated historical financial data below in conjunction with the section entitled “Management’s Discussion and Analysis of Financial Condition and Results of Operations” and the consolidated financial statements, related notes and other financial information included in this prospectus. The selected financial data in this section is not intended to replace the consolidated financial statements and is qualified in its entirety by the consolidated financial statements and related notes included in this prospectus.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derived the selected consolidated financial data for the years ended December 31, 2012 and 2011 from our audited consolidated financial statements and related notes, which are included elsewhere in this prospectus, and have been adjusted to reflect the stock split. We derived the selected consolidated financial data for the nine months ended September 30, 2013 and 2012 from our consolidated financial statements and related notes, which are included elsewhere in this prospectus and have been adjusted to reflect the stock split. In the opinion of management, the unaudited consolidated financial statements presented include all adjustments (consisting only of normal recurring adjustments and adjustments to reflect the stock split) necessary to present fairly the information set forth therein.</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ind w:left="58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w w:val="87"/>
              </w:rPr>
              <w:t>Consolidated Statement of Operations Data:</w:t>
            </w:r>
          </w:p>
        </w:tc>
        <w:tc>
          <w:tcPr>
            <w:tcW w:w="1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5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6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20" w:type="dxa"/>
            <w:vAlign w:val="bottom"/>
            <w:tcBorders>
              <w:bottom w:val="single" w:sz="8" w:color="auto"/>
            </w:tcBorders>
            <w:vMerge w:val="continue"/>
          </w:tcPr>
          <w:p>
            <w:pPr>
              <w:spacing w:after="0"/>
              <w:rPr>
                <w:sz w:val="10"/>
                <w:szCs w:val="10"/>
                <w:color w:val="auto"/>
              </w:rPr>
            </w:pPr>
          </w:p>
        </w:tc>
        <w:tc>
          <w:tcPr>
            <w:tcW w:w="1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95"/>
              <w:spacing w:after="0" w:line="114" w:lineRule="exact"/>
              <w:rPr>
                <w:sz w:val="20"/>
                <w:szCs w:val="20"/>
                <w:color w:val="auto"/>
              </w:rPr>
            </w:pPr>
            <w:r>
              <w:rPr>
                <w:rFonts w:ascii="Arial" w:cs="Arial" w:eastAsia="Arial" w:hAnsi="Arial"/>
                <w:sz w:val="12"/>
                <w:szCs w:val="12"/>
                <w:b w:val="1"/>
                <w:bCs w:val="1"/>
                <w:color w:val="auto"/>
              </w:rPr>
              <w:t>2013</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94"/>
              <w:spacing w:after="0" w:line="114" w:lineRule="exact"/>
              <w:rPr>
                <w:sz w:val="20"/>
                <w:szCs w:val="20"/>
                <w:color w:val="auto"/>
              </w:rPr>
            </w:pPr>
            <w:r>
              <w:rPr>
                <w:rFonts w:ascii="Arial" w:cs="Arial" w:eastAsia="Arial" w:hAnsi="Arial"/>
                <w:sz w:val="12"/>
                <w:szCs w:val="12"/>
                <w:b w:val="1"/>
                <w:bCs w:val="1"/>
                <w:color w:val="auto"/>
              </w:rPr>
              <w:t>2012</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ind w:right="175"/>
              <w:spacing w:after="0" w:line="114" w:lineRule="exact"/>
              <w:rPr>
                <w:sz w:val="20"/>
                <w:szCs w:val="20"/>
                <w:color w:val="auto"/>
              </w:rPr>
            </w:pPr>
            <w:r>
              <w:rPr>
                <w:rFonts w:ascii="Arial" w:cs="Arial" w:eastAsia="Arial" w:hAnsi="Arial"/>
                <w:sz w:val="12"/>
                <w:szCs w:val="12"/>
                <w:b w:val="1"/>
                <w:bCs w:val="1"/>
                <w:color w:val="auto"/>
              </w:rPr>
              <w:t>2012</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ind w:right="194"/>
              <w:spacing w:after="0" w:line="114" w:lineRule="exact"/>
              <w:rPr>
                <w:sz w:val="20"/>
                <w:szCs w:val="20"/>
                <w:color w:val="auto"/>
              </w:rPr>
            </w:pPr>
            <w:r>
              <w:rPr>
                <w:rFonts w:ascii="Arial" w:cs="Arial" w:eastAsia="Arial" w:hAnsi="Arial"/>
                <w:sz w:val="12"/>
                <w:szCs w:val="12"/>
                <w:b w:val="1"/>
                <w:bCs w:val="1"/>
                <w:color w:val="auto"/>
              </w:rPr>
              <w:t>2011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64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Interest from investments</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63.3</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49.1</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Investment Income</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1"/>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7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Management fees (net of waivers)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Other fees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Net Expenses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Investment Income (Loss) Before Income Taxes</w:t>
            </w: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40.6</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28.1</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Investment Income (Loss)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Total net change in unrealized gains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realized gains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w w:val="98"/>
              </w:rPr>
              <w:t>Increase in Net Assets Resulting from Operations</w:t>
            </w: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vMerge w:val="continue"/>
          </w:tcPr>
          <w:p>
            <w:pPr>
              <w:spacing w:after="0"/>
              <w:rPr>
                <w:sz w:val="19"/>
                <w:szCs w:val="19"/>
                <w:color w:val="auto"/>
              </w:rPr>
            </w:pP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45.9</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27.1</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39.6</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Share—basic and diluted</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vMerge w:val="restart"/>
          </w:tcPr>
          <w:p>
            <w:pPr>
              <w:ind w:left="520"/>
              <w:spacing w:after="0"/>
              <w:rPr>
                <w:sz w:val="20"/>
                <w:szCs w:val="20"/>
                <w:color w:val="auto"/>
              </w:rPr>
            </w:pPr>
            <w:r>
              <w:rPr>
                <w:rFonts w:ascii="Arial" w:cs="Arial" w:eastAsia="Arial" w:hAnsi="Arial"/>
                <w:sz w:val="18"/>
                <w:szCs w:val="18"/>
                <w:color w:val="auto"/>
              </w:rPr>
              <w:t>53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88"/>
              </w:rPr>
              <w:t>Nine Months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w w:val="85"/>
              </w:rPr>
              <w:t>Consolidated Balance Sheet Data</w:t>
            </w:r>
          </w:p>
        </w:tc>
        <w:tc>
          <w:tcPr>
            <w:tcW w:w="4040" w:type="dxa"/>
            <w:vAlign w:val="bottom"/>
            <w:vMerge w:val="restart"/>
          </w:tcPr>
          <w:p>
            <w:pPr>
              <w:jc w:val="right"/>
              <w:ind w:right="3962"/>
              <w:spacing w:after="0"/>
              <w:rPr>
                <w:sz w:val="20"/>
                <w:szCs w:val="20"/>
                <w:color w:val="auto"/>
              </w:rPr>
            </w:pPr>
            <w:r>
              <w:rPr>
                <w:rFonts w:ascii="Arial" w:cs="Arial" w:eastAsia="Arial" w:hAnsi="Arial"/>
                <w:sz w:val="8"/>
                <w:szCs w:val="8"/>
                <w:b w:val="1"/>
                <w:bCs w:val="1"/>
                <w:color w:val="auto"/>
                <w:w w:val="73"/>
              </w:rPr>
              <w:t>:</w:t>
            </w:r>
          </w:p>
        </w:tc>
        <w:tc>
          <w:tcPr>
            <w:tcW w:w="400" w:type="dxa"/>
            <w:vAlign w:val="bottom"/>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940" w:type="dxa"/>
            <w:vAlign w:val="bottom"/>
          </w:tcPr>
          <w:p>
            <w:pPr>
              <w:spacing w:after="0"/>
              <w:rPr>
                <w:sz w:val="11"/>
                <w:szCs w:val="11"/>
                <w:color w:val="auto"/>
              </w:rPr>
            </w:pPr>
          </w:p>
        </w:tc>
        <w:tc>
          <w:tcPr>
            <w:tcW w:w="1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86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80" w:type="dxa"/>
            <w:vAlign w:val="bottom"/>
            <w:tcBorders>
              <w:bottom w:val="single" w:sz="8" w:color="auto"/>
            </w:tcBorders>
            <w:vMerge w:val="continue"/>
          </w:tcPr>
          <w:p>
            <w:pPr>
              <w:spacing w:after="0"/>
              <w:rPr>
                <w:sz w:val="10"/>
                <w:szCs w:val="10"/>
                <w:color w:val="auto"/>
              </w:rPr>
            </w:pPr>
          </w:p>
        </w:tc>
        <w:tc>
          <w:tcPr>
            <w:tcW w:w="40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ind w:right="75"/>
              <w:spacing w:after="0" w:line="114" w:lineRule="exact"/>
              <w:rPr>
                <w:sz w:val="20"/>
                <w:szCs w:val="20"/>
                <w:color w:val="auto"/>
              </w:rPr>
            </w:pPr>
            <w:r>
              <w:rPr>
                <w:rFonts w:ascii="Arial" w:cs="Arial" w:eastAsia="Arial" w:hAnsi="Arial"/>
                <w:sz w:val="12"/>
                <w:szCs w:val="12"/>
                <w:b w:val="1"/>
                <w:bCs w:val="1"/>
                <w:color w:val="auto"/>
                <w:w w:val="97"/>
              </w:rPr>
              <w:t>2013</w:t>
            </w: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tcPr>
          <w:p>
            <w:pPr>
              <w:jc w:val="right"/>
              <w:ind w:right="1055"/>
              <w:spacing w:after="0" w:line="114" w:lineRule="exact"/>
              <w:rPr>
                <w:sz w:val="20"/>
                <w:szCs w:val="20"/>
                <w:color w:val="auto"/>
              </w:rPr>
            </w:pPr>
            <w:r>
              <w:rPr>
                <w:rFonts w:ascii="Arial" w:cs="Arial" w:eastAsia="Arial" w:hAnsi="Arial"/>
                <w:sz w:val="12"/>
                <w:szCs w:val="12"/>
                <w:b w:val="1"/>
                <w:bCs w:val="1"/>
                <w:color w:val="auto"/>
              </w:rPr>
              <w:t>2012</w:t>
            </w:r>
          </w:p>
        </w:tc>
        <w:tc>
          <w:tcPr>
            <w:tcW w:w="240" w:type="dxa"/>
            <w:vAlign w:val="bottom"/>
          </w:tcPr>
          <w:p>
            <w:pPr>
              <w:spacing w:after="0"/>
              <w:rPr>
                <w:sz w:val="10"/>
                <w:szCs w:val="10"/>
                <w:color w:val="auto"/>
              </w:rPr>
            </w:pPr>
          </w:p>
        </w:tc>
        <w:tc>
          <w:tcPr>
            <w:tcW w:w="620" w:type="dxa"/>
            <w:vAlign w:val="bottom"/>
          </w:tcPr>
          <w:p>
            <w:pPr>
              <w:jc w:val="right"/>
              <w:ind w:right="174"/>
              <w:spacing w:after="0" w:line="114" w:lineRule="exact"/>
              <w:rPr>
                <w:sz w:val="20"/>
                <w:szCs w:val="20"/>
                <w:color w:val="auto"/>
              </w:rPr>
            </w:pPr>
            <w:r>
              <w:rPr>
                <w:rFonts w:ascii="Arial" w:cs="Arial" w:eastAsia="Arial" w:hAnsi="Arial"/>
                <w:sz w:val="12"/>
                <w:szCs w:val="12"/>
                <w:b w:val="1"/>
                <w:bCs w:val="1"/>
                <w:color w:val="auto"/>
              </w:rPr>
              <w:t>2011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65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19.6</w:t>
            </w:r>
          </w:p>
        </w:tc>
        <w:tc>
          <w:tcPr>
            <w:tcW w:w="9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95"/>
              <w:spacing w:after="0"/>
              <w:rPr>
                <w:sz w:val="20"/>
                <w:szCs w:val="20"/>
                <w:color w:val="auto"/>
              </w:rPr>
            </w:pPr>
            <w:r>
              <w:rPr>
                <w:rFonts w:ascii="Arial" w:cs="Arial" w:eastAsia="Arial" w:hAnsi="Arial"/>
                <w:sz w:val="18"/>
                <w:szCs w:val="18"/>
                <w:color w:val="auto"/>
              </w:rPr>
              <w:t>161.8</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653.9</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926.2</w:t>
            </w:r>
          </w:p>
        </w:tc>
        <w:tc>
          <w:tcPr>
            <w:tcW w:w="9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95"/>
              <w:spacing w:after="0"/>
              <w:rPr>
                <w:sz w:val="20"/>
                <w:szCs w:val="20"/>
                <w:color w:val="auto"/>
              </w:rPr>
            </w:pPr>
            <w:r>
              <w:rPr>
                <w:rFonts w:ascii="Arial" w:cs="Arial" w:eastAsia="Arial" w:hAnsi="Arial"/>
                <w:sz w:val="18"/>
                <w:szCs w:val="18"/>
                <w:color w:val="auto"/>
              </w:rPr>
              <w:t>833.1</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331.8</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365.1</w:t>
            </w:r>
          </w:p>
        </w:tc>
        <w:tc>
          <w:tcPr>
            <w:tcW w:w="9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95"/>
              <w:spacing w:after="0"/>
              <w:rPr>
                <w:sz w:val="20"/>
                <w:szCs w:val="20"/>
                <w:color w:val="auto"/>
              </w:rPr>
            </w:pPr>
            <w:r>
              <w:rPr>
                <w:rFonts w:ascii="Arial" w:cs="Arial" w:eastAsia="Arial" w:hAnsi="Arial"/>
                <w:sz w:val="18"/>
                <w:szCs w:val="18"/>
                <w:color w:val="auto"/>
              </w:rPr>
              <w:t>353.3</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479.8</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Net Asset Value Per Share</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15.35</w:t>
            </w:r>
          </w:p>
        </w:tc>
        <w:tc>
          <w:tcPr>
            <w:tcW w:w="9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95"/>
              <w:spacing w:after="0"/>
              <w:rPr>
                <w:sz w:val="20"/>
                <w:szCs w:val="20"/>
                <w:color w:val="auto"/>
              </w:rPr>
            </w:pPr>
            <w:r>
              <w:rPr>
                <w:rFonts w:ascii="Arial" w:cs="Arial" w:eastAsia="Arial" w:hAnsi="Arial"/>
                <w:sz w:val="18"/>
                <w:szCs w:val="18"/>
                <w:color w:val="auto"/>
              </w:rPr>
              <w:t>15.19</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80" w:type="dxa"/>
            <w:vAlign w:val="bottom"/>
          </w:tcPr>
          <w:p>
            <w:pPr>
              <w:spacing w:after="0"/>
              <w:rPr>
                <w:sz w:val="8"/>
                <w:szCs w:val="8"/>
                <w:color w:val="auto"/>
              </w:rPr>
            </w:pPr>
          </w:p>
        </w:tc>
        <w:tc>
          <w:tcPr>
            <w:tcW w:w="4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Number of Portfolio Companies at Period End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795"/>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of Investments Funded during the Period</w:t>
            </w:r>
            <w:r>
              <w:rPr>
                <w:rFonts w:ascii="Arial" w:cs="Arial" w:eastAsia="Arial" w:hAnsi="Arial"/>
                <w:sz w:val="11"/>
                <w:szCs w:val="11"/>
                <w:color w:val="auto"/>
              </w:rPr>
              <w:t>(1)</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760.7</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Average Total Investment in New Portfolio Companies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28.2</w:t>
            </w:r>
          </w:p>
        </w:tc>
        <w:tc>
          <w:tcPr>
            <w:tcW w:w="9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95"/>
              <w:spacing w:after="0"/>
              <w:rPr>
                <w:sz w:val="20"/>
                <w:szCs w:val="20"/>
                <w:color w:val="auto"/>
              </w:rPr>
            </w:pPr>
            <w:r>
              <w:rPr>
                <w:rFonts w:ascii="Arial" w:cs="Arial" w:eastAsia="Arial" w:hAnsi="Arial"/>
                <w:sz w:val="18"/>
                <w:szCs w:val="18"/>
                <w:color w:val="auto"/>
              </w:rPr>
              <w:t>34.5</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1"/>
                <w:szCs w:val="11"/>
                <w:color w:val="auto"/>
              </w:rPr>
              <w:t>(2)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1500" w:type="dxa"/>
            <w:vAlign w:val="bottom"/>
          </w:tcPr>
          <w:p>
            <w:pPr>
              <w:jc w:val="right"/>
              <w:ind w:right="635"/>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Yield of Debt and Income Producing Securities at Fair Value</w:t>
            </w:r>
            <w:r>
              <w:rPr>
                <w:rFonts w:ascii="Arial" w:cs="Arial" w:eastAsia="Arial" w:hAnsi="Arial"/>
                <w:sz w:val="11"/>
                <w:szCs w:val="11"/>
                <w:color w:val="auto"/>
              </w:rPr>
              <w:t>(3)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w w:val="94"/>
              </w:rPr>
              <w:t>Weighted Average Yield of Debt and Income Producing Securities at Amortized Cost</w:t>
            </w:r>
            <w:r>
              <w:rPr>
                <w:rFonts w:ascii="Arial" w:cs="Arial" w:eastAsia="Arial" w:hAnsi="Arial"/>
                <w:sz w:val="11"/>
                <w:szCs w:val="11"/>
                <w:color w:val="auto"/>
                <w:w w:val="94"/>
              </w:rPr>
              <w:t>(3)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1500" w:type="dxa"/>
            <w:vAlign w:val="bottom"/>
          </w:tcPr>
          <w:p>
            <w:pPr>
              <w:jc w:val="right"/>
              <w:ind w:right="635"/>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Fair Value of Debt Investments as a percentage of Principal</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99.7%</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rPr>
              <w:t>98.9%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Weighted Average Fair Value of Debt Investments as a percentage of Call Price</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94.7%</w:t>
            </w:r>
          </w:p>
        </w:tc>
        <w:tc>
          <w:tcPr>
            <w:tcW w:w="160" w:type="dxa"/>
            <w:vAlign w:val="bottom"/>
          </w:tcPr>
          <w:p>
            <w:pPr>
              <w:spacing w:after="0"/>
              <w:rPr>
                <w:sz w:val="19"/>
                <w:szCs w:val="19"/>
                <w:color w:val="auto"/>
              </w:rPr>
            </w:pPr>
          </w:p>
        </w:tc>
        <w:tc>
          <w:tcPr>
            <w:tcW w:w="1500" w:type="dxa"/>
            <w:vAlign w:val="bottom"/>
          </w:tcPr>
          <w:p>
            <w:pPr>
              <w:jc w:val="right"/>
              <w:ind w:right="635"/>
              <w:spacing w:after="0"/>
              <w:rPr>
                <w:sz w:val="20"/>
                <w:szCs w:val="20"/>
                <w:color w:val="auto"/>
              </w:rPr>
            </w:pPr>
            <w:r>
              <w:rPr>
                <w:rFonts w:ascii="Arial" w:cs="Arial" w:eastAsia="Arial" w:hAnsi="Arial"/>
                <w:sz w:val="18"/>
                <w:szCs w:val="18"/>
                <w:color w:val="auto"/>
              </w:rPr>
              <w:t>93.9%</w:t>
            </w:r>
          </w:p>
        </w:tc>
        <w:tc>
          <w:tcPr>
            <w:tcW w:w="2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4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 of investments funded includes amounts funded on term loans and revolving credit facilities, but not amounts subsequently repaid by borrowers during the period.</w:t>
      </w:r>
    </w:p>
    <w:p>
      <w:pPr>
        <w:spacing w:after="0" w:line="50"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this manner does not adjust for the effect of the initial seed funding as part of our formation (at $0.01 per share) and accordingly the information is not meaningful. Excluding the effect of the initial seed funding, total return for the period July 1, 2011 through December 31, 2011 would be (1.58%). Our total return set forth in the table above reflects the Adviser’s waiver of its right to receive a portion of the Management Fee prior to this IPO. Following this IPO, the Adviser does not intend to waive its right to receive the full Management Fee. The Management Fee, excluding the effects of the waiver, would have been $9.7 million, $8.9 million and $1.6 million for the nine months ended September 30, 2013 and the years ended December 31, 2012 and December 31, 2011, respectively.</w:t>
      </w:r>
    </w:p>
    <w:p>
      <w:pPr>
        <w:spacing w:after="0" w:line="37" w:lineRule="exact"/>
        <w:rPr>
          <w:rFonts w:ascii="Arial" w:cs="Arial" w:eastAsia="Arial" w:hAnsi="Arial"/>
          <w:sz w:val="16"/>
          <w:szCs w:val="16"/>
          <w:color w:val="auto"/>
        </w:rPr>
      </w:pPr>
    </w:p>
    <w:p>
      <w:pPr>
        <w:ind w:left="460" w:right="240" w:hanging="452"/>
        <w:spacing w:after="0" w:line="284"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Weighted average yield on debt and income-producing securities at fair value is computed as (a) the annual stated interest rate or yield earned plus additional interest, if any, as a result of arrangements for each period between us and other lenders in any syndication plus the net annual amortization of original issue discount and market discount earned on accruing debt and income-producing securities for investments made in the period, divided by</w:t>
      </w:r>
    </w:p>
    <w:p>
      <w:pPr>
        <w:spacing w:after="0" w:line="1" w:lineRule="exact"/>
        <w:rPr>
          <w:rFonts w:ascii="Arial" w:cs="Arial" w:eastAsia="Arial" w:hAnsi="Arial"/>
          <w:sz w:val="16"/>
          <w:szCs w:val="16"/>
          <w:color w:val="auto"/>
        </w:rPr>
      </w:pPr>
    </w:p>
    <w:p>
      <w:pPr>
        <w:ind w:left="460" w:right="60" w:hanging="6"/>
        <w:spacing w:after="0" w:line="300" w:lineRule="auto"/>
        <w:tabs>
          <w:tab w:leader="none" w:pos="709" w:val="left"/>
        </w:tabs>
        <w:numPr>
          <w:ilvl w:val="1"/>
          <w:numId w:val="35"/>
        </w:numPr>
        <w:rPr>
          <w:rFonts w:ascii="Arial" w:cs="Arial" w:eastAsia="Arial" w:hAnsi="Arial"/>
          <w:sz w:val="15"/>
          <w:szCs w:val="15"/>
          <w:color w:val="auto"/>
        </w:rPr>
      </w:pPr>
      <w:r>
        <w:rPr>
          <w:rFonts w:ascii="Arial" w:cs="Arial" w:eastAsia="Arial" w:hAnsi="Arial"/>
          <w:sz w:val="15"/>
          <w:szCs w:val="15"/>
          <w:color w:val="auto"/>
        </w:rPr>
        <w:t>total debt and income-producing securities at fair value. Weighted average yield on debt and income-producing securities at amortized cost is computed as (a)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w:t>
      </w:r>
    </w:p>
    <w:p>
      <w:pPr>
        <w:spacing w:after="0" w:line="1" w:lineRule="exact"/>
        <w:rPr>
          <w:rFonts w:ascii="Arial" w:cs="Arial" w:eastAsia="Arial" w:hAnsi="Arial"/>
          <w:sz w:val="15"/>
          <w:szCs w:val="15"/>
          <w:color w:val="auto"/>
        </w:rPr>
      </w:pPr>
    </w:p>
    <w:p>
      <w:pPr>
        <w:ind w:left="700" w:hanging="246"/>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total debt and income-producing securities at amortized cost.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The information in this section contains forward-looking statements that involve risks and uncertainties. Please see “Risk Factors” and “Special Note Regarding Forward-Looking Statements” for a discussion of the uncertainties, risks and assumptions associated with these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two wholly owned subsidiaries, TC Lending, LLC, a Delaware limited liability company, which holds a California finance lender and broker license, and TPG SL SPV, LLC, a Delaware limited liability company, in which we hold assets to support our asset-backed credit facility. We make our investments either directly or through our wholly owned subsidiaries. Our results reflect our ramp-up of initial investments, which is now complete, as well as the ongoing measured growth of our portfolio of investments.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we have originated more than $2.0 billion aggregate principal amount of investments and retained more than $1.3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September 30, 2013, our borrowers had a weighted average annual revenue of $194 million and weighted average annual EBITDA based on fair value of $35 million.</w:t>
      </w:r>
    </w:p>
    <w:p>
      <w:pPr>
        <w:spacing w:after="0" w:line="14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our average investment based on fair value in each of our portfolio companies was $36 million.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expect that no single investment will represent more than 15% of our total investment portfolio, based on fair value. The debt in which we invest typically is not rated by any rating agency, but if these instruments were rated, they would likely receive a rating of below investment grade (that is, below BBB- or Baa3).</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Through our Adviser, we consider potential investments utilizing a four-tiered investment framework and against our existing portfolio as a whole:</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no industry represented more than 16% of our portfolio based on fair value.</w:t>
      </w:r>
    </w:p>
    <w:p>
      <w:pPr>
        <w:spacing w:after="0" w:line="17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 xml:space="preserve">Investment Structuring. </w:t>
      </w:r>
      <w:r>
        <w:rPr>
          <w:rFonts w:ascii="Arial" w:cs="Arial" w:eastAsia="Arial" w:hAnsi="Arial"/>
          <w:sz w:val="16"/>
          <w:szCs w:val="16"/>
          <w:color w:val="auto"/>
        </w:rPr>
        <w:t>We focus on investing at the top of the capital structure and protecting that position. As of September 30, 2013,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99.8% of the fair value of our portfolio was invested in secured debt, including 90.4% in first-lien debt. We carefully diligence and structure investments to include strong investor covenants. As a result, we structure investments with a view to creating opportunities for early intervention in the event of non-performance or stress. As of September 30, 2013, the credit agreements underlying our debt investments had a weighted average of 3.2 financial covenants per asset. In addition, we seek to retain effective voting control in investments over the loans or particular class of securities in which we invest through maintaining affirmative voting positions or negotiating consent rights that allow us to retain a blocking position. As of September 30, 2013, we had effective voting control in 94% of the debt investments in our portfolio by fair value, and we held an agency or lead position in 60% of our portfolio investments by fair value. We also aim for our loans to mature on a medium term, between two to six years after origination. For the nine months ended September 30, 2013, the weighted average term on new investment commitments was 4.7 years.</w:t>
      </w:r>
    </w:p>
    <w:p>
      <w:pPr>
        <w:spacing w:after="0" w:line="12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 xml:space="preserve">Deal Dynamics. </w:t>
      </w:r>
      <w:r>
        <w:rPr>
          <w:rFonts w:ascii="Arial" w:cs="Arial" w:eastAsia="Arial" w:hAnsi="Arial"/>
          <w:sz w:val="16"/>
          <w:szCs w:val="16"/>
          <w:color w:val="auto"/>
        </w:rPr>
        <w:t>We focus on, among other deal dynamics, direct origination of investments, where we identify and lead the investment transaction. As of</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2013, a substantial majority of our portfolio investments were sourced through our direct or proprietary relationships.</w:t>
      </w:r>
    </w:p>
    <w:p>
      <w:pPr>
        <w:spacing w:after="0" w:line="8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 xml:space="preserve">Risk Mitigation. </w:t>
      </w:r>
      <w:r>
        <w:rPr>
          <w:rFonts w:ascii="Arial" w:cs="Arial" w:eastAsia="Arial" w:hAnsi="Arial"/>
          <w:sz w:val="16"/>
          <w:szCs w:val="16"/>
          <w:color w:val="auto"/>
        </w:rPr>
        <w:t>We seek to mitigate non-credit-related risk on our returns in several ways, including call protection provisions to protect future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Based on fair value as of September 30, 2013, we had call protection on 94.0% of our portfolio, with weighted average call prices of 106.8% for one year, 103.6% for two years and 101.4% for the third year, in each case from the date of the initial investment. Based on fair value as of September 30, 2013, 98.7% of our debt investments bore interest at floating rates, which we believe helps act as a portfolio-wide hedge against inflation.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Co-Chief Executive Officer and our Adviser’s Co-Chief Investment Officer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SEC grants the exemptive relief we have requested, to the extent the size of the opportunity exceeds the amount our Adviser independently determines is appropriate for us to invest, our affiliates may be able to co-invest with us. We believe our ability to co-invest with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4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the Incentive Fee.</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generate income from dividends on direct equity investments, capital gains on the sales of loans and debt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equity securities and various loan origination and administration fees. Our debt investments typically have a term of two to six years, and, based on fair value as of September 30, 2013, 98.7% currently bear interest at a floating rate. Interest on debt securities is generally payable quarterly or semiannually. Some of our investments provide for deferred interest payments or PIK interest.</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prepayment or due diligence fees, fees for providing managerial assistance and consulting fees.</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Dividend income on common equity securities is recorded on the record date for private portfolio companies or on the ex-dividend date for publicly traded portfolio companies.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59"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90" w:lineRule="exact"/>
        <w:rPr>
          <w:rFonts w:ascii="Arial" w:cs="Arial" w:eastAsia="Arial" w:hAnsi="Arial"/>
          <w:sz w:val="18"/>
          <w:szCs w:val="18"/>
          <w:color w:val="auto"/>
        </w:rPr>
      </w:pPr>
    </w:p>
    <w:p>
      <w:pPr>
        <w:ind w:left="900" w:right="36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90" w:lineRule="exact"/>
        <w:rPr>
          <w:rFonts w:ascii="Arial" w:cs="Arial" w:eastAsia="Arial" w:hAnsi="Arial"/>
          <w:sz w:val="18"/>
          <w:szCs w:val="18"/>
          <w:color w:val="auto"/>
        </w:rPr>
      </w:pPr>
    </w:p>
    <w:p>
      <w:pPr>
        <w:ind w:left="900" w:right="160" w:hanging="325"/>
        <w:spacing w:after="0" w:line="306"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25" w:lineRule="exact"/>
        <w:rPr>
          <w:rFonts w:ascii="Arial" w:cs="Arial" w:eastAsia="Arial" w:hAnsi="Arial"/>
          <w:sz w:val="16"/>
          <w:szCs w:val="16"/>
          <w:color w:val="auto"/>
        </w:rPr>
      </w:pPr>
    </w:p>
    <w:p>
      <w:pPr>
        <w:ind w:left="900" w:right="22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 such as the Revolving Credit and Security Agreement between our wholly owned subsidiary, TPG SL SPV, LLC and Natixis, which we refer to as the Revolving Credit Facility (Natixis).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23" w:lineRule="auto"/>
        <w:rPr>
          <w:sz w:val="20"/>
          <w:szCs w:val="20"/>
          <w:color w:val="auto"/>
        </w:rPr>
      </w:pPr>
      <w:r>
        <w:rPr>
          <w:rFonts w:ascii="Arial" w:cs="Arial" w:eastAsia="Arial" w:hAnsi="Arial"/>
          <w:sz w:val="15"/>
          <w:szCs w:val="15"/>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fair value as of September 30, 2013, our portfolio consisted of 90.4% first-lien debt, 9.4% second-lien debt and 0.2% equity securities.</w:t>
      </w:r>
    </w:p>
    <w:p>
      <w:pPr>
        <w:spacing w:after="0" w:line="19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Based on fair value as of December 31, 2012, our portfolio consisted of 89.0% first-lien debt, 10.7% second-lien debt and 0.3% equity securities. As of September 30, 2013 and December 31, 2012, our income-producing assets had a weighted average interest rate (which excludes income resulting from amortization of fees and discounts) of 10.1% and 10.0%, respectively, and a weighted average interest yield at amortized cost, (which includes interest income and amortization of fees and discounts) of 10.6% and 10.7%, respectively.</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As of September 30, 2013 and December 31, 2012, we had investments in 25 and 21 portfolio companies, respectively, with an aggregate fair value of $889.3 million and $653.9 million, respectively. During the nine months ended September 30, 2013, we invested $352.6 million aggregate principal amount in eleven new portfolio companies and invested $53.1 million aggregate principal amount in ten existing portfolio companies. During this period, we had $160.4 million aggregate principal amount in exits and repayments resulting in net portfolio growth of $245.3 million aggregate principal amount.</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year ended December 31, 2012, we invested $553.6 million aggregate principal amount in 19 new portfolio companies and invested $127.0 million aggregate principal amount in 13 existing portfolio companies. During this period, we had $200.7 million in aggregate principal amount in exits and repayments resulting in net portfolio growth of $479.9 million aggregate principal amount. For the year ended December 31, 2011, we invested $191.1 million aggregate principal amount in seven new portfolio companies and had no repayments.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Our investment activity for the nine months ended September 30, 2013 and for the years ended December 31, 2012 and 2011 is presented below (information presented herein is at amortized cost unless otherwise indicated).</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0"/>
              </w:rPr>
              <w:t>Nine Months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 amounts in millions)</w:t>
            </w: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2013</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investment commitments: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Gross originations</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634.6</w:t>
            </w:r>
          </w:p>
        </w:tc>
        <w:tc>
          <w:tcPr>
            <w:tcW w:w="54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1,073.5</w:t>
            </w:r>
          </w:p>
        </w:tc>
        <w:tc>
          <w:tcPr>
            <w:tcW w:w="8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syndications/sell downs</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ind w:left="880"/>
              <w:spacing w:after="0"/>
              <w:rPr>
                <w:sz w:val="20"/>
                <w:szCs w:val="20"/>
                <w:color w:val="auto"/>
              </w:rPr>
            </w:pPr>
            <w:r>
              <w:rPr>
                <w:rFonts w:ascii="Arial" w:cs="Arial" w:eastAsia="Arial" w:hAnsi="Arial"/>
                <w:sz w:val="18"/>
                <w:szCs w:val="18"/>
                <w:color w:val="auto"/>
              </w:rPr>
              <w:t>Total new investment commitments</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417.4</w:t>
            </w:r>
          </w:p>
        </w:tc>
        <w:tc>
          <w:tcPr>
            <w:tcW w:w="540" w:type="dxa"/>
            <w:vAlign w:val="bottom"/>
          </w:tcPr>
          <w:p>
            <w:pPr>
              <w:spacing w:after="0"/>
              <w:rPr>
                <w:sz w:val="19"/>
                <w:szCs w:val="19"/>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713.3</w:t>
            </w:r>
          </w:p>
        </w:tc>
        <w:tc>
          <w:tcPr>
            <w:tcW w:w="880" w:type="dxa"/>
            <w:vAlign w:val="bottom"/>
          </w:tcPr>
          <w:p>
            <w:pPr>
              <w:spacing w:after="0"/>
              <w:rPr>
                <w:sz w:val="19"/>
                <w:szCs w:val="19"/>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First-lien</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354.3</w:t>
            </w:r>
          </w:p>
        </w:tc>
        <w:tc>
          <w:tcPr>
            <w:tcW w:w="54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603.9</w:t>
            </w:r>
          </w:p>
        </w:tc>
        <w:tc>
          <w:tcPr>
            <w:tcW w:w="8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Second-lien</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Mezzanine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9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ind w:left="880"/>
              <w:spacing w:after="0"/>
              <w:rPr>
                <w:sz w:val="20"/>
                <w:szCs w:val="20"/>
                <w:color w:val="auto"/>
              </w:rPr>
            </w:pPr>
            <w:r>
              <w:rPr>
                <w:rFonts w:ascii="Arial" w:cs="Arial" w:eastAsia="Arial" w:hAnsi="Arial"/>
                <w:sz w:val="18"/>
                <w:szCs w:val="18"/>
                <w:color w:val="auto"/>
              </w:rPr>
              <w:t>Total</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405.7</w:t>
            </w:r>
          </w:p>
        </w:tc>
        <w:tc>
          <w:tcPr>
            <w:tcW w:w="540" w:type="dxa"/>
            <w:vAlign w:val="bottom"/>
          </w:tcPr>
          <w:p>
            <w:pPr>
              <w:spacing w:after="0"/>
              <w:rPr>
                <w:sz w:val="19"/>
                <w:szCs w:val="19"/>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680.6</w:t>
            </w:r>
          </w:p>
        </w:tc>
        <w:tc>
          <w:tcPr>
            <w:tcW w:w="880" w:type="dxa"/>
            <w:vAlign w:val="bottom"/>
          </w:tcPr>
          <w:p>
            <w:pPr>
              <w:spacing w:after="0"/>
              <w:rPr>
                <w:sz w:val="19"/>
                <w:szCs w:val="19"/>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First-lien</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141.7</w:t>
            </w:r>
          </w:p>
        </w:tc>
        <w:tc>
          <w:tcPr>
            <w:tcW w:w="54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168.6</w:t>
            </w:r>
          </w:p>
        </w:tc>
        <w:tc>
          <w:tcPr>
            <w:tcW w:w="8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Second-lien</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Mezzanine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9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new investment commitments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34.1</w:t>
            </w:r>
          </w:p>
        </w:tc>
        <w:tc>
          <w:tcPr>
            <w:tcW w:w="54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30.6</w:t>
            </w:r>
          </w:p>
        </w:tc>
        <w:tc>
          <w:tcPr>
            <w:tcW w:w="8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Weighted average term for new investment</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commitments (in years)</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line="201" w:lineRule="exact"/>
              <w:rPr>
                <w:sz w:val="20"/>
                <w:szCs w:val="20"/>
                <w:color w:val="auto"/>
              </w:rPr>
            </w:pPr>
            <w:r>
              <w:rPr>
                <w:rFonts w:ascii="Arial" w:cs="Arial" w:eastAsia="Arial" w:hAnsi="Arial"/>
                <w:sz w:val="18"/>
                <w:szCs w:val="18"/>
                <w:b w:val="1"/>
                <w:bCs w:val="1"/>
                <w:color w:val="auto"/>
              </w:rPr>
              <w:t>Percentage of new debt investment commitments at</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20"/>
              <w:spacing w:after="0"/>
              <w:rPr>
                <w:sz w:val="20"/>
                <w:szCs w:val="20"/>
                <w:color w:val="auto"/>
              </w:rPr>
            </w:pPr>
            <w:r>
              <w:rPr>
                <w:rFonts w:ascii="Arial" w:cs="Arial" w:eastAsia="Arial" w:hAnsi="Arial"/>
                <w:sz w:val="18"/>
                <w:szCs w:val="18"/>
                <w:b w:val="1"/>
                <w:bCs w:val="1"/>
                <w:color w:val="auto"/>
              </w:rPr>
              <w:t>floating rates</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97%</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672"/>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Percentage of new debt investment commitments at</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fixed rates</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4560" w:type="dxa"/>
            <w:vAlign w:val="bottom"/>
          </w:tcPr>
          <w:p>
            <w:pPr>
              <w:spacing w:after="0" w:line="201" w:lineRule="exact"/>
              <w:rPr>
                <w:sz w:val="20"/>
                <w:szCs w:val="20"/>
                <w:color w:val="auto"/>
              </w:rPr>
            </w:pPr>
            <w:r>
              <w:rPr>
                <w:rFonts w:ascii="Arial" w:cs="Arial" w:eastAsia="Arial" w:hAnsi="Arial"/>
                <w:sz w:val="18"/>
                <w:szCs w:val="18"/>
                <w:b w:val="1"/>
                <w:bCs w:val="1"/>
                <w:color w:val="auto"/>
              </w:rPr>
              <w:t>Weighted average interest rate of new investment</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20"/>
              <w:spacing w:after="0"/>
              <w:rPr>
                <w:sz w:val="20"/>
                <w:szCs w:val="20"/>
                <w:color w:val="auto"/>
              </w:rPr>
            </w:pPr>
            <w:r>
              <w:rPr>
                <w:rFonts w:ascii="Arial" w:cs="Arial" w:eastAsia="Arial" w:hAnsi="Arial"/>
                <w:sz w:val="18"/>
                <w:szCs w:val="18"/>
                <w:b w:val="1"/>
                <w:bCs w:val="1"/>
                <w:color w:val="auto"/>
              </w:rPr>
              <w:t>commitments based on fair value</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672"/>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Weighted average spread over LIBOR of new floating</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rate investment commitments</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2"/>
        </w:trPr>
        <w:tc>
          <w:tcPr>
            <w:tcW w:w="4560" w:type="dxa"/>
            <w:vAlign w:val="bottom"/>
          </w:tcPr>
          <w:p>
            <w:pPr>
              <w:spacing w:after="0" w:line="201" w:lineRule="exact"/>
              <w:rPr>
                <w:sz w:val="20"/>
                <w:szCs w:val="20"/>
                <w:color w:val="auto"/>
              </w:rPr>
            </w:pPr>
            <w:r>
              <w:rPr>
                <w:rFonts w:ascii="Arial" w:cs="Arial" w:eastAsia="Arial" w:hAnsi="Arial"/>
                <w:sz w:val="18"/>
                <w:szCs w:val="18"/>
                <w:b w:val="1"/>
                <w:bCs w:val="1"/>
                <w:color w:val="auto"/>
                <w:w w:val="97"/>
              </w:rPr>
              <w:t>Weighted average interest rate on investments sold or</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560" w:type="dxa"/>
            <w:vAlign w:val="bottom"/>
          </w:tcPr>
          <w:p>
            <w:pPr>
              <w:ind w:left="220"/>
              <w:spacing w:after="0"/>
              <w:rPr>
                <w:sz w:val="20"/>
                <w:szCs w:val="20"/>
                <w:color w:val="auto"/>
              </w:rPr>
            </w:pPr>
            <w:r>
              <w:rPr>
                <w:rFonts w:ascii="Arial" w:cs="Arial" w:eastAsia="Arial" w:hAnsi="Arial"/>
                <w:sz w:val="18"/>
                <w:szCs w:val="18"/>
                <w:b w:val="1"/>
                <w:bCs w:val="1"/>
                <w:color w:val="auto"/>
              </w:rPr>
              <w:t>paid off in full based on par value</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672"/>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December 31, 2012 and December 31, 2011, our investments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 2013</w:t>
            </w:r>
          </w:p>
        </w:tc>
        <w:tc>
          <w:tcPr>
            <w:tcW w:w="17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 2012</w:t>
            </w:r>
          </w:p>
        </w:tc>
        <w:tc>
          <w:tcPr>
            <w:tcW w:w="200" w:type="dxa"/>
            <w:vAlign w:val="bottom"/>
          </w:tcPr>
          <w:p>
            <w:pPr>
              <w:spacing w:after="0"/>
              <w:rPr>
                <w:sz w:val="14"/>
                <w:szCs w:val="14"/>
                <w:color w:val="auto"/>
              </w:rPr>
            </w:pPr>
          </w:p>
        </w:tc>
        <w:tc>
          <w:tcPr>
            <w:tcW w:w="164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34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0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rPr>
              <w:t>Fair</w:t>
            </w:r>
          </w:p>
        </w:tc>
        <w:tc>
          <w:tcPr>
            <w:tcW w:w="4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Amortized</w:t>
            </w:r>
          </w:p>
        </w:tc>
        <w:tc>
          <w:tcPr>
            <w:tcW w:w="420" w:type="dxa"/>
            <w:vAlign w:val="bottom"/>
          </w:tcPr>
          <w:p>
            <w:pPr>
              <w:spacing w:after="0"/>
              <w:rPr>
                <w:sz w:val="11"/>
                <w:szCs w:val="11"/>
                <w:color w:val="auto"/>
              </w:rPr>
            </w:pPr>
          </w:p>
        </w:tc>
        <w:tc>
          <w:tcPr>
            <w:tcW w:w="50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rPr>
              <w:t>Fair</w:t>
            </w:r>
          </w:p>
        </w:tc>
        <w:tc>
          <w:tcPr>
            <w:tcW w:w="4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Amortized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rPr>
              <w:t>Fair</w:t>
            </w: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Amortized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 amounts in millions)</w:t>
            </w:r>
          </w:p>
        </w:tc>
        <w:tc>
          <w:tcPr>
            <w:tcW w:w="2380" w:type="dxa"/>
            <w:vAlign w:val="bottom"/>
          </w:tcPr>
          <w:p>
            <w:pPr>
              <w:spacing w:after="0"/>
              <w:rPr>
                <w:sz w:val="14"/>
                <w:szCs w:val="14"/>
                <w:color w:val="auto"/>
              </w:rPr>
            </w:pPr>
          </w:p>
        </w:tc>
        <w:tc>
          <w:tcPr>
            <w:tcW w:w="500" w:type="dxa"/>
            <w:vAlign w:val="bottom"/>
          </w:tcPr>
          <w:p>
            <w:pPr>
              <w:jc w:val="right"/>
              <w:ind w:right="2"/>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42"/>
        </w:trPr>
        <w:tc>
          <w:tcPr>
            <w:tcW w:w="348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First-lien</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794.2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$582.3</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575.1</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Second-lien</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83.7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77.6</w:t>
            </w:r>
          </w:p>
        </w:tc>
        <w:tc>
          <w:tcPr>
            <w:tcW w:w="500" w:type="dxa"/>
            <w:vAlign w:val="bottom"/>
          </w:tcPr>
          <w:p>
            <w:pPr>
              <w:jc w:val="right"/>
              <w:spacing w:after="0"/>
              <w:rPr>
                <w:sz w:val="20"/>
                <w:szCs w:val="20"/>
                <w:color w:val="auto"/>
              </w:rPr>
            </w:pPr>
            <w:r>
              <w:rPr>
                <w:rFonts w:ascii="Arial" w:cs="Arial" w:eastAsia="Arial" w:hAnsi="Arial"/>
                <w:sz w:val="18"/>
                <w:szCs w:val="18"/>
                <w:color w:val="auto"/>
              </w:rPr>
              <w:t>69.6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67.3</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Mezzanine</w:t>
            </w: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Equity</w:t>
            </w:r>
          </w:p>
        </w:tc>
        <w:tc>
          <w:tcPr>
            <w:tcW w:w="2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2.8</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889.3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874.6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653.9</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644.4</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38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amortized cost of our performing and non-accrual investments as September 30, 2013, December 31,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6"/>
              </w:rPr>
              <w:t>September 30, 2013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w w:val="99"/>
              </w:rPr>
              <w:t>December 31, 2012</w:t>
            </w:r>
          </w:p>
        </w:tc>
        <w:tc>
          <w:tcPr>
            <w:tcW w:w="140" w:type="dxa"/>
            <w:vAlign w:val="bottom"/>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9"/>
              </w:rPr>
              <w:t>December 31, 2011</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0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Amortized</w:t>
            </w:r>
          </w:p>
        </w:tc>
        <w:tc>
          <w:tcPr>
            <w:tcW w:w="64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Amortized</w:t>
            </w:r>
          </w:p>
        </w:tc>
        <w:tc>
          <w:tcPr>
            <w:tcW w:w="4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Amortized</w:t>
            </w: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amounts in millions)</w:t>
            </w: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2"/>
              </w:rPr>
              <w:t>Percentage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00"/>
              <w:spacing w:after="0"/>
              <w:rPr>
                <w:sz w:val="20"/>
                <w:szCs w:val="20"/>
                <w:color w:val="auto"/>
              </w:rPr>
            </w:pPr>
            <w:r>
              <w:rPr>
                <w:rFonts w:ascii="Arial" w:cs="Arial" w:eastAsia="Arial" w:hAnsi="Arial"/>
                <w:sz w:val="14"/>
                <w:szCs w:val="14"/>
                <w:b w:val="1"/>
                <w:bCs w:val="1"/>
                <w:color w:val="auto"/>
                <w:w w:val="96"/>
              </w:rPr>
              <w:t>Cost</w:t>
            </w:r>
          </w:p>
        </w:tc>
        <w:tc>
          <w:tcPr>
            <w:tcW w:w="46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2"/>
              </w:rPr>
              <w:t>Percentage</w:t>
            </w: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8"/>
              </w:rPr>
              <w:t>874.6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99.6%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182.0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Non-accrual</w:t>
            </w:r>
            <w:r>
              <w:rPr>
                <w:rFonts w:ascii="Arial" w:cs="Arial" w:eastAsia="Arial" w:hAnsi="Arial"/>
                <w:sz w:val="11"/>
                <w:szCs w:val="11"/>
                <w:color w:val="auto"/>
              </w:rPr>
              <w:t>(1)</w:t>
            </w:r>
          </w:p>
        </w:tc>
        <w:tc>
          <w:tcPr>
            <w:tcW w:w="140" w:type="dxa"/>
            <w:vAlign w:val="bottom"/>
          </w:tcPr>
          <w:p>
            <w:pPr>
              <w:spacing w:after="0"/>
              <w:rPr>
                <w:sz w:val="18"/>
                <w:szCs w:val="18"/>
                <w:color w:val="auto"/>
              </w:rPr>
            </w:pPr>
          </w:p>
        </w:tc>
        <w:tc>
          <w:tcPr>
            <w:tcW w:w="480" w:type="dxa"/>
            <w:vAlign w:val="bottom"/>
          </w:tcPr>
          <w:p>
            <w:pPr>
              <w:jc w:val="center"/>
              <w:ind w:left="6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874.6</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182.0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98"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 See “—Critical Accounting Policies—Interest and Dividend Income Recognition.”</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weighted average yields and interest rates of our debt investments at fair value as of September 30, 2013 and December 31, 2012 and 2011,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32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84"/>
              </w:rPr>
              <w:t>September 30, 2013</w:t>
            </w:r>
          </w:p>
        </w:tc>
        <w:tc>
          <w:tcPr>
            <w:tcW w:w="230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85"/>
              </w:rPr>
              <w:t>December 31, 2012</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2011</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Weighted average total yield on investments</w:t>
            </w:r>
          </w:p>
        </w:tc>
        <w:tc>
          <w:tcPr>
            <w:tcW w:w="112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shd w:val="clear" w:color="auto" w:fill="CCEEFF"/>
          </w:tcPr>
          <w:p>
            <w:pPr>
              <w:spacing w:after="0"/>
              <w:rPr>
                <w:sz w:val="18"/>
                <w:szCs w:val="18"/>
                <w:color w:val="auto"/>
              </w:rPr>
            </w:pPr>
          </w:p>
        </w:tc>
        <w:tc>
          <w:tcPr>
            <w:tcW w:w="23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10.4%</w:t>
            </w:r>
          </w:p>
        </w:tc>
        <w:tc>
          <w:tcPr>
            <w:tcW w:w="23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10.6%</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Weighted average interest rate on investments</w:t>
            </w:r>
          </w:p>
        </w:tc>
        <w:tc>
          <w:tcPr>
            <w:tcW w:w="2320" w:type="dxa"/>
            <w:vAlign w:val="bottom"/>
            <w:gridSpan w:val="2"/>
          </w:tcPr>
          <w:p>
            <w:pPr>
              <w:jc w:val="right"/>
              <w:ind w:right="1040"/>
              <w:spacing w:after="0"/>
              <w:rPr>
                <w:sz w:val="20"/>
                <w:szCs w:val="20"/>
                <w:color w:val="auto"/>
              </w:rPr>
            </w:pPr>
            <w:r>
              <w:rPr>
                <w:rFonts w:ascii="Arial" w:cs="Arial" w:eastAsia="Arial" w:hAnsi="Arial"/>
                <w:sz w:val="18"/>
                <w:szCs w:val="18"/>
                <w:color w:val="auto"/>
              </w:rPr>
              <w:t>10.1%</w:t>
            </w:r>
          </w:p>
        </w:tc>
        <w:tc>
          <w:tcPr>
            <w:tcW w:w="2300" w:type="dxa"/>
            <w:vAlign w:val="bottom"/>
            <w:gridSpan w:val="2"/>
          </w:tcPr>
          <w:p>
            <w:pPr>
              <w:jc w:val="right"/>
              <w:ind w:right="106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spread over LIBOR of all floating rate</w:t>
            </w: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23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8.8%</w:t>
            </w:r>
          </w:p>
        </w:tc>
        <w:tc>
          <w:tcPr>
            <w:tcW w:w="23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8.6%</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results for the nine months ended September 30, 2013 and 2012 and the years ended December 31, 2012 and 2011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7"/>
              </w:rPr>
              <w:t>Nine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2013</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Net expenses</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 (loss) before income taxes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Income taxes, including excise taxes</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Net realized gains on investments</w:t>
            </w: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r>
              <w:rPr>
                <w:rFonts w:ascii="Arial" w:cs="Arial" w:eastAsia="Arial" w:hAnsi="Arial"/>
                <w:sz w:val="11"/>
                <w:szCs w:val="11"/>
                <w:color w:val="auto"/>
              </w:rPr>
              <w:t>(1)</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18"/>
                <w:szCs w:val="18"/>
                <w:color w:val="auto"/>
              </w:rPr>
              <w:t>Net increase in net assets resulting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45.9</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39.6</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foreign exchange hedging activity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83"/>
              </w:rPr>
              <w:t>2013</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Dividend income</w:t>
            </w: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80" w:type="dxa"/>
            <w:vAlign w:val="bottom"/>
          </w:tcPr>
          <w:p>
            <w:pPr>
              <w:ind w:left="440"/>
              <w:spacing w:after="0"/>
              <w:rPr>
                <w:sz w:val="20"/>
                <w:szCs w:val="20"/>
                <w:color w:val="auto"/>
              </w:rPr>
            </w:pPr>
            <w:r>
              <w:rPr>
                <w:rFonts w:ascii="Arial" w:cs="Arial" w:eastAsia="Arial" w:hAnsi="Arial"/>
                <w:sz w:val="18"/>
                <w:szCs w:val="18"/>
                <w:color w:val="auto"/>
              </w:rPr>
              <w:t>Total investment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65.0</w:t>
            </w:r>
          </w:p>
        </w:tc>
        <w:tc>
          <w:tcPr>
            <w:tcW w:w="6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32.8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51.0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Interest from investments increased from $32.5 million for the nine months ended September 30, 2012 to $63.3 million for the nine months ended September 30, 2013, primarily due to the increase in the size of the portfolio. The average size of our total investment portfolio at fair value increased from $358 million during the nine months ended September 30, 2012 to $739 million during the nine months ended September 30, 2013. There was no dividend income in the nine months ended September 30, 2013 and 2012. In addition, there was an increase of $2.2 million in prepayment fees for the nine months ended September 30, 2013 compared to the prior period. These prepayment fees resulted from full or partial paydowns on four portfolio investments. Other income increased from $0.3 million for the nine months ended September 30, 2012 to $1.7 million for the nine months ended September 30, 2013, primarily due to higher syndication, amendment and agency fees earned during 2013.</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Interest from investments increased from $5.3 million for the year ended December 31, 2011 to $49.1 million for the year ended December 31, 2012 primarily due to the increase in the size of the portfolio. The average size of our total investment portfolio at fair value increased from $57 million during the year ended December 31, 2011 to $417 million during the year ended December 31, 2012. There was no dividend income in the year ended December 31, 2011. Dividend income was $1.2 million for the year ended December 31, 2012 due to the receipt of a dividend in the fourth quarter of 2012 from a non-controlled, affiliated investment. In addition, there was an increase of $0.9 million in prepayment fees for the year ended December 31, 2012 compared to the prior year. These prepayment fees resulted from full paydowns on two portfolio investments. There was no other income in the year ended December 31, 2011. Other income for the year ended December 31, 2012 was $0.7 million primarily due to higher amendment, syndication and agency fees earned during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30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2013</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40" w:type="dxa"/>
            <w:vAlign w:val="bottom"/>
            <w:vMerge w:val="continue"/>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Initial organization</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(net of waivers)</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40" w:type="dxa"/>
            <w:vAlign w:val="bottom"/>
          </w:tcPr>
          <w:p>
            <w:pPr>
              <w:spacing w:after="0"/>
              <w:rPr>
                <w:sz w:val="20"/>
                <w:szCs w:val="20"/>
                <w:color w:val="auto"/>
              </w:rPr>
            </w:pPr>
            <w:r>
              <w:rPr>
                <w:rFonts w:ascii="Arial" w:cs="Arial" w:eastAsia="Arial" w:hAnsi="Arial"/>
                <w:sz w:val="18"/>
                <w:szCs w:val="18"/>
                <w:color w:val="auto"/>
              </w:rPr>
              <w:t>Incentive fees</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220"/>
              <w:spacing w:after="0"/>
              <w:rPr>
                <w:sz w:val="20"/>
                <w:szCs w:val="20"/>
                <w:color w:val="auto"/>
              </w:rPr>
            </w:pPr>
            <w:r>
              <w:rPr>
                <w:rFonts w:ascii="Arial" w:cs="Arial" w:eastAsia="Arial" w:hAnsi="Arial"/>
                <w:sz w:val="18"/>
                <w:szCs w:val="18"/>
                <w:color w:val="auto"/>
              </w:rPr>
              <w:t>Pre-incentive fee net investment income</w:t>
            </w: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gains</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Professional fees</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Expenses</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040" w:type="dxa"/>
            <w:vAlign w:val="bottom"/>
            <w:vMerge w:val="restart"/>
          </w:tcPr>
          <w:p>
            <w:pPr>
              <w:jc w:val="right"/>
              <w:ind w:right="1492"/>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for the nine months ended September 30, 2013 and 2012 and the years ended December 31, 2012 and 2011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Year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9"/>
              </w:rPr>
              <w:t>2013</w:t>
            </w: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2012</w:t>
            </w: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2012</w:t>
            </w: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Stated 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Commitment fees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7.3</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Stated interest expense increased from $2.1 million for the nine months ended September 30, 2012 to $4.7 million for the nine months ended September 30, 2013. This increase was primarily due to an increase in the weighted average debt outstanding from $92 million for the nine months ended September 30, 2012 to $226 million for the nine months ended September 30, 2013. The weighted average interest rate on our debt outstanding decreased from 2.9% for the nine months ended September 30, 2012 to 2.7% for the nine months ended September 30, 2013.</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Stated interest expense increased from $0.4 million for the year ended December 31, 2011 to $3.3 million for the year ended December 31, 2012. This increase was primarily due to an increase in the weighted average debt outstanding from $11 million for the year ended December 31, 2011 to $111 million for the year ended December 31, 2012. The weighted average interest rate on our debt outstanding decreased from 3.0% for the year ended December 31, 2011 to 2.9% for the year ended December 31, 2012.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Commitment Fees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Commitment fees increased from $0.8 million for the nine months ended September 30, 2012 to $1.1 million for the nine months ended September 30, 2013, primarily due to the addition of our Revolving Credit Facility (Natixis) in May 2012 and our Revolving Credit Facility (SunTrust) in August 2012. Commitment fees increased from $0.2 million for the year ended December 31, 2011 to $1.2 million for the year ended December 31, 2012, primarily due to the addition of our Revolving Credit Facility (Natixis) in May 2012 and our Revolving Credit Facility (SunTrust) in August 2012.</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Amortization of Debt Issuance Costs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Amortization of debt issuance costs increased from $1.0 million for the nine months ended September 30, 2012 to $1.5 million for the nine months ended September 30, 2013, primarily due to the addition of our Revolving Credit Facility (SunTrust) in August 2012. Amortization of debt issuance costs increased from $0.2 million for the year ended December 31, 2011 to $1.5 million for the year ended December 31, 2012, primarily due to the addition of our Revolving Credit Facility (Natixis) in May 2012 and our Revolving Credit Facility (SunTrust) in August 2012.</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Management Fees (net of waivers) increased from $3.7 million for the nine months ended September 30, 2012 to $4.7 million for the nine months ended September 30, 2013. Management Fees increased from $6.1 million for the nine months ended September 30, 2012 to $9.7 million for the nine months ended September 30, 2013 due to the increase in total assets, which increased from an average of $555 million for the nine months ended September 30, 2012 to an average of $874 million for the nine months ended September 30, 2013. Management Fees waived increased from $2.4 million for the nine months ended September 30, 2012 to $5.0 million for the nine months ended September 30, 2013 due to an increase in total assets.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Management Fees (net of waivers) increased from $1.6 million for the year ended December 31, 2011 to $5.2 million for the year ended December 31, 2012. Management Fees increased from $1.6 million for the year ended December 31, 2011 to $8.9 million for the year ended December 31, 2012 due to the increase in total assets, which increased from an average of $115 million for the year ended December 31, 2011 to an average of $611 million for the year ended December 31, 2012. Management Fees waived increased from $7 thousand for the year ended December 31, 2011 to $3.7 million for the year ended December 31, 2012 due to an increase in total assets.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Until this IPO, the Adviser has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the IPO, the Adviser does not intend to waive its right to receive the full Management Fee.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Incentive Fees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Incentive Fees related to pre-Incentive Fee net investment income increased from $3.3 million for the nine months ended September 30, 2012 to $7.3 million for the nine months ended September 30, 2013. This increase resulted from the increase in the size of the portfolio and related increase in pre-Incentive Fee net investment income. Incentive Fees related to capital gains decreased from $1.5 million for the nine months ended September 30, 2012 to $0.8 million for the nine months ended September 30, 2013 due to changes in unrealized gains and losses on our investments and realized gains on our investments.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There were no Incentive Fees related to pre-Incentive Fee net investment income for the year ended December 31, 2011. Incentive fees related to pre-Incentive Fee net investment income were $5.3 million for the year ended December 31, 2012 due to an increase in the size of the portfolio and related increase in pre-Incentive Fee net investment income. Incentive Fees related to capital gains increased from $0.3 million for the year ended December 31, 2011 to $1.7 million for the year ended December 31, 2012 due to changes in unrealized gains and losses on our investments and realized gains on our investments.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Professional Fees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Professional fees increased from $2.0 million for the nine months ended September 30, 2012 to $2.4 million for the nine months ended September 30, 2013 and other general and administrative fees increased from $1.1 million for the nine months ended September 30, 2012 to $1.7 million for the nine months ended September 30, 2013, both due to an increase in costs associated with servicing a growing investment portfolio.</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Professional fees increased from $1.6 million for the year ended December 31, 2011 to $2.9 million for the year ended December 31, 2012 and other general and administrative fees increased from $0.8 million for the year ended December 31, 2011 to $1.6 million for the year ended December 31, 2012, both due to an increase in costs associated with servicing a growing investment portfolio. A significant portion of our expenses for the year ended December 31, 2011 were related to the initial organization of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Depending on the level of taxable income earned in a tax year, we may choose to carry forward taxable income (including net capital gain, if any) in excess of current year dividend distributions from the current 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taxable income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each of the nine months ended September 30, 2013 and the calendar year ended December 31, 2012, we recorded a net expense of $0.1 million for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federal excise tax. For the calendar year ended December 31, 2011, we did not incur any U.S. federal excise tax.</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During the nine months ended September 30, 2013, we had $1.4 million of net realized gains, including realized gains on foreign currency forward contracts. During the nine months ended September 30, 2012, we had $3.8 million of net realized gains.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2012, we had $4.4 million of net realized gains. During the year ended December 31, 2011, we had no net realized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gains.</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realized gains and losses on investments during the nine months ended September 30, 2013 and 2012 and the years ended December 31, 2012 and 2011 consisted of the following (certain gains (losses) have been rounded to zero):</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40" w:type="dxa"/>
            <w:vAlign w:val="bottom"/>
            <w:gridSpan w:val="4"/>
          </w:tcPr>
          <w:p>
            <w:pPr>
              <w:ind w:left="380"/>
              <w:spacing w:after="0"/>
              <w:rPr>
                <w:sz w:val="20"/>
                <w:szCs w:val="20"/>
                <w:color w:val="auto"/>
              </w:rPr>
            </w:pPr>
            <w:r>
              <w:rPr>
                <w:rFonts w:ascii="Arial" w:cs="Arial" w:eastAsia="Arial" w:hAnsi="Arial"/>
                <w:sz w:val="14"/>
                <w:szCs w:val="14"/>
                <w:b w:val="1"/>
                <w:bCs w:val="1"/>
                <w:color w:val="auto"/>
                <w:w w:val="96"/>
              </w:rPr>
              <w:t>Year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Attachmate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6"/>
              </w:rPr>
              <w:t>(0.0)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Centaur, LLC</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left="116"/>
              <w:spacing w:after="0"/>
              <w:rPr>
                <w:sz w:val="20"/>
                <w:szCs w:val="20"/>
                <w:color w:val="auto"/>
              </w:rPr>
            </w:pPr>
            <w:r>
              <w:rPr>
                <w:rFonts w:ascii="Arial" w:cs="Arial" w:eastAsia="Arial" w:hAnsi="Arial"/>
                <w:sz w:val="18"/>
                <w:szCs w:val="18"/>
                <w:color w:val="auto"/>
                <w:w w:val="87"/>
              </w:rPr>
              <w:t>0.1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Checkers Drive-In Restaurants, Inc.</w:t>
            </w:r>
          </w:p>
        </w:tc>
        <w:tc>
          <w:tcPr>
            <w:tcW w:w="120" w:type="dxa"/>
            <w:vAlign w:val="bottom"/>
          </w:tcPr>
          <w:p>
            <w:pPr>
              <w:spacing w:after="0"/>
              <w:rPr>
                <w:sz w:val="18"/>
                <w:szCs w:val="18"/>
                <w:color w:val="auto"/>
              </w:rPr>
            </w:pPr>
          </w:p>
        </w:tc>
        <w:tc>
          <w:tcPr>
            <w:tcW w:w="420" w:type="dxa"/>
            <w:vAlign w:val="bottom"/>
          </w:tcPr>
          <w:p>
            <w:pPr>
              <w:jc w:val="center"/>
              <w:ind w:left="116"/>
              <w:spacing w:after="0"/>
              <w:rPr>
                <w:sz w:val="20"/>
                <w:szCs w:val="20"/>
                <w:color w:val="auto"/>
              </w:rPr>
            </w:pPr>
            <w:r>
              <w:rPr>
                <w:rFonts w:ascii="Arial" w:cs="Arial" w:eastAsia="Arial" w:hAnsi="Arial"/>
                <w:sz w:val="18"/>
                <w:szCs w:val="18"/>
                <w:color w:val="auto"/>
                <w:w w:val="87"/>
              </w:rPr>
              <w:t>0.8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El Pollo Loco, Inc.</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Embarcadero Technologies, Inc.</w:t>
            </w:r>
          </w:p>
        </w:tc>
        <w:tc>
          <w:tcPr>
            <w:tcW w:w="120" w:type="dxa"/>
            <w:vAlign w:val="bottom"/>
          </w:tcPr>
          <w:p>
            <w:pPr>
              <w:spacing w:after="0"/>
              <w:rPr>
                <w:sz w:val="18"/>
                <w:szCs w:val="18"/>
                <w:color w:val="auto"/>
              </w:rPr>
            </w:pPr>
          </w:p>
        </w:tc>
        <w:tc>
          <w:tcPr>
            <w:tcW w:w="420" w:type="dxa"/>
            <w:vAlign w:val="bottom"/>
          </w:tcPr>
          <w:p>
            <w:pPr>
              <w:jc w:val="center"/>
              <w:ind w:left="116"/>
              <w:spacing w:after="0"/>
              <w:rPr>
                <w:sz w:val="20"/>
                <w:szCs w:val="20"/>
                <w:color w:val="auto"/>
              </w:rPr>
            </w:pPr>
            <w:r>
              <w:rPr>
                <w:rFonts w:ascii="Arial" w:cs="Arial" w:eastAsia="Arial" w:hAnsi="Arial"/>
                <w:sz w:val="18"/>
                <w:szCs w:val="18"/>
                <w:color w:val="auto"/>
                <w:w w:val="87"/>
              </w:rPr>
              <w:t>0.1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Rare Restaurant Group, LLC.</w:t>
            </w:r>
          </w:p>
        </w:tc>
        <w:tc>
          <w:tcPr>
            <w:tcW w:w="12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Rogue Wave Holdings, Inc.</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SumTotal</w:t>
            </w:r>
          </w:p>
        </w:tc>
        <w:tc>
          <w:tcPr>
            <w:tcW w:w="12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(0.0)</w:t>
            </w: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Synagro Technologies, Inc.</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ind w:left="116"/>
              <w:spacing w:after="0"/>
              <w:rPr>
                <w:sz w:val="20"/>
                <w:szCs w:val="20"/>
                <w:color w:val="auto"/>
              </w:rPr>
            </w:pPr>
            <w:r>
              <w:rPr>
                <w:rFonts w:ascii="Arial" w:cs="Arial" w:eastAsia="Arial" w:hAnsi="Arial"/>
                <w:sz w:val="18"/>
                <w:szCs w:val="18"/>
                <w:color w:val="auto"/>
                <w:w w:val="87"/>
              </w:rPr>
              <w:t>0.1</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Subtotal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center"/>
              <w:ind w:left="116"/>
              <w:spacing w:after="0"/>
              <w:rPr>
                <w:sz w:val="20"/>
                <w:szCs w:val="20"/>
                <w:color w:val="auto"/>
              </w:rPr>
            </w:pPr>
            <w:r>
              <w:rPr>
                <w:rFonts w:ascii="Arial" w:cs="Arial" w:eastAsia="Arial" w:hAnsi="Arial"/>
                <w:sz w:val="18"/>
                <w:szCs w:val="18"/>
                <w:color w:val="auto"/>
                <w:w w:val="87"/>
              </w:rPr>
              <w:t>1.1</w:t>
            </w:r>
          </w:p>
        </w:tc>
        <w:tc>
          <w:tcPr>
            <w:tcW w:w="6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79"/>
              </w:rPr>
              <w:t>3.8</w:t>
            </w:r>
          </w:p>
        </w:tc>
        <w:tc>
          <w:tcPr>
            <w:tcW w:w="6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ind w:left="116"/>
              <w:spacing w:after="0"/>
              <w:rPr>
                <w:sz w:val="20"/>
                <w:szCs w:val="20"/>
                <w:color w:val="auto"/>
              </w:rPr>
            </w:pPr>
            <w:r>
              <w:rPr>
                <w:rFonts w:ascii="Arial" w:cs="Arial" w:eastAsia="Arial" w:hAnsi="Arial"/>
                <w:sz w:val="18"/>
                <w:szCs w:val="18"/>
                <w:color w:val="auto"/>
                <w:w w:val="87"/>
              </w:rPr>
              <w:t>0.3</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Arial" w:cs="Arial" w:eastAsia="Arial" w:hAnsi="Arial"/>
                <w:sz w:val="18"/>
                <w:szCs w:val="18"/>
                <w:b w:val="1"/>
                <w:bCs w:val="1"/>
                <w:color w:val="auto"/>
              </w:rPr>
              <w:t>Net Realized Gains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center"/>
              <w:ind w:left="116"/>
              <w:spacing w:after="0"/>
              <w:rPr>
                <w:sz w:val="20"/>
                <w:szCs w:val="20"/>
                <w:color w:val="auto"/>
              </w:rPr>
            </w:pPr>
            <w:r>
              <w:rPr>
                <w:rFonts w:ascii="Arial" w:cs="Arial" w:eastAsia="Arial" w:hAnsi="Arial"/>
                <w:sz w:val="18"/>
                <w:szCs w:val="18"/>
                <w:color w:val="auto"/>
                <w:w w:val="87"/>
              </w:rPr>
              <w:t>1.4</w:t>
            </w:r>
          </w:p>
        </w:tc>
        <w:tc>
          <w:tcPr>
            <w:tcW w:w="6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90"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Since we began investing in 2011 through September 30, 2013, our exited investments have resulted in an aggregate cash flow realized gross internal rate of return to us of approximately 17.5% (based on cash invested of approximately $329 million and total proceeds from these exited investments of approximately $373 million). Approximately 79% of these exited investments resulted in an aggregate cash flow realized gross internal rate of return to us of 10% or greater.</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Internal rate of return, or IRR, is a measure of our discounted cash flows (inflows and outflows). Specifically, IRR is the discount rate at which the net present value of all cash flows is equal to zero. That is, IRR is the discount rate at which (i) the present value of total capital invested in our investments is equal to (ii) the present value of all returns from the investments (whether or not realized). Our IRR calculations are unaudited.</w:t>
      </w:r>
    </w:p>
    <w:p>
      <w:pPr>
        <w:spacing w:after="0" w:line="147" w:lineRule="exact"/>
        <w:rPr>
          <w:sz w:val="20"/>
          <w:szCs w:val="20"/>
          <w:color w:val="auto"/>
        </w:rPr>
      </w:pPr>
    </w:p>
    <w:p>
      <w:pPr>
        <w:ind w:left="900" w:right="74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capital invested for an investment equals the sum of (i) capital invested and (ii) realized losses on hedging activity, with respect to the investment.</w:t>
      </w:r>
    </w:p>
    <w:p>
      <w:pPr>
        <w:spacing w:after="0" w:line="50" w:lineRule="exact"/>
        <w:rPr>
          <w:rFonts w:ascii="Arial" w:cs="Arial" w:eastAsia="Arial" w:hAnsi="Arial"/>
          <w:sz w:val="18"/>
          <w:szCs w:val="18"/>
          <w:color w:val="auto"/>
        </w:rPr>
      </w:pPr>
    </w:p>
    <w:p>
      <w:pPr>
        <w:ind w:left="1480" w:right="480" w:hanging="446"/>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w:t>
      </w:r>
    </w:p>
    <w:p>
      <w:pPr>
        <w:spacing w:after="0" w:line="50" w:lineRule="exact"/>
        <w:rPr>
          <w:rFonts w:ascii="Arial" w:cs="Arial" w:eastAsia="Arial" w:hAnsi="Arial"/>
          <w:sz w:val="18"/>
          <w:szCs w:val="18"/>
          <w:color w:val="auto"/>
        </w:rPr>
      </w:pPr>
    </w:p>
    <w:p>
      <w:pPr>
        <w:ind w:left="1480" w:right="560" w:hanging="446"/>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Realized losses on hedging activity, with respect to an investment, represent any inception-to-date realized losses on foreign currency forward contracts allocable to the investment.</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 For additional information on these amounts, see “—Results of Operations—Expenses” and “—Results of Operations—Income Tax Expense, Including Excise Tax” above.</w:t>
      </w:r>
    </w:p>
    <w:p>
      <w:pPr>
        <w:spacing w:after="0" w:line="14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Aggregate cash flow realized gross IRR reflects only invested and realized cash amounts as described above, and does not reflect any unrealized gains or losses in our portfolio. For additional information on our unrealized gains and losses, see “—Results of Operations— Net Change in Unrealized Gains/Losses”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Gains/Losses</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value our investments quarterly and any changes in fair value are recorded as unrealized gains or losses. See“—Critical Accounting Policies— Investments at Fair Value.”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nine months ended September 30, 2013 and 2012 and the years ended December 31, 2012 and 2011, the net change in unrealized gains (losses)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 our investment portfolio, including losses on foreign currency forward contracts,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9"/>
              </w:rPr>
              <w:t>2013</w:t>
            </w: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2012</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9"/>
              </w:rPr>
              <w:t>2012</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vMerge w:val="continue"/>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Change in unrealized losses</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80" w:type="dxa"/>
            <w:vAlign w:val="bottom"/>
            <w:vMerge w:val="restart"/>
          </w:tcPr>
          <w:p>
            <w:pPr>
              <w:jc w:val="right"/>
              <w:ind w:right="1232"/>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4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net change in unrealized gains (losses) for the nine months ended September 30, 2013 and 2012 and the years ended December 31, 2012 and 2011 consisted of the following (certain gains (losses) have been rounded to zero):</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2013</w:t>
            </w: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3"/>
              </w:rPr>
              <w:t>2012</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2012</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Actian Corporation</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AFS Technologies,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AMF Bowling Worldwide,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Attachmate Corporation</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Centaur, LLC.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Center Cut Hospitality,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Checkers Drive-In Restaurants,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Consona Holdings,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Ecommerce Industries,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Embarcadero Technologies,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eResearch Technology,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Federal Signal Corporation</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Heartland Automotive, LLC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Infogix,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Intelident Solutions,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International Equipment Solutions,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Jeeves Information Systems AB.</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Mandalay Baseball Properties, LLC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Mediware Information Systems,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MSC Software Corporation</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Network Merchants,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The Newark Group,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PAI Group,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Rare Restaurant Group, LLC.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Rogue Wave Holdings,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Sage Automotive Interiors,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Soho House Bond Ltd.</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Solarsoft, LP (f/k/a CMS-XKO Holding Company, LP)</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SRS Software, LLC.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SumTotal Systems, LLC.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Synagro Technologies,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Teletrac, Inc.</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Vivint, Inc.</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Foreign currency forward contracts</w:t>
            </w:r>
          </w:p>
        </w:tc>
        <w:tc>
          <w:tcPr>
            <w:tcW w:w="1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2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5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For the nine months ended September 30, 2013, we had $10.0 million in unrealized appreciation on 16 portfolio company investments, which was partially offset by $6.0 million in unrealized depreciation on 14 portfolio company investments, including unrealized losses on foreign currency forward contracts. For the nine months ended September 30, 2012, we had $7.9 million in unrealized appreciation on 13 portfolio company investments, which was partially offset by $1.7 million in unrealized depreciation on six portfolio company investments. Unrealized appreciation resulted from an increase in fair market value, primarily due to a tightening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year ended December 31, 2012, we had $9.2 million in unrealized appreciation on 13 portfolio company investments, which was partially offset by $2.0 million in unrealized depreciation on five portfolio company investments, including unrealized losses on foreign currency forward contracts. For the year ended December 31, 2011, we had $2.4 million in unrealized appreciation on six portfolio company investments, which was partially offset by $0.1 million in unrealized depreciation on one portfolio company investment.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nine months ended September 30, 2013, we entered into foreign currency forward contracts related to our investments in Jeeves Information Systems AB and Soho House Bond Ltd., which in total generated an unrealized loss of $1.2 million and a realized gain of $0.3 million. Other than these foreign currency forward contracts, we did not enter into any other interest rate or other derivative agreements. During the nine months ended September 30, 2012, we did not enter into any interest rate, foreign exchange or other derivative agreements.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December 31, 2012 and 2011, we did not enter into any interest rate, foreign exchange or other derivative agreements.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capital commitments of our existing investors terminate on the completion of this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September 30, 2013 and December 31, 2012 and 2011, our asset coverage ratio was 265.9%, 244.6% and 211.7%, respectively.</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Cash and cash equivalents as of September 30, 2013, taken together with cash available under our credit facilities and proceeds from this offering, is expected to be sufficient for our investing activities and to conduct our operations in the near term. The Revolving Credit Facility (DBCTA) will terminate 25 days in advance of this offering.</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40"/>
          </w:cols>
          <w:pgMar w:left="240" w:top="459" w:right="3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of September 30, 2013, we had $19.6 million in cash and cash equivalents, a decrease of $142.2 million from December 31, 2012. The decrease was primarily attributable to investments made during the period. During the nine months ended September 30, 2013, we used $186.2 million in operating activities, primarily as a result of funding of portfolio investments of $432.4 million. This was partially offset by proceeds from investments of $46.4 million, repayments on investments of $164.3 million, an increase in net assets resulting from operations of $45.9 million and other operating activity of $10.4 million. Lastly, cash provided by financing activities was $44.0 million during the period, primarily due to proceeds from issuance of common stock of $56.9 million and net borrowings on debt of $6.4 million, partially offset by debt issuance costs of $1.4 million and dividends paid of $17.9 million.</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of December 31, 2012, we had $161.8 million in cash and cash equivalents, an increase of $18.1 million from December 31, 2011. The increase was primarily attributable to additional borrowings under the debt facilities and proceeds from investor drawdown notices received near December 31, 2012. During the year ended December 31, 2012, we used $430.1 million in operating activities, primarily as a result of funding of portfolio investments of $760.7 million. This was partially offset by proceeds from investments of $119.1 million, repayments on investments of $190.6 million, an increase in net assets resulting from operations of $39.6 million and other operating activity of $18.7 million. Lastly, cash provided by financing activities was $448.2 million during the period, primarily due to proceeds from issuance of common stock of $287.7 million and net borrowings on debt of $176.8 million, partially offset by debt issuance costs of $5.3 million and dividends paid of $11.0 million.</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of September 30, 2013, we had $5.8 million of restricted cash in our wholly owned subsidiary TPG SL SPV, an increase of $1.5 million from December 31, 2012. The increase was primarily attributable to increased interest payments from additional investments contributed to TPG SL SPV. Proceeds received by TPG SL SPV from interest and principal at the end of a reporting period that have not gone through a settlement process are considered to be restricted cash. The settlement process involves the payment of certain required amounts under the Revolving Credit Facility (Natixis), following which excess cash generated in TPG SL SPV may be distributed to us. Restricted cash is a component of prepaid expenses and other assets in our consolidated financial statements. For additional information concerning restricted cash and our revolving credit facility, see “—Financial Condition, Liquidity and Capital Resources— Revolving Credit Facility (Natixis).”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nine months ended September 30, 2013 and the years ended December 31, 2012 and 2011, we entered into subscription agreements with our existing investors, including our Adviser and its affiliates, providing for the private placement of our common stock, which brought our total capital commitments to $1.5 billion (including $117.1 million from our Adviser and its affiliates). From inception through September 30, 2013, we have drawn down a total of $0.5 billion of capital and issued 34.7 million shares. As of September 30, 2013, $1.0 billion of capital commitments remained unfunded.</w:t>
      </w:r>
    </w:p>
    <w:p>
      <w:pPr>
        <w:spacing w:after="0" w:line="113"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During the nine months ended September 30, 2013 and the years ended December 31, 2012 and December 31, 2011, we delivered drawdown notices to our investors relating to the issuance of 3,713,053 shares, 19,199,421 shares and 11,770,448 shares, respectively, of our common stock for aggregate proceeds of $57 million, $288 million and $173 million, respectively. Proceeds from the issuances were used in investing activities and for other general corporate purposes.</w:t>
      </w:r>
    </w:p>
    <w:p>
      <w:pPr>
        <w:spacing w:after="0" w:line="8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to the drawdowns noted above, during the nine months ended September 30, 2013 and the year ended December 31, 2012, we issued 1,250,508 and 613,019 shares of our common stock, respectively, to investors who have not opted out of our dividend reinvestment plan for proceeds of $19.1 million and $9.2 million, respectively. We did not issue any shares to investors through our dividend reinvestment plan for the year ended December 31, 2011.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September 30, 2013, December 31, 2012 and 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September 30, 2013</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ind w:left="20"/>
              <w:spacing w:after="0" w:line="115" w:lineRule="exact"/>
              <w:rPr>
                <w:sz w:val="20"/>
                <w:szCs w:val="20"/>
                <w:color w:val="auto"/>
              </w:rPr>
            </w:pPr>
            <w:r>
              <w:rPr>
                <w:rFonts w:ascii="Arial" w:cs="Arial" w:eastAsia="Arial" w:hAnsi="Arial"/>
                <w:sz w:val="12"/>
                <w:szCs w:val="12"/>
                <w:b w:val="1"/>
                <w:bCs w:val="1"/>
                <w:color w:val="auto"/>
              </w:rPr>
              <w:t>Borrowings</w:t>
            </w:r>
          </w:p>
        </w:tc>
        <w:tc>
          <w:tcPr>
            <w:tcW w:w="80" w:type="dxa"/>
            <w:vAlign w:val="bottom"/>
          </w:tcPr>
          <w:p>
            <w:pPr>
              <w:spacing w:after="0"/>
              <w:rPr>
                <w:sz w:val="10"/>
                <w:szCs w:val="10"/>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r>
      <w:tr>
        <w:trPr>
          <w:trHeight w:val="17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15"/>
                <w:szCs w:val="15"/>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Total Facility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Available</w:t>
            </w:r>
            <w:r>
              <w:rPr>
                <w:rFonts w:ascii="Arial" w:cs="Arial" w:eastAsia="Arial" w:hAnsi="Arial"/>
                <w:sz w:val="20"/>
                <w:szCs w:val="20"/>
                <w:b w:val="1"/>
                <w:bCs w:val="1"/>
                <w:color w:val="auto"/>
                <w:vertAlign w:val="superscript"/>
              </w:rPr>
              <w:t>(1)</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r>
              <w:rPr>
                <w:rFonts w:ascii="Arial" w:cs="Arial" w:eastAsia="Arial" w:hAnsi="Arial"/>
                <w:sz w:val="11"/>
                <w:szCs w:val="11"/>
                <w:color w:val="auto"/>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r>
              <w:rPr>
                <w:rFonts w:ascii="Arial" w:cs="Arial" w:eastAsia="Arial" w:hAnsi="Arial"/>
                <w:sz w:val="11"/>
                <w:szCs w:val="11"/>
                <w:color w:val="auto"/>
              </w:rPr>
              <w:t>(3)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8"/>
                <w:szCs w:val="18"/>
                <w:color w:val="auto"/>
              </w:rPr>
            </w:pPr>
          </w:p>
        </w:tc>
      </w:tr>
      <w:tr>
        <w:trPr>
          <w:trHeight w:val="222"/>
        </w:trPr>
        <w:tc>
          <w:tcPr>
            <w:tcW w:w="7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180" w:type="dxa"/>
            <w:vAlign w:val="bottom"/>
          </w:tcPr>
          <w:p>
            <w:pPr>
              <w:spacing w:after="0"/>
              <w:rPr>
                <w:sz w:val="19"/>
                <w:szCs w:val="19"/>
                <w:color w:val="auto"/>
              </w:rPr>
            </w:pPr>
          </w:p>
        </w:tc>
        <w:tc>
          <w:tcPr>
            <w:tcW w:w="6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338.3</w:t>
            </w:r>
          </w:p>
        </w:tc>
        <w:tc>
          <w:tcPr>
            <w:tcW w:w="7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11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December 31, 2012</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ind w:left="20"/>
              <w:spacing w:after="0" w:line="115" w:lineRule="exact"/>
              <w:rPr>
                <w:sz w:val="20"/>
                <w:szCs w:val="20"/>
                <w:color w:val="auto"/>
              </w:rPr>
            </w:pPr>
            <w:r>
              <w:rPr>
                <w:rFonts w:ascii="Arial" w:cs="Arial" w:eastAsia="Arial" w:hAnsi="Arial"/>
                <w:sz w:val="12"/>
                <w:szCs w:val="12"/>
                <w:b w:val="1"/>
                <w:bCs w:val="1"/>
                <w:color w:val="auto"/>
              </w:rPr>
              <w:t>Borrowings</w:t>
            </w:r>
          </w:p>
        </w:tc>
        <w:tc>
          <w:tcPr>
            <w:tcW w:w="80" w:type="dxa"/>
            <w:vAlign w:val="bottom"/>
          </w:tcPr>
          <w:p>
            <w:pPr>
              <w:spacing w:after="0"/>
              <w:rPr>
                <w:sz w:val="10"/>
                <w:szCs w:val="10"/>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r>
      <w:tr>
        <w:trPr>
          <w:trHeight w:val="17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15"/>
                <w:szCs w:val="15"/>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Total Facility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Available</w:t>
            </w:r>
            <w:r>
              <w:rPr>
                <w:rFonts w:ascii="Arial" w:cs="Arial" w:eastAsia="Arial" w:hAnsi="Arial"/>
                <w:sz w:val="20"/>
                <w:szCs w:val="20"/>
                <w:b w:val="1"/>
                <w:bCs w:val="1"/>
                <w:color w:val="auto"/>
                <w:vertAlign w:val="superscript"/>
              </w:rPr>
              <w:t>(1)</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r>
              <w:rPr>
                <w:rFonts w:ascii="Arial" w:cs="Arial" w:eastAsia="Arial" w:hAnsi="Arial"/>
                <w:sz w:val="11"/>
                <w:szCs w:val="11"/>
                <w:color w:val="auto"/>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r>
              <w:rPr>
                <w:rFonts w:ascii="Arial" w:cs="Arial" w:eastAsia="Arial" w:hAnsi="Arial"/>
                <w:sz w:val="11"/>
                <w:szCs w:val="11"/>
                <w:color w:val="auto"/>
              </w:rPr>
              <w:t>(3)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22"/>
        </w:trPr>
        <w:tc>
          <w:tcPr>
            <w:tcW w:w="7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180" w:type="dxa"/>
            <w:vAlign w:val="bottom"/>
          </w:tcPr>
          <w:p>
            <w:pPr>
              <w:spacing w:after="0"/>
              <w:rPr>
                <w:sz w:val="19"/>
                <w:szCs w:val="19"/>
                <w:color w:val="auto"/>
              </w:rPr>
            </w:pPr>
          </w:p>
        </w:tc>
        <w:tc>
          <w:tcPr>
            <w:tcW w:w="6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331.8</w:t>
            </w:r>
          </w:p>
        </w:tc>
        <w:tc>
          <w:tcPr>
            <w:tcW w:w="7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11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December 31, 2011</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40" w:type="dxa"/>
            <w:vAlign w:val="bottom"/>
            <w:gridSpan w:val="5"/>
          </w:tcPr>
          <w:p>
            <w:pPr>
              <w:ind w:left="40"/>
              <w:spacing w:after="0" w:line="115" w:lineRule="exact"/>
              <w:rPr>
                <w:sz w:val="20"/>
                <w:szCs w:val="20"/>
                <w:color w:val="auto"/>
              </w:rPr>
            </w:pPr>
            <w:r>
              <w:rPr>
                <w:rFonts w:ascii="Arial" w:cs="Arial" w:eastAsia="Arial" w:hAnsi="Arial"/>
                <w:sz w:val="12"/>
                <w:szCs w:val="12"/>
                <w:b w:val="1"/>
                <w:bCs w:val="1"/>
                <w:color w:val="auto"/>
              </w:rPr>
              <w:t>Borrowings</w:t>
            </w:r>
          </w:p>
        </w:tc>
        <w:tc>
          <w:tcPr>
            <w:tcW w:w="80" w:type="dxa"/>
            <w:vAlign w:val="bottom"/>
          </w:tcPr>
          <w:p>
            <w:pPr>
              <w:spacing w:after="0"/>
              <w:rPr>
                <w:sz w:val="10"/>
                <w:szCs w:val="10"/>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r>
      <w:tr>
        <w:trPr>
          <w:trHeight w:val="17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1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6"/>
              </w:rPr>
              <w:t>Total Facility</w:t>
            </w:r>
          </w:p>
        </w:tc>
        <w:tc>
          <w:tcPr>
            <w:tcW w:w="420" w:type="dxa"/>
            <w:vAlign w:val="bottom"/>
          </w:tcPr>
          <w:p>
            <w:pPr>
              <w:spacing w:after="0"/>
              <w:rPr>
                <w:sz w:val="15"/>
                <w:szCs w:val="15"/>
                <w:color w:val="auto"/>
              </w:rPr>
            </w:pPr>
          </w:p>
        </w:tc>
        <w:tc>
          <w:tcPr>
            <w:tcW w:w="15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w w:val="84"/>
              </w:rPr>
              <w:t>Outstanding</w:t>
            </w:r>
          </w:p>
        </w:tc>
        <w:tc>
          <w:tcPr>
            <w:tcW w:w="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Available</w:t>
            </w:r>
            <w:r>
              <w:rPr>
                <w:rFonts w:ascii="Arial" w:cs="Arial" w:eastAsia="Arial" w:hAnsi="Arial"/>
                <w:sz w:val="20"/>
                <w:szCs w:val="20"/>
                <w:b w:val="1"/>
                <w:bCs w:val="1"/>
                <w:color w:val="auto"/>
                <w:vertAlign w:val="superscript"/>
              </w:rPr>
              <w:t>(1)</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(2)</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7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250.</w:t>
            </w:r>
            <w:r>
              <w:rPr>
                <w:rFonts w:ascii="Arial" w:cs="Arial" w:eastAsia="Arial" w:hAnsi="Arial"/>
                <w:sz w:val="18"/>
                <w:szCs w:val="18"/>
                <w:u w:val="single" w:color="auto"/>
                <w:color w:val="auto"/>
                <w:w w:val="93"/>
              </w:rPr>
              <w:t>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155.0</w:t>
            </w:r>
          </w:p>
        </w:tc>
        <w:tc>
          <w:tcPr>
            <w:tcW w:w="7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Revolving Credit Facility (DBTCA) will terminate 25 days in advance of this offering. We intend to repay any borrowings under this facility prior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offering by drawing on one or more of our other existing facilities.</w:t>
      </w:r>
    </w:p>
    <w:p>
      <w:pPr>
        <w:spacing w:after="0" w:line="9" w:lineRule="exact"/>
        <w:rPr>
          <w:sz w:val="20"/>
          <w:szCs w:val="20"/>
          <w:color w:val="auto"/>
        </w:rPr>
      </w:pPr>
    </w:p>
    <w:p>
      <w:pPr>
        <w:ind w:left="460" w:right="200" w:hanging="459"/>
        <w:spacing w:after="0" w:line="250" w:lineRule="auto"/>
        <w:tabs>
          <w:tab w:leader="none" w:pos="440" w:val="left"/>
        </w:tabs>
        <w:rPr>
          <w:sz w:val="20"/>
          <w:szCs w:val="20"/>
          <w:color w:val="auto"/>
        </w:rPr>
      </w:pPr>
      <w:r>
        <w:rPr>
          <w:rFonts w:ascii="Arial" w:cs="Arial" w:eastAsia="Arial" w:hAnsi="Arial"/>
          <w:sz w:val="18"/>
          <w:szCs w:val="18"/>
          <w:color w:val="auto"/>
        </w:rPr>
        <w:t>(3)</w:t>
        <w:tab/>
        <w:t>We intend to use the net proceeds of this offering, together with our cash and cash equivalents, to pay down $ million of outstanding indebtedness under the Revolving Credit Facility (SunTrust). See “Use of Proceeds.”</w:t>
      </w:r>
    </w:p>
    <w:p>
      <w:pPr>
        <w:spacing w:after="0" w:line="1"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January 21, 2014, we amended the Revolving Credit Facility (Natixis) to increase the size of the facility to $175.0 million.</w:t>
      </w:r>
    </w:p>
    <w:p>
      <w:pPr>
        <w:spacing w:after="0" w:line="16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September 30, 2013, December 31, 2012 and December 31, 2011, we were in compliance with the terms of our debt arrangements. We intend to continue to utilize our credit facilities to fund investments and for other general corporate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 (SunTrust)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August 23, 2012, we entered into the Revolving Credit Facility (SunTrust). On July 2, 2013, we entered into an agreement to amend and restate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Facility (SunTrust), effective on July 3, 2013. The amended and restated facility, among other things:</w:t>
      </w:r>
    </w:p>
    <w:p>
      <w:pPr>
        <w:spacing w:after="0" w:line="84"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the size of the facility from $200 million to $350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the limit for swingline loans from $30 million to $50 million;</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August 24, 2015 to June 30, 2017, during which period we, subject to certain conditions, may make borrowings under the facility;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extended the stated maturity date from August 23, 2016 to July 2, 2018;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advance rates for certain types of investments used in determining the borrowing base.</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may borrow amounts in U.S. dollars or certain other permitted currencies. Amounts drawn under the Revolving Credit Facility (SunTrust),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amended and restated facility also reduced the fee rate on undrawn commitment amounts from 0.500% to 0.375% per annum. The amended and restated facility continues to be guaranteed by TC Lending, LLC and certain of our domestic subsidiaries that are formed or acquired by us in the future. The amended and restated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13"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The amended and restated facility includes an uncommitted accordion feature that allows us, under certain circumstances, to increase the size of the facility to a maximum of $550 million. On September 30, 2013, we exercised our right under the accordion feature and increased the size of the facility to $400 million.</w:t>
      </w:r>
    </w:p>
    <w:p>
      <w:pPr>
        <w:spacing w:after="0" w:line="6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Prior to the amendment, the revolving credit facility contained a covenant restricting us from incurring secured debt (other than the facility and any capital call facility) in excess of 40% of our total assets. The amended and restated facility removes this covenant. The amended and restated facility continues to include customary events of default, as well as customary covenants, including restrictions on certain distributions and financial covenants requiring:</w:t>
      </w:r>
    </w:p>
    <w:p>
      <w:pPr>
        <w:spacing w:after="0" w:line="26"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stockholders’ equity of at least $205,000,000 plus 25% of the net proceeds of the sale of equity interests after August 23, 2012.</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plan to use the proceeds of this offering to pay down the Revolving Credit Facility (SunTrust), but the credit facility will not be terminated. Affiliates of certain of the underwriters are lenders under the Revolving Credit Facility (SunTrust).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 (Natixis)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May 8, 2012, the “Natixis Closing Date,” our wholly owned subsidiary TPG SL SPV, LLC, a Delaware limited liability company, entered into the Revolving Credit Facility (Natixis).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Revolving Credit Facility (Natixis) may be used to finance the acquisition of eligible assets by TPG SL SPV, 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agreement provided for a contribution and reinvestment period for up to 18 months after the Natixis Closing Date, or the Natixis Commitment Termination Date. The Natixis Commitment Termination Date was November 8, 2013, at which point the reinvestment period of the Revolving Credit Facility (Natixis) expired and accordingly any undrawn availability under the facility terminated. Prior to the Natixis Commitment Termination Date, proceeds received by TPG SL SPV from interest, dividends or fees on assets were required to be used to pay expenses and interest on outstanding borrowings, and the excess could be returned to us, subject to certain conditions. Proceeds received from principal on assets prior to the Natixis Commitment Termination Date were required to be used to make quarterly payments of principal on outstanding borrowings. Following the Natixis Commitment Termination Date, proceeds received by TPG SL SPV from interest and principal on collateral assets must be used to make quarterly payments of principal on outstanding borrowings. Proceeds received from interest and principal at the end of a reporting period that have not gone through the settlement process for these payment obligations are considered to be restricted cash.</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January 21, 2014, we entered into an agreement to amend and restate the Revolving Credit Facility (Natixis). The amended and restated facility, among other things:</w:t>
      </w:r>
    </w:p>
    <w:p>
      <w:pPr>
        <w:spacing w:after="0" w:line="51"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may be extended in our sole discretion for an additional six-month period thereafter;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limitations.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Under both the amended and restated and original Revolving Credit Facility (Natixis), amounts drawn bear interest at LIBOR plus a margin, and the undrawn portion of the commitment bears an unutilized commitment fee of 0.75%. The Revolving Credit Facility (Natixis) contains customary covenants, including covenants relating to separateness from the Adviser and its affiliates and long-term credit ratings, and events of default. The Revolving Credit Facility (Natixis) is secured by a perfected first priority security interest in the assets of TPG SL SPV and on any payments received by TPG SL SPV in respect of such assets, which accordingly are not available to pay our other debt obligations.</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of September 30, 2013 and December 31, 2012, TPG SL SPV had $177.0 million and $163.8 million, respectively, in assets, including $167.6 million and $154.4 million, respectively, in investments at fair value, and $68.3 million and $67.3 million, respectively, in liabilities, including the outstanding borrowings, on its balance sheet. As of September 30, 2013 and December 31, 2012, TPG SL SPV had $5.8 million and $4.3 million, respectively, in restricted cash, a component of prepaid expenses and other assets, in the accompanying consolidated financial statements.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our borrowings for purposes of complying with the asset coverage requirements under the 1940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 (DBTCA)</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September 28, 2011, we entered into a revolving credit facility, which we refer to as the Initial DBTCA Revolving Credit Facility, with Deutsche Bank Trust Company Americas, or DBTCA, as administrative agent, or the Administrative Agent, and DBTCA and certain other lenders. At closing, the maximum principal amount of the Initial DTBCA Revolving Credit Facility was $150 million, subject to availability under the borrowing base. On December 22, 2011, the Initial DBTCA Revolving Credit Facility was amended and restated, and we refer to that amended facility as the Revolving Credit Facility (DBTCA). Under the Revolving Credit Facility (DBTCA),</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maximum principal amount was increased from $150 million to $250 million subject to availability under a borrowing base. Proceeds from the Revolving Credit Facility (DBTCA) may be used for investment activities, expenses, working capital requirements and general corporate purposes. During July 2013, we reduced the capacity of the Revolving Credit Facility (DBTCA) from $250 million to $100 million.</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Revolving Credit Facility (DBTCA) matures upon the earlier of June 30, 2014 and 25 days prior to this offering. We intend to repay any borrowings under this facility prior to this offering by drawing on one or more of our other existing facilities.</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Revolving Credit Facility (DBTCA) is secured by a perfected first priority security interest in the unfunded capital commitments of our private investors.</w:t>
      </w:r>
    </w:p>
    <w:p>
      <w:pPr>
        <w:spacing w:after="0" w:line="132"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The Revolving Credit Facility (DBTCA) contains customary covenants on us and our subsidiaries, including requirements to deposit all capital call proceeds into a collateral account, restrictions on certain distributions, and restrictions on certain types and amounts of indebtedness. The Revolving Credit Facility (DBTCA) includes customary events of default.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have the same remaining term as the associated loan agreement. Undrawn senior secured term loan commitments generally have a shorter availability period than the term of the associated loan agreement. As of September 30, 2013, December 31, 2012 and December 31, 2011, we had the following commitments to fund investments: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11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September 30, 2013</w:t>
            </w:r>
          </w:p>
        </w:tc>
        <w:tc>
          <w:tcPr>
            <w:tcW w:w="114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 2012</w:t>
            </w:r>
          </w:p>
        </w:tc>
        <w:tc>
          <w:tcPr>
            <w:tcW w:w="114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2011</w:t>
            </w:r>
          </w:p>
        </w:tc>
      </w:tr>
      <w:tr>
        <w:trPr>
          <w:trHeight w:val="210"/>
        </w:trPr>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1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6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58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September 30, 2013, December 31, 2012 and December 31, 2011, we had $1.5 billion, $1.4 billion and $1.2 billion, respectively, in total capital commitments from investors ($1.0 billion, $0.9 billion and $1.0 billion unfunded, respectively). Of these amounts, $117.1 million, $114.1 million and $70.4 million, respectively, is from the Adviser and its affiliates ($76.7 million, $76.6 million and $60.3 million unfunded, respectively). These unfunded commitments will no longer remain in effect following the completion of this IPO.</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September 30, 2013 and December 31, 2012 and December 31, 2011, we had outstanding commitments to fund investments totaling $34.9 million, $32.0 and $6.8 million, respectively.</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Our Adviser also offers on our behalf significant managerial assistance to those portfolio companies to which we are required to offer to provide such assistance.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September 30, 2013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w w:val="88"/>
              </w:rPr>
              <w:t>Payments Due by Period</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660" w:type="dxa"/>
            <w:vAlign w:val="bottom"/>
            <w:gridSpan w:val="2"/>
          </w:tcPr>
          <w:p>
            <w:pPr>
              <w:jc w:val="right"/>
              <w:ind w:right="57"/>
              <w:spacing w:after="0" w:line="129" w:lineRule="exact"/>
              <w:rPr>
                <w:sz w:val="20"/>
                <w:szCs w:val="20"/>
                <w:color w:val="auto"/>
              </w:rPr>
            </w:pPr>
            <w:r>
              <w:rPr>
                <w:rFonts w:ascii="Arial" w:cs="Arial" w:eastAsia="Arial" w:hAnsi="Arial"/>
                <w:sz w:val="14"/>
                <w:szCs w:val="14"/>
                <w:b w:val="1"/>
                <w:bCs w:val="1"/>
                <w:color w:val="auto"/>
              </w:rPr>
              <w:t>1-</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96"/>
              <w:spacing w:after="0" w:line="129" w:lineRule="exact"/>
              <w:rPr>
                <w:sz w:val="20"/>
                <w:szCs w:val="20"/>
                <w:color w:val="auto"/>
              </w:rPr>
            </w:pPr>
            <w:r>
              <w:rPr>
                <w:rFonts w:ascii="Arial" w:cs="Arial" w:eastAsia="Arial" w:hAnsi="Arial"/>
                <w:sz w:val="14"/>
                <w:szCs w:val="14"/>
                <w:b w:val="1"/>
                <w:bCs w:val="1"/>
                <w:color w:val="auto"/>
              </w:rPr>
              <w:t>3-</w:t>
            </w:r>
          </w:p>
        </w:tc>
        <w:tc>
          <w:tcPr>
            <w:tcW w:w="50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After 5</w:t>
            </w:r>
          </w:p>
        </w:tc>
        <w:tc>
          <w:tcPr>
            <w:tcW w:w="100" w:type="dxa"/>
            <w:vAlign w:val="bottom"/>
          </w:tcPr>
          <w:p>
            <w:pPr>
              <w:spacing w:after="0"/>
              <w:rPr>
                <w:sz w:val="11"/>
                <w:szCs w:val="11"/>
                <w:color w:val="auto"/>
              </w:rPr>
            </w:pPr>
          </w:p>
        </w:tc>
      </w:tr>
      <w:tr>
        <w:trPr>
          <w:trHeight w:val="161"/>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3 years</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5 years</w:t>
            </w:r>
          </w:p>
        </w:tc>
        <w:tc>
          <w:tcPr>
            <w:tcW w:w="50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years</w:t>
            </w:r>
          </w:p>
        </w:tc>
      </w:tr>
      <w:tr>
        <w:trPr>
          <w:trHeight w:val="210"/>
        </w:trPr>
        <w:tc>
          <w:tcPr>
            <w:tcW w:w="6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53.0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6"/>
              </w:rPr>
              <w:t>$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67.8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217.5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217.5</w:t>
            </w:r>
          </w:p>
        </w:tc>
        <w:tc>
          <w:tcPr>
            <w:tcW w:w="5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9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Contractual Obligations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338.3</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53.0</w:t>
            </w:r>
          </w:p>
        </w:tc>
        <w:tc>
          <w:tcPr>
            <w:tcW w:w="1160" w:type="dxa"/>
            <w:vAlign w:val="bottom"/>
            <w:gridSpan w:val="3"/>
          </w:tcPr>
          <w:p>
            <w:pPr>
              <w:jc w:val="right"/>
              <w:ind w:right="58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217.5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$ 67.8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640" w:hanging="452"/>
        <w:spacing w:after="0" w:line="456" w:lineRule="auto"/>
        <w:tabs>
          <w:tab w:leader="none" w:pos="4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intend to repay any borrowings under this facility prior to this offering by drawing on one or more of our other existing facilities. A summary of our contractual payment obligations as of December 31, 2012 is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87"/>
              </w:rPr>
              <w:t>Payments Due by Period</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Less than</w:t>
            </w:r>
          </w:p>
        </w:tc>
        <w:tc>
          <w:tcPr>
            <w:tcW w:w="940" w:type="dxa"/>
            <w:vAlign w:val="bottom"/>
            <w:gridSpan w:val="2"/>
          </w:tcPr>
          <w:p>
            <w:pPr>
              <w:jc w:val="right"/>
              <w:ind w:right="77"/>
              <w:spacing w:after="0" w:line="129" w:lineRule="exact"/>
              <w:rPr>
                <w:sz w:val="20"/>
                <w:szCs w:val="20"/>
                <w:color w:val="auto"/>
              </w:rPr>
            </w:pPr>
            <w:r>
              <w:rPr>
                <w:rFonts w:ascii="Arial" w:cs="Arial" w:eastAsia="Arial" w:hAnsi="Arial"/>
                <w:sz w:val="14"/>
                <w:szCs w:val="14"/>
                <w:b w:val="1"/>
                <w:bCs w:val="1"/>
                <w:color w:val="auto"/>
              </w:rPr>
              <w:t>1-</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3-</w:t>
            </w:r>
          </w:p>
        </w:tc>
        <w:tc>
          <w:tcPr>
            <w:tcW w:w="50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After 5</w:t>
            </w:r>
          </w:p>
        </w:tc>
        <w:tc>
          <w:tcPr>
            <w:tcW w:w="100" w:type="dxa"/>
            <w:vAlign w:val="bottom"/>
          </w:tcPr>
          <w:p>
            <w:pPr>
              <w:spacing w:after="0"/>
              <w:rPr>
                <w:sz w:val="11"/>
                <w:szCs w:val="11"/>
                <w:color w:val="auto"/>
              </w:rPr>
            </w:pPr>
          </w:p>
        </w:tc>
      </w:tr>
      <w:tr>
        <w:trPr>
          <w:trHeight w:val="161"/>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4"/>
                <w:szCs w:val="14"/>
                <w:color w:val="auto"/>
              </w:rPr>
            </w:pPr>
          </w:p>
        </w:tc>
        <w:tc>
          <w:tcPr>
            <w:tcW w:w="480" w:type="dxa"/>
            <w:vAlign w:val="bottom"/>
          </w:tcPr>
          <w:p>
            <w:pPr>
              <w:jc w:val="right"/>
              <w:ind w:right="19"/>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8"/>
              </w:rPr>
              <w:t>1 year</w:t>
            </w:r>
          </w:p>
        </w:tc>
        <w:tc>
          <w:tcPr>
            <w:tcW w:w="5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40" w:type="dxa"/>
            <w:vAlign w:val="bottom"/>
          </w:tcPr>
          <w:p>
            <w:pPr>
              <w:spacing w:after="0"/>
              <w:rPr>
                <w:sz w:val="14"/>
                <w:szCs w:val="14"/>
                <w:color w:val="auto"/>
              </w:rPr>
            </w:pPr>
          </w:p>
        </w:tc>
        <w:tc>
          <w:tcPr>
            <w:tcW w:w="10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2"/>
              </w:rPr>
              <w:t>5 years</w:t>
            </w: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years</w:t>
            </w:r>
          </w:p>
        </w:tc>
      </w:tr>
      <w:tr>
        <w:trPr>
          <w:trHeight w:val="210"/>
        </w:trPr>
        <w:tc>
          <w:tcPr>
            <w:tcW w:w="6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$165.0</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$ 165.0</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5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5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8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Contractual Obligations</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331.8</w:t>
            </w:r>
          </w:p>
        </w:tc>
        <w:tc>
          <w:tcPr>
            <w:tcW w:w="106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$ 165.0</w:t>
            </w:r>
          </w:p>
        </w:tc>
        <w:tc>
          <w:tcPr>
            <w:tcW w:w="1420" w:type="dxa"/>
            <w:vAlign w:val="bottom"/>
            <w:gridSpan w:val="3"/>
          </w:tcPr>
          <w:p>
            <w:pPr>
              <w:jc w:val="right"/>
              <w:ind w:right="560"/>
              <w:spacing w:after="0"/>
              <w:rPr>
                <w:sz w:val="20"/>
                <w:szCs w:val="20"/>
                <w:color w:val="auto"/>
              </w:rPr>
            </w:pPr>
            <w:r>
              <w:rPr>
                <w:rFonts w:ascii="Arial" w:cs="Arial" w:eastAsia="Arial" w:hAnsi="Arial"/>
                <w:sz w:val="18"/>
                <w:szCs w:val="18"/>
                <w:color w:val="auto"/>
              </w:rPr>
              <w:t>$ —</w:t>
            </w: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90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100.0</w:t>
            </w: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$ 66.8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intend to repay any borrowings under this facility prior to this offering by drawing on one or more of our other existing facilities.</w:t>
      </w:r>
    </w:p>
    <w:p>
      <w:pPr>
        <w:spacing w:after="0" w:line="171"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See “—Off-Balance Sheet Arrangements—Portfolio Company Commitments.”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4" w:lineRule="exact"/>
        <w:rPr>
          <w:sz w:val="20"/>
          <w:szCs w:val="20"/>
          <w:color w:val="auto"/>
        </w:rPr>
      </w:pPr>
    </w:p>
    <w:p>
      <w:pPr>
        <w:ind w:left="900" w:right="2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associated corporate-level U.S. federal income tax, including the U.S. federal excise tax described below.</w:t>
      </w:r>
    </w:p>
    <w:p>
      <w:pPr>
        <w:spacing w:after="0" w:line="10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4"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98.0% of our net ordinary income excluding certain ordinary gains or losses for that calendar year;</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98.2 % of our capital gain net income, adjusted for certain ordinary gains and losses, recognized for the one-year period ending on October 31 of that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 distribution carefully and should not assume that the source of any distribution is our ordinary income or gains.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90"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subject to financial market risks, including valuation risk and interest rate risk, which we do not hedge. We are also subject to currency risk, which we have hedged. See “—Results of Operations—Hedging.”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See “—Critical Accounting Policies—Investments at Fair Value,” Note 2 to our audited consolidated annual financial statements and Note 2 to our unaudited consolidated interim financial statements included elsewhere in this prospectus for more details on estimates and judgments made by us in connection with the valuation of our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September 30, 2013, 98.7% of our debt investments at fair value in our portfolio bore interest at floating rates. Our credit facilities also bear interest at floating rates.</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Based on our balance sheet as of September 30, 2013, the following table shows the impact on net income for the nine months ended September 30, 2013 of changes in interest rates in our investments and borrowings (considering interest rate floors and ceilings for floating rate instruments), assuming no changes in our investment and borrowing structure (including base rate elections):</w:t>
      </w:r>
    </w:p>
    <w:p>
      <w:pPr>
        <w:sectPr>
          <w:pgSz w:w="11900" w:h="16838" w:orient="portrait"/>
          <w:cols w:equalWidth="0" w:num="1">
            <w:col w:w="11400"/>
          </w:cols>
          <w:pgMar w:left="240" w:top="459" w:right="259" w:bottom="1440" w:gutter="0" w:footer="0" w:header="0"/>
        </w:sectPr>
      </w:pPr>
    </w:p>
    <w:p>
      <w:pPr>
        <w:spacing w:after="0" w:line="176"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 in millions)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Basis Point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7543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6"/>
          <w:szCs w:val="16"/>
          <w:color w:val="auto"/>
        </w:rPr>
        <w:t>Up 150 basis points</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Up 100 basis points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Up 50 basis points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Down 25 basis points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6"/>
              </w:rPr>
              <w:t>Interest Income</w:t>
            </w:r>
          </w:p>
        </w:tc>
        <w:tc>
          <w:tcPr>
            <w:tcW w:w="20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3"/>
              </w:rPr>
              <w:t>Interest Expense</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4"/>
              </w:rPr>
              <w:t>Net Income</w:t>
            </w:r>
          </w:p>
        </w:tc>
      </w:tr>
      <w:tr>
        <w:trPr>
          <w:trHeight w:val="201"/>
        </w:trPr>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8.4</w:t>
            </w:r>
          </w:p>
        </w:tc>
        <w:tc>
          <w:tcPr>
            <w:tcW w:w="1040" w:type="dxa"/>
            <w:vAlign w:val="bottom"/>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w:t>
            </w:r>
          </w:p>
        </w:tc>
        <w:tc>
          <w:tcPr>
            <w:tcW w:w="1040" w:type="dxa"/>
            <w:vAlign w:val="bottom"/>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5.8</w:t>
            </w: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10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10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1960" w:type="dxa"/>
            <w:vAlign w:val="bottom"/>
            <w:gridSpan w:val="2"/>
          </w:tcPr>
          <w:p>
            <w:pPr>
              <w:jc w:val="right"/>
              <w:ind w:right="980"/>
              <w:spacing w:after="0"/>
              <w:rPr>
                <w:sz w:val="20"/>
                <w:szCs w:val="20"/>
                <w:color w:val="auto"/>
              </w:rPr>
            </w:pPr>
            <w:r>
              <w:rPr>
                <w:rFonts w:ascii="Arial" w:cs="Arial" w:eastAsia="Arial" w:hAnsi="Arial"/>
                <w:sz w:val="18"/>
                <w:szCs w:val="18"/>
                <w:color w:val="auto"/>
              </w:rPr>
              <w:t>(0.1)</w:t>
            </w:r>
          </w:p>
        </w:tc>
        <w:tc>
          <w:tcPr>
            <w:tcW w:w="2000" w:type="dxa"/>
            <w:vAlign w:val="bottom"/>
            <w:gridSpan w:val="2"/>
          </w:tcPr>
          <w:p>
            <w:pPr>
              <w:jc w:val="right"/>
              <w:ind w:right="980"/>
              <w:spacing w:after="0"/>
              <w:rPr>
                <w:sz w:val="20"/>
                <w:szCs w:val="20"/>
                <w:color w:val="auto"/>
              </w:rPr>
            </w:pPr>
            <w:r>
              <w:rPr>
                <w:rFonts w:ascii="Arial" w:cs="Arial" w:eastAsia="Arial" w:hAnsi="Arial"/>
                <w:sz w:val="18"/>
                <w:szCs w:val="18"/>
                <w:color w:val="auto"/>
              </w:rPr>
              <w:t>(0.5)</w:t>
            </w: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-555625</wp:posOffset>
            </wp:positionV>
            <wp:extent cx="6080125"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80125" cy="14605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-272415</wp:posOffset>
            </wp:positionV>
            <wp:extent cx="608012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533" w:lineRule="exact"/>
        <w:rPr>
          <w:sz w:val="20"/>
          <w:szCs w:val="20"/>
          <w:color w:val="auto"/>
        </w:rPr>
      </w:pPr>
    </w:p>
    <w:p>
      <w:pPr>
        <w:sectPr>
          <w:pgSz w:w="11900" w:h="16838" w:orient="portrait"/>
          <w:cols w:equalWidth="0" w:num="2">
            <w:col w:w="5060" w:space="720"/>
            <w:col w:w="5620"/>
          </w:cols>
          <w:pgMar w:left="240" w:top="459" w:right="259" w:bottom="1440" w:gutter="0" w:footer="0" w:header="0"/>
          <w:type w:val="continuous"/>
        </w:sectPr>
      </w:pPr>
    </w:p>
    <w:p>
      <w:pPr>
        <w:ind w:right="120" w:firstLine="456"/>
        <w:spacing w:after="0" w:line="298"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“Risk Factors.”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funding date, which is generally the date of the binding commitment. Realized gains or losses are measured by the difference between the net proceeds from the repayment (excluding prepayment fees) or sale and the amortized cost basis of the investment without regard to unrealized gains or losses previously recognized, and include investments charged off during the period, net of recoveries. Unrealized gains or losses primarily reflect the change in investment values, including the reversal of previously recorded unrealized gains or losses on investments realized during the period.</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the valuation process, we take into account relevant factors in determining the fair value of our investments, including:</w:t>
      </w:r>
    </w:p>
    <w:p>
      <w:pPr>
        <w:spacing w:after="0" w:line="90"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we consider whether the pricing indicated by the external event corroborates our valuation.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90" w:lineRule="exact"/>
        <w:rPr>
          <w:sz w:val="20"/>
          <w:szCs w:val="20"/>
          <w:color w:val="auto"/>
        </w:rPr>
      </w:pPr>
    </w:p>
    <w:p>
      <w:pPr>
        <w:ind w:left="900" w:right="12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conduct this valuation process on a quarterly basis.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In connection with debt and equity securities that were valued at fair value in good faith by the Board, the Board has engaged independent third-party valuation firms to perform certain limited procedures that the Board identified and requested it to perform. Upon completion of these limited procedures, the third-party valuation firms determined that the fair value, as determined by the Board, of those investments subjected to their limited procedures was reasonable.</w:t>
      </w:r>
    </w:p>
    <w:p>
      <w:pPr>
        <w:spacing w:after="0" w:line="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We apply Financial Accounting Standards Board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4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See Note 5 to our audited consolidated annual financial statements and Note 4 to our unaudited consolidated interim financial statements included elsewhere in this prospectus for more information on the fair value of our investments.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on-going analyses of tax laws, regulations and interpretations thereof.</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ended December 31 and as of September 30, 2013. The report of our independent registered public accounting firm, KPMG LLP, on the senior securities table as of December 31, 2012 and 2011, is attached as an exhibit to the registration statement of which this prospectus is a part.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Total</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4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Amount</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Exclusive of</w:t>
            </w: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Asset</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Involuntary</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34"/>
        </w:trPr>
        <w:tc>
          <w:tcPr>
            <w:tcW w:w="44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800"/>
              <w:spacing w:after="0" w:line="135" w:lineRule="exact"/>
              <w:rPr>
                <w:sz w:val="20"/>
                <w:szCs w:val="20"/>
                <w:color w:val="auto"/>
              </w:rPr>
            </w:pPr>
            <w:r>
              <w:rPr>
                <w:rFonts w:ascii="Arial" w:cs="Arial" w:eastAsia="Arial" w:hAnsi="Arial"/>
                <w:sz w:val="14"/>
                <w:szCs w:val="14"/>
                <w:b w:val="1"/>
                <w:bCs w:val="1"/>
                <w:color w:val="auto"/>
                <w:w w:val="87"/>
              </w:rPr>
              <w:t>Treasury</w:t>
            </w:r>
          </w:p>
        </w:tc>
        <w:tc>
          <w:tcPr>
            <w:tcW w:w="128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7"/>
              </w:rPr>
              <w:t>Coverage</w:t>
            </w:r>
          </w:p>
        </w:tc>
        <w:tc>
          <w:tcPr>
            <w:tcW w:w="138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7"/>
              </w:rPr>
              <w:t>Market</w:t>
            </w:r>
          </w:p>
        </w:tc>
      </w:tr>
      <w:tr>
        <w:trPr>
          <w:trHeight w:val="149"/>
        </w:trPr>
        <w:tc>
          <w:tcPr>
            <w:tcW w:w="44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80" w:type="dxa"/>
            <w:vAlign w:val="bottom"/>
            <w:gridSpan w:val="3"/>
          </w:tcPr>
          <w:p>
            <w:pPr>
              <w:jc w:val="center"/>
              <w:ind w:right="700"/>
              <w:spacing w:after="0" w:line="149" w:lineRule="exact"/>
              <w:rPr>
                <w:sz w:val="20"/>
                <w:szCs w:val="20"/>
                <w:color w:val="auto"/>
              </w:rPr>
            </w:pPr>
            <w:r>
              <w:rPr>
                <w:rFonts w:ascii="Arial" w:cs="Arial" w:eastAsia="Arial" w:hAnsi="Arial"/>
                <w:sz w:val="11"/>
                <w:szCs w:val="11"/>
                <w:b w:val="1"/>
                <w:bCs w:val="1"/>
                <w:color w:val="auto"/>
              </w:rPr>
              <w:t>Securities</w:t>
            </w:r>
            <w:r>
              <w:rPr>
                <w:rFonts w:ascii="Arial" w:cs="Arial" w:eastAsia="Arial" w:hAnsi="Arial"/>
                <w:sz w:val="17"/>
                <w:szCs w:val="17"/>
                <w:b w:val="1"/>
                <w:bCs w:val="1"/>
                <w:color w:val="auto"/>
                <w:vertAlign w:val="superscript"/>
              </w:rPr>
              <w:t>(1)</w:t>
            </w:r>
          </w:p>
        </w:tc>
        <w:tc>
          <w:tcPr>
            <w:tcW w:w="12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Per</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Preference</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76"/>
        </w:trPr>
        <w:tc>
          <w:tcPr>
            <w:tcW w:w="4420" w:type="dxa"/>
            <w:vAlign w:val="bottom"/>
          </w:tcPr>
          <w:p>
            <w:pPr>
              <w:spacing w:after="0"/>
              <w:rPr>
                <w:sz w:val="20"/>
                <w:szCs w:val="20"/>
                <w:color w:val="auto"/>
              </w:rPr>
            </w:pPr>
            <w:r>
              <w:rPr>
                <w:rFonts w:ascii="Arial" w:cs="Arial" w:eastAsia="Arial" w:hAnsi="Arial"/>
                <w:sz w:val="14"/>
                <w:szCs w:val="14"/>
                <w:b w:val="1"/>
                <w:bCs w:val="1"/>
                <w:color w:val="auto"/>
              </w:rPr>
              <w:t>Class and Year/Period</w:t>
            </w:r>
          </w:p>
        </w:tc>
        <w:tc>
          <w:tcPr>
            <w:tcW w:w="2140" w:type="dxa"/>
            <w:vAlign w:val="bottom"/>
          </w:tcPr>
          <w:p>
            <w:pPr>
              <w:spacing w:after="0"/>
              <w:rPr>
                <w:sz w:val="15"/>
                <w:szCs w:val="15"/>
                <w:color w:val="auto"/>
              </w:rPr>
            </w:pPr>
          </w:p>
        </w:tc>
        <w:tc>
          <w:tcPr>
            <w:tcW w:w="1480" w:type="dxa"/>
            <w:vAlign w:val="bottom"/>
            <w:gridSpan w:val="3"/>
          </w:tcPr>
          <w:p>
            <w:pPr>
              <w:jc w:val="center"/>
              <w:ind w:right="680"/>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1280" w:type="dxa"/>
            <w:vAlign w:val="bottom"/>
            <w:gridSpan w:val="2"/>
          </w:tcPr>
          <w:p>
            <w:pPr>
              <w:jc w:val="center"/>
              <w:ind w:right="680"/>
              <w:spacing w:after="0" w:line="176" w:lineRule="exact"/>
              <w:rPr>
                <w:sz w:val="20"/>
                <w:szCs w:val="20"/>
                <w:color w:val="auto"/>
              </w:rPr>
            </w:pPr>
            <w:r>
              <w:rPr>
                <w:rFonts w:ascii="Arial" w:cs="Arial" w:eastAsia="Arial" w:hAnsi="Arial"/>
                <w:sz w:val="13"/>
                <w:szCs w:val="13"/>
                <w:b w:val="1"/>
                <w:bCs w:val="1"/>
                <w:color w:val="auto"/>
                <w:w w:val="96"/>
              </w:rPr>
              <w:t>Unit</w:t>
            </w:r>
            <w:r>
              <w:rPr>
                <w:rFonts w:ascii="Arial" w:cs="Arial" w:eastAsia="Arial" w:hAnsi="Arial"/>
                <w:sz w:val="20"/>
                <w:szCs w:val="20"/>
                <w:b w:val="1"/>
                <w:bCs w:val="1"/>
                <w:color w:val="auto"/>
                <w:w w:val="96"/>
                <w:vertAlign w:val="superscript"/>
              </w:rPr>
              <w:t>(2)</w:t>
            </w:r>
          </w:p>
        </w:tc>
        <w:tc>
          <w:tcPr>
            <w:tcW w:w="1380" w:type="dxa"/>
            <w:vAlign w:val="bottom"/>
            <w:gridSpan w:val="2"/>
          </w:tcPr>
          <w:p>
            <w:pPr>
              <w:jc w:val="center"/>
              <w:ind w:right="680"/>
              <w:spacing w:after="0" w:line="176" w:lineRule="exact"/>
              <w:rPr>
                <w:sz w:val="20"/>
                <w:szCs w:val="20"/>
                <w:color w:val="auto"/>
              </w:rPr>
            </w:pPr>
            <w:r>
              <w:rPr>
                <w:rFonts w:ascii="Arial" w:cs="Arial" w:eastAsia="Arial" w:hAnsi="Arial"/>
                <w:sz w:val="13"/>
                <w:szCs w:val="13"/>
                <w:b w:val="1"/>
                <w:bCs w:val="1"/>
                <w:color w:val="auto"/>
                <w:w w:val="93"/>
              </w:rPr>
              <w:t>Per Unit</w:t>
            </w:r>
            <w:r>
              <w:rPr>
                <w:rFonts w:ascii="Arial" w:cs="Arial" w:eastAsia="Arial" w:hAnsi="Arial"/>
                <w:sz w:val="20"/>
                <w:szCs w:val="20"/>
                <w:b w:val="1"/>
                <w:bCs w:val="1"/>
                <w:color w:val="auto"/>
                <w:w w:val="93"/>
                <w:vertAlign w:val="superscript"/>
              </w:rPr>
              <w:t>(3)</w:t>
            </w:r>
          </w:p>
        </w:tc>
        <w:tc>
          <w:tcPr>
            <w:tcW w:w="720" w:type="dxa"/>
            <w:vAlign w:val="bottom"/>
            <w:gridSpan w:val="2"/>
          </w:tcPr>
          <w:p>
            <w:pPr>
              <w:jc w:val="right"/>
              <w:ind w:right="100"/>
              <w:spacing w:after="0" w:line="176" w:lineRule="exact"/>
              <w:rPr>
                <w:sz w:val="20"/>
                <w:szCs w:val="20"/>
                <w:color w:val="auto"/>
              </w:rPr>
            </w:pPr>
            <w:r>
              <w:rPr>
                <w:rFonts w:ascii="Arial" w:cs="Arial" w:eastAsia="Arial" w:hAnsi="Arial"/>
                <w:sz w:val="13"/>
                <w:szCs w:val="13"/>
                <w:b w:val="1"/>
                <w:bCs w:val="1"/>
                <w:color w:val="auto"/>
                <w:w w:val="90"/>
              </w:rPr>
              <w:t>Per Unit</w:t>
            </w:r>
            <w:r>
              <w:rPr>
                <w:rFonts w:ascii="Arial" w:cs="Arial" w:eastAsia="Arial" w:hAnsi="Arial"/>
                <w:sz w:val="20"/>
                <w:szCs w:val="20"/>
                <w:b w:val="1"/>
                <w:bCs w:val="1"/>
                <w:color w:val="auto"/>
                <w:w w:val="90"/>
                <w:vertAlign w:val="superscript"/>
              </w:rPr>
              <w:t>(4)</w:t>
            </w: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Revolving Credit Facilities</w:t>
            </w:r>
          </w:p>
        </w:tc>
        <w:tc>
          <w:tcPr>
            <w:tcW w:w="2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September 30, 2013 (unaudited)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338.3</w:t>
            </w:r>
          </w:p>
        </w:tc>
        <w:tc>
          <w:tcPr>
            <w:tcW w:w="680" w:type="dxa"/>
            <w:vAlign w:val="bottom"/>
          </w:tcPr>
          <w:p>
            <w:pPr>
              <w:spacing w:after="0"/>
              <w:rPr>
                <w:sz w:val="18"/>
                <w:szCs w:val="18"/>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8"/>
                <w:szCs w:val="18"/>
                <w:color w:val="auto"/>
                <w:w w:val="88"/>
              </w:rPr>
              <w:t>$2,658.6</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88"/>
              </w:rPr>
              <w:t>$2,446.1</w:t>
            </w: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December 31, 2011</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155.0</w:t>
            </w:r>
          </w:p>
        </w:tc>
        <w:tc>
          <w:tcPr>
            <w:tcW w:w="680" w:type="dxa"/>
            <w:vAlign w:val="bottom"/>
          </w:tcPr>
          <w:p>
            <w:pPr>
              <w:spacing w:after="0"/>
              <w:rPr>
                <w:sz w:val="19"/>
                <w:szCs w:val="19"/>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8"/>
                <w:szCs w:val="18"/>
                <w:color w:val="auto"/>
                <w:w w:val="88"/>
              </w:rPr>
              <w:t>$2,116.7</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w:t>
      </w:r>
    </w:p>
    <w:p>
      <w:pPr>
        <w:spacing w:after="0" w:line="15"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we have originated more than $2.0 billion aggregate principal amount of investments and retained more than $1.3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EBITDA, which we believe is a useful proxy for cash flow, of $10 million to $250 million, although we may invest in larger or smaller companies on occasion.</w:t>
      </w:r>
    </w:p>
    <w:p>
      <w:pPr>
        <w:spacing w:after="0" w:line="12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administration fees.</w:t>
      </w:r>
    </w:p>
    <w:p>
      <w:pPr>
        <w:spacing w:after="0" w:line="8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believe we will be one of the largest BDCs by total assets at the time of an IPO.</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Based on fair value as of September 30, 2013, our portfolio consisted of 90.4% first-lien debt, 9.4% second-lien debt and 0.2% equity securities. Approximately 98.5% of our investments based on fair value as of September 30, 2013 are floating rate in nature, which we believe helps act as a portfolio-wide hedge against inflation.</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September 30, 2013, our portfolio was invested across 15 different industries. The largest industries in our portfolio based on fair value as of September 30, 2013 were healthcare and pharmaceuticals, which represented 15.5% of our portfolio, and business services, which represented 14.2% of our portfolio. We expect that no single investment will represent more than 15% of our total investment portfolio, based on fair value. See “Portfolio Companies” for more information on our portfolio as of September 30, 2013.</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Board has ultimate authority over our business, but delegates authority to our investment adviser who actively sources, manages, and monitors our investment portfolio and other business activities, subject to the supervision of the Board. See “—About TSL—Our Investment Adviser” below. Pursuant to our certificate of incorporation, the Board consists of five members divided into three classes with staggered three-year terms. As a BDC, a majority of our Board consists of Independent Directors.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 money, we analyze the maturity, covenant package and rate structure of the proposed borrowings, as well as the risks of those borrowings compared to our investment outlook. Currently, we employ a variety of credit facilities. We may, in the future, obtain other credit facilities. The use of borrowed funds or the proceeds of preferred stock offerings to make investments has its own specific set of benefits and risks, and all of the costs of borrowing</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funds or issuing preferred stock are borne by us, and ultimately the holders of our common stock. See “Risk Factors—Risks Related to Our Business and Structure—We borrow money, which magnifies the potential for gain or loss and increases the risk of investing in us.”</w:t>
      </w:r>
    </w:p>
    <w:p>
      <w:pPr>
        <w:spacing w:after="0" w:line="8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are an “emerging growth company” under the JOBS Act and will be subject to reduced public company reporting requirements. Further, Section 107 of the JOBS Act also provides that an “emerging growth company” can take advantage of the extended transition period provided in Section 7(a)(2)(B) of the Securities Act and Section 13(a) of the Exchange Act for complying with new or revised accounting standards. In other words, an “emerging growth company” can delay the adoption of certain accounting standards until those standards would otherwise apply to private companies.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TSL</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TPG Specialty Lending, Inc. is a Delaware corporation formed on July 21, 2010. TSL Advisers, LLC is our external manager. On June 1, 2011, we formed a wholly owned subsidiary, TC Lending, LLC, a Delaware limited liability company, which holds a California finance lender and broker license. On March 22, 2012, we formed another wholly owned subsidiary, TPG SL SPV, LLC, a Delaware limited liability company, in which we hold assets to support our asset-backed credit facility. We make our investments either directly or through our wholly owned subsidiaries.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14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To date, we have conducted private offerings of our common stock to investors in reliance on exemptions from certain registration requirements of the Securities Act and other applicable securities laws. At the closing of each private offering, investors made capital commitments to purchase our common stock from time to time at net asset value. The majority of our existing investors, as measured by total capital commitments, are participants in our dividend reinvestment plan.</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January 31, 2013, we reached a $1.5 billion cap on private offering commitments with our investors, which includes a $100 million capital commitment by the Adviser. We have drawn $517 million of these capital commitments as of September 30, 2013, which has been further augmented by reinvestments under our dividend reinvestment plan. Our existing investors’ obligations to purchase additional shares from the undrawn portion of their capital commitments will terminate upon the completion of this IPO.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Adviser</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32" w:lineRule="exact"/>
        <w:rPr>
          <w:sz w:val="20"/>
          <w:szCs w:val="20"/>
          <w:color w:val="auto"/>
        </w:rPr>
      </w:pPr>
    </w:p>
    <w:p>
      <w:pPr>
        <w:jc w:val="both"/>
        <w:ind w:right="140" w:firstLine="456"/>
        <w:spacing w:after="0" w:line="323" w:lineRule="auto"/>
        <w:rPr>
          <w:sz w:val="20"/>
          <w:szCs w:val="20"/>
          <w:color w:val="auto"/>
        </w:rPr>
      </w:pPr>
      <w:r>
        <w:rPr>
          <w:rFonts w:ascii="Arial" w:cs="Arial" w:eastAsia="Arial" w:hAnsi="Arial"/>
          <w:sz w:val="15"/>
          <w:szCs w:val="15"/>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TSSP, which encompasses TPG Specialty Lending, TPG Opportunities Partners and TPG Institutional Credit Partners, is TPG’s special situations and credit platform. TSSP had over $6 billion of assets under management as of September 30, 2013. TSSP has extensive experience with highly complex, global public and private investments executed through primary originations, secondary market purchases and restructurings, and has a team of 81 investment and operating professionals. Eighteen of these personnel are dedicated to our business, including 14 investment professionals. The TSSP members of the Investment Review Committee are Joshua Easterly, Michael Fishman, Alan Waxman and David Stiepleman.</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TPG is a leading global private investment firm founded in 1992 with over $55 billion of assets under management as of September 30, 2013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2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September 30, 2013, our Adviser owned 6.4% of our common stock and had committed $100 million in equity capital under a subscription agreement like those entered into with our existing investors. See “Management,” “Related-Party Transactions and Certain Relationships” and “Control Persons and Principal Stockholders.”</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8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“Management and Other Agreements— Investment Advisory Agreement; Administration Agreement; License Agreement.” Our Board monitors the mix and performance of our investments over time and seeks to satisfy itself that the Adviser is acting in our interests and that our fee structure appropriately incentivizes the Adviser to do so. On November 5, 2013, our Board renewed the Investment Advisory Agreement.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Administrator</w:t>
      </w:r>
    </w:p>
    <w:p>
      <w:pPr>
        <w:spacing w:after="0" w:line="9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On March 15, 2011, we entered into the Administration Agreement with our Adviser. Under the terms of the Administration Agreement, the Adviser acts as our administrator, providing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“Management and Other Agreements—Payment of Our Expenses.” In addition, the Adviser is permitted to delegate its duties under the Administration Agreement to affiliates or third parties and we will pay or reimburse the Adviser expenses incurred by any such affiliates or third parties for work done on our behalf.</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Limited availability of capital for middle-market companies</w:t>
      </w:r>
      <w:r>
        <w:rPr>
          <w:rFonts w:ascii="Arial" w:cs="Arial" w:eastAsia="Arial" w:hAnsi="Arial"/>
          <w:sz w:val="16"/>
          <w:szCs w:val="16"/>
          <w:color w:val="auto"/>
        </w:rPr>
        <w:t>. We believe that certain structural changes in the market have reduced the amount of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Strong demand for debt capital</w:t>
      </w:r>
      <w:r>
        <w:rPr>
          <w:rFonts w:ascii="Arial" w:cs="Arial" w:eastAsia="Arial" w:hAnsi="Arial"/>
          <w:sz w:val="16"/>
          <w:szCs w:val="16"/>
          <w:color w:val="auto"/>
        </w:rPr>
        <w:t>. We believe middle-market companies will continue to require access to debt capital to refinance existing debt,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growth and finance acquisitions. In addition, we believe the large amount of uninvested capital held by funds of private equity firms, estimated by Preqin Ltd., an alternative assets industry data and research company, at $389 billion as of October 2013, will continue to drive deal activity. We expect that private equity firms will continue to pursue acquisitions and to seek to leverage their equity investments with secured loans provided by companies such as ours.</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 dynamics.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 offer</w:t>
      </w:r>
      <w:r>
        <w:rPr>
          <w:rFonts w:ascii="Arial" w:cs="Arial" w:eastAsia="Arial" w:hAnsi="Arial"/>
          <w:sz w:val="16"/>
          <w:szCs w:val="16"/>
          <w:i w:val="1"/>
          <w:iCs w:val="1"/>
          <w:color w:val="auto"/>
        </w:rPr>
        <w:t xml:space="preserve"> </w:t>
      </w:r>
      <w:r>
        <w:rPr>
          <w:rFonts w:ascii="Arial" w:cs="Arial" w:eastAsia="Arial" w:hAnsi="Arial"/>
          <w:sz w:val="16"/>
          <w:szCs w:val="16"/>
          <w:color w:val="auto"/>
        </w:rPr>
        <w:t>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Illustrative of the market opportunity for BDCs, the table below demonstrates the decline in U.S. Federal Deposit Insurance Corporation, or FDIC, insured commercial banks and the drop in bank participation in the leveraged loan market over the past two decades.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114935</wp:posOffset>
            </wp:positionV>
            <wp:extent cx="2958465" cy="21355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5846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Leading platform and access to proprietary deal flow</w:t>
      </w:r>
      <w:r>
        <w:rPr>
          <w:rFonts w:ascii="Arial" w:cs="Arial" w:eastAsia="Arial" w:hAnsi="Arial"/>
          <w:sz w:val="16"/>
          <w:szCs w:val="16"/>
          <w:color w:val="auto"/>
        </w:rPr>
        <w:t>. The substantial majority of our investments are not intermediated and are originated without the</w:t>
      </w:r>
      <w:r>
        <w:rPr>
          <w:rFonts w:ascii="Arial" w:cs="Arial" w:eastAsia="Arial" w:hAnsi="Arial"/>
          <w:sz w:val="16"/>
          <w:szCs w:val="16"/>
          <w:i w:val="1"/>
          <w:iCs w:val="1"/>
          <w:color w:val="auto"/>
        </w:rPr>
        <w:t xml:space="preserve"> </w:t>
      </w:r>
      <w:r>
        <w:rPr>
          <w:rFonts w:ascii="Arial" w:cs="Arial" w:eastAsia="Arial" w:hAnsi="Arial"/>
          <w:sz w:val="16"/>
          <w:szCs w:val="16"/>
          <w:color w:val="auto"/>
        </w:rPr>
        <w:t>assistance of investment banks or other traditional Wall Street sources. Our Adviser has a dedicated team of 14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a collective 140 years of experience as commercial dealmakers and executing direct calling campaigns on companies based on the Adviser’s sector and macroeconomic views.</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43"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26" w:lineRule="exact"/>
        <w:rPr>
          <w:sz w:val="20"/>
          <w:szCs w:val="20"/>
          <w:color w:val="auto"/>
        </w:rPr>
      </w:pPr>
    </w:p>
    <w:p>
      <w:pPr>
        <w:ind w:left="900" w:right="58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50"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 tight</w:t>
      </w:r>
      <w:r>
        <w:rPr>
          <w:rFonts w:ascii="Arial" w:cs="Arial" w:eastAsia="Arial" w:hAnsi="Arial"/>
          <w:sz w:val="18"/>
          <w:szCs w:val="18"/>
          <w:i w:val="1"/>
          <w:iCs w:val="1"/>
          <w:color w:val="auto"/>
        </w:rPr>
        <w:t xml:space="preserve"> </w:t>
      </w:r>
      <w:r>
        <w:rPr>
          <w:rFonts w:ascii="Arial" w:cs="Arial" w:eastAsia="Arial" w:hAnsi="Arial"/>
          <w:sz w:val="18"/>
          <w:szCs w:val="18"/>
          <w:color w:val="auto"/>
        </w:rPr>
        <w:t>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61"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50" w:lineRule="exact"/>
        <w:rPr>
          <w:rFonts w:ascii="Arial" w:cs="Arial" w:eastAsia="Arial" w:hAnsi="Arial"/>
          <w:sz w:val="18"/>
          <w:szCs w:val="18"/>
          <w:color w:val="auto"/>
        </w:rPr>
      </w:pPr>
    </w:p>
    <w:p>
      <w:pPr>
        <w:ind w:left="1480" w:right="120" w:hanging="446"/>
        <w:spacing w:after="0" w:line="258" w:lineRule="auto"/>
        <w:tabs>
          <w:tab w:leader="none" w:pos="1480" w:val="left"/>
        </w:tabs>
        <w:numPr>
          <w:ilvl w:val="1"/>
          <w:numId w:val="58"/>
        </w:numPr>
        <w:rPr>
          <w:rFonts w:ascii="Arial" w:cs="Arial" w:eastAsia="Arial" w:hAnsi="Arial"/>
          <w:sz w:val="21"/>
          <w:szCs w:val="21"/>
          <w:color w:val="auto"/>
          <w:vertAlign w:val="superscript"/>
        </w:rPr>
      </w:pPr>
      <w:r>
        <w:rPr>
          <w:rFonts w:ascii="Arial" w:cs="Arial" w:eastAsia="Arial" w:hAnsi="Arial"/>
          <w:sz w:val="17"/>
          <w:szCs w:val="17"/>
          <w:i w:val="1"/>
          <w:iCs w:val="1"/>
          <w:color w:val="auto"/>
        </w:rPr>
        <w:t xml:space="preserve">Business and sector selection. </w:t>
      </w:r>
      <w:r>
        <w:rPr>
          <w:rFonts w:ascii="Arial" w:cs="Arial" w:eastAsia="Arial" w:hAnsi="Arial"/>
          <w:sz w:val="17"/>
          <w:szCs w:val="17"/>
          <w:color w:val="auto"/>
        </w:rPr>
        <w:t>We focus on companies with enterprise value between $50 million and $1 billion. When reviewing potential</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61" w:lineRule="exact"/>
        <w:rPr>
          <w:rFonts w:ascii="Arial" w:cs="Arial" w:eastAsia="Arial" w:hAnsi="Arial"/>
          <w:sz w:val="21"/>
          <w:szCs w:val="21"/>
          <w:color w:val="auto"/>
          <w:vertAlign w:val="superscript"/>
        </w:rPr>
      </w:pPr>
    </w:p>
    <w:p>
      <w:pPr>
        <w:ind w:left="1480" w:right="180" w:hanging="446"/>
        <w:spacing w:after="0" w:line="277" w:lineRule="auto"/>
        <w:tabs>
          <w:tab w:leader="none" w:pos="1480" w:val="left"/>
        </w:tabs>
        <w:numPr>
          <w:ilvl w:val="1"/>
          <w:numId w:val="58"/>
        </w:numPr>
        <w:rPr>
          <w:rFonts w:ascii="Arial" w:cs="Arial" w:eastAsia="Arial" w:hAnsi="Arial"/>
          <w:sz w:val="20"/>
          <w:szCs w:val="20"/>
          <w:color w:val="auto"/>
          <w:vertAlign w:val="superscript"/>
        </w:rPr>
      </w:pPr>
      <w:r>
        <w:rPr>
          <w:rFonts w:ascii="Arial" w:cs="Arial" w:eastAsia="Arial" w:hAnsi="Arial"/>
          <w:sz w:val="16"/>
          <w:szCs w:val="16"/>
          <w:i w:val="1"/>
          <w:iCs w:val="1"/>
          <w:color w:val="auto"/>
        </w:rPr>
        <w:t xml:space="preserve">Investment structuring. </w:t>
      </w:r>
      <w:r>
        <w:rPr>
          <w:rFonts w:ascii="Arial" w:cs="Arial" w:eastAsia="Arial" w:hAnsi="Arial"/>
          <w:sz w:val="16"/>
          <w:szCs w:val="16"/>
          <w:color w:val="auto"/>
        </w:rPr>
        <w:t>We focus on investing at the top of the capital structure and protecting that position. We carefully diligence and</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ectPr>
          <w:pgSz w:w="11900" w:h="16838" w:orient="portrait"/>
          <w:cols w:equalWidth="0" w:num="1">
            <w:col w:w="11400"/>
          </w:cols>
          <w:pgMar w:left="240" w:top="459" w:right="259" w:bottom="1440" w:gutter="0" w:footer="0" w:header="0"/>
        </w:sectPr>
      </w:pPr>
    </w:p>
    <w:p>
      <w:pPr>
        <w:spacing w:after="0" w:line="26"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i w:val="1"/>
          <w:iCs w:val="1"/>
          <w:color w:val="auto"/>
        </w:rPr>
        <w:t xml:space="preserve">Deal dynamics. </w:t>
      </w:r>
      <w:r>
        <w:rPr>
          <w:rFonts w:ascii="Arial" w:cs="Arial" w:eastAsia="Arial" w:hAnsi="Arial"/>
          <w:sz w:val="16"/>
          <w:szCs w:val="16"/>
          <w:color w:val="auto"/>
        </w:rPr>
        <w:t>We focus on, among other deal dynamics, direct origination of investments, where we identify and lead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2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Risk Mitigation. </w:t>
      </w:r>
      <w:r>
        <w:rPr>
          <w:rFonts w:ascii="Arial" w:cs="Arial" w:eastAsia="Arial" w:hAnsi="Arial"/>
          <w:sz w:val="18"/>
          <w:szCs w:val="18"/>
          <w:color w:val="auto"/>
        </w:rPr>
        <w:t>We seek to mitigate non-credit-related risk on our returns in several ways, including call protection provisions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payment income. In addition, most of our investments are floating rate in nature, which we believe helps act as a portfolio-wide hedge against inflation.</w:t>
      </w:r>
    </w:p>
    <w:p>
      <w:pPr>
        <w:spacing w:after="0" w:line="59" w:lineRule="exact"/>
        <w:rPr>
          <w:sz w:val="20"/>
          <w:szCs w:val="20"/>
          <w:color w:val="auto"/>
        </w:rPr>
      </w:pPr>
    </w:p>
    <w:p>
      <w:pPr>
        <w:sectPr>
          <w:pgSz w:w="11900" w:h="16838" w:orient="portrait"/>
          <w:cols w:equalWidth="0" w:num="2">
            <w:col w:w="1080" w:space="400"/>
            <w:col w:w="9920"/>
          </w:cols>
          <w:pgMar w:left="240" w:top="459" w:right="259" w:bottom="1440" w:gutter="0" w:footer="0" w:header="0"/>
          <w:type w:val="continuous"/>
        </w:sectPr>
      </w:pPr>
    </w:p>
    <w:p>
      <w:pPr>
        <w:ind w:left="900" w:right="12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 proactively</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identifying sector and operational issues and carefully managing risks. The information gathered on market trends through this process also informs our underwriting for new loans.</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1.7% of the more than 2,400 investment opportunities our Investment Team reviewed from our inception through December 6, 2013.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i w:val="1"/>
          <w:iCs w:val="1"/>
          <w:color w:val="auto"/>
        </w:rPr>
        <w:t>Carefully constructed, existing, wide-ranging portfolio consisting of predominantly senior, floating rate loans</w:t>
      </w:r>
      <w:r>
        <w:rPr>
          <w:rFonts w:ascii="Arial" w:cs="Arial" w:eastAsia="Arial" w:hAnsi="Arial"/>
          <w:sz w:val="16"/>
          <w:szCs w:val="16"/>
          <w:color w:val="auto"/>
        </w:rPr>
        <w:t>. Since we began investing in 2011,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invested more than $1.3 billion. As of September 30, 2013, we had a portfolio of investments in 25 portfolio companies totaling $889.3 million that we believe exhibits strong credit quality and broad industry composition. As of September 30, 2013, approximately 98.5% of the fair value of our portfolio was invested in secured loans with floating rates of interest, and 90.4% of the fair value of our portfolio was invested in first-lien loans. We believe this portfolio will allow us to generate meaningful investment income, and consequently dividend income, for our stockholders.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seven managing directors of TSSP on the Adviser’s team have deep experience identifying and executing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professionals is based on our returns, as opposed to transaction volume, which we believe fosters a focus on credit quality when originating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approach involves, among other things:</w:t>
      </w:r>
    </w:p>
    <w:p>
      <w:pPr>
        <w:spacing w:after="0" w:line="90"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 assessment of the markets, overall macroeconomic environment and how the assessment may impact industry and investment selection;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17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4"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Origination and Sourcing</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substantial majority of our deals are informed by our current sector views and are sourced directly by our Adviser through our network contacts. We also identify opportunities through our relationships with TSSP and TPG.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Process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management group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62"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understanding the purpose of the loan, the key personnel and variables, as well as the sources and uses of the proceeds;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conducting a competitive analysis, and comparing the company to its main competitors on an operating, financial, market share and valuation basis;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 Investment Process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After an investment has been identified and preliminary diligence has been completed, a credit research and analysis report is prepared. This report is reviewed by the senior investment professional in charge of the potential investment. If these senior and other investment professionals are in favor of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Formal Commitment</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Approval of an origination requires the approval of the Investment Review Committee or, depending on the size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Monitoring</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Adviser has a number of methods of evaluating and monitoring the performance and fair value of our investments, which may include the following:</w:t>
      </w:r>
    </w:p>
    <w:p>
      <w:pPr>
        <w:spacing w:after="0" w:line="113"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71"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It is based on the following categories:</w:t>
      </w:r>
    </w:p>
    <w:p>
      <w:pPr>
        <w:spacing w:after="0" w:line="59" w:lineRule="exact"/>
        <w:rPr>
          <w:sz w:val="20"/>
          <w:szCs w:val="20"/>
          <w:color w:val="auto"/>
        </w:rPr>
      </w:pPr>
    </w:p>
    <w:p>
      <w:pPr>
        <w:ind w:left="900" w:right="200" w:hanging="325"/>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59" w:lineRule="exact"/>
        <w:rPr>
          <w:rFonts w:ascii="Arial" w:cs="Arial" w:eastAsia="Arial" w:hAnsi="Arial"/>
          <w:sz w:val="18"/>
          <w:szCs w:val="18"/>
          <w:color w:val="auto"/>
        </w:rPr>
      </w:pPr>
    </w:p>
    <w:p>
      <w:pPr>
        <w:ind w:left="900" w:right="420" w:hanging="325"/>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59"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34"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distribution of our investments on the 1 to 5 investment performance rating scale at fair value as of September 30, 2013:</w:t>
      </w:r>
    </w:p>
    <w:p>
      <w:pPr>
        <w:spacing w:after="0" w:line="2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Investment</w:t>
            </w:r>
          </w:p>
        </w:tc>
        <w:tc>
          <w:tcPr>
            <w:tcW w:w="248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Investments at</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Performance</w:t>
            </w:r>
          </w:p>
        </w:tc>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Fair Value</w:t>
            </w:r>
          </w:p>
        </w:tc>
        <w:tc>
          <w:tcPr>
            <w:tcW w:w="10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Rating</w:t>
            </w:r>
          </w:p>
        </w:tc>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 in millions)</w:t>
            </w:r>
          </w:p>
        </w:tc>
        <w:tc>
          <w:tcPr>
            <w:tcW w:w="2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Total Portfolio</w:t>
            </w:r>
          </w:p>
        </w:tc>
        <w:tc>
          <w:tcPr>
            <w:tcW w:w="0" w:type="dxa"/>
            <w:vAlign w:val="bottom"/>
          </w:tcPr>
          <w:p>
            <w:pPr>
              <w:spacing w:after="0"/>
              <w:rPr>
                <w:sz w:val="1"/>
                <w:szCs w:val="1"/>
                <w:color w:val="auto"/>
              </w:rPr>
            </w:pPr>
          </w:p>
        </w:tc>
      </w:tr>
      <w:tr>
        <w:trPr>
          <w:trHeight w:val="20"/>
        </w:trPr>
        <w:tc>
          <w:tcPr>
            <w:tcW w:w="2280" w:type="dxa"/>
            <w:vAlign w:val="bottom"/>
            <w:gridSpan w:val="2"/>
            <w:vMerge w:val="restart"/>
            <w:shd w:val="clear" w:color="auto" w:fill="CCEEFF"/>
          </w:tcPr>
          <w:p>
            <w:pPr>
              <w:jc w:val="center"/>
              <w:ind w:left="1412"/>
              <w:spacing w:after="0"/>
              <w:rPr>
                <w:sz w:val="20"/>
                <w:szCs w:val="20"/>
                <w:color w:val="auto"/>
              </w:rPr>
            </w:pPr>
            <w:r>
              <w:rPr>
                <w:rFonts w:ascii="Arial" w:cs="Arial" w:eastAsia="Arial" w:hAnsi="Arial"/>
                <w:sz w:val="18"/>
                <w:szCs w:val="18"/>
                <w:color w:val="auto"/>
                <w:w w:val="99"/>
              </w:rPr>
              <w:t>1</w:t>
            </w:r>
          </w:p>
        </w:tc>
        <w:tc>
          <w:tcPr>
            <w:tcW w:w="2500" w:type="dxa"/>
            <w:vAlign w:val="bottom"/>
            <w:gridSpan w:val="2"/>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80" w:type="dxa"/>
            <w:vAlign w:val="bottom"/>
            <w:gridSpan w:val="2"/>
            <w:vMerge w:val="continue"/>
            <w:shd w:val="clear" w:color="auto" w:fill="CCEEFF"/>
          </w:tcPr>
          <w:p>
            <w:pPr>
              <w:spacing w:after="0"/>
              <w:rPr>
                <w:sz w:val="17"/>
                <w:szCs w:val="17"/>
                <w:color w:val="auto"/>
              </w:rPr>
            </w:pPr>
          </w:p>
        </w:tc>
        <w:tc>
          <w:tcPr>
            <w:tcW w:w="25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736.6</w:t>
            </w:r>
          </w:p>
        </w:tc>
        <w:tc>
          <w:tcPr>
            <w:tcW w:w="1080" w:type="dxa"/>
            <w:vAlign w:val="bottom"/>
            <w:vMerge w:val="continue"/>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280" w:type="dxa"/>
            <w:vAlign w:val="bottom"/>
            <w:gridSpan w:val="2"/>
          </w:tcPr>
          <w:p>
            <w:pPr>
              <w:jc w:val="center"/>
              <w:ind w:left="1412"/>
              <w:spacing w:after="0"/>
              <w:rPr>
                <w:sz w:val="20"/>
                <w:szCs w:val="20"/>
                <w:color w:val="auto"/>
              </w:rPr>
            </w:pPr>
            <w:r>
              <w:rPr>
                <w:rFonts w:ascii="Arial" w:cs="Arial" w:eastAsia="Arial" w:hAnsi="Arial"/>
                <w:sz w:val="18"/>
                <w:szCs w:val="18"/>
                <w:color w:val="auto"/>
                <w:w w:val="99"/>
              </w:rPr>
              <w:t>2</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75.2</w:t>
            </w:r>
          </w:p>
        </w:tc>
        <w:tc>
          <w:tcPr>
            <w:tcW w:w="214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jc w:val="center"/>
              <w:ind w:left="1412"/>
              <w:spacing w:after="0"/>
              <w:rPr>
                <w:sz w:val="20"/>
                <w:szCs w:val="20"/>
                <w:color w:val="auto"/>
              </w:rPr>
            </w:pPr>
            <w:r>
              <w:rPr>
                <w:rFonts w:ascii="Arial" w:cs="Arial" w:eastAsia="Arial" w:hAnsi="Arial"/>
                <w:sz w:val="18"/>
                <w:szCs w:val="18"/>
                <w:color w:val="auto"/>
                <w:w w:val="99"/>
              </w:rPr>
              <w:t>3</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280" w:type="dxa"/>
            <w:vAlign w:val="bottom"/>
            <w:gridSpan w:val="2"/>
          </w:tcPr>
          <w:p>
            <w:pPr>
              <w:jc w:val="center"/>
              <w:ind w:left="1412"/>
              <w:spacing w:after="0"/>
              <w:rPr>
                <w:sz w:val="20"/>
                <w:szCs w:val="20"/>
                <w:color w:val="auto"/>
              </w:rPr>
            </w:pPr>
            <w:r>
              <w:rPr>
                <w:rFonts w:ascii="Arial" w:cs="Arial" w:eastAsia="Arial" w:hAnsi="Arial"/>
                <w:sz w:val="18"/>
                <w:szCs w:val="18"/>
                <w:color w:val="auto"/>
                <w:w w:val="99"/>
              </w:rPr>
              <w:t>4</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38.1</w:t>
            </w:r>
          </w:p>
        </w:tc>
        <w:tc>
          <w:tcPr>
            <w:tcW w:w="2140" w:type="dxa"/>
            <w:vAlign w:val="bottom"/>
            <w:gridSpan w:val="3"/>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jc w:val="center"/>
              <w:ind w:left="1412"/>
              <w:spacing w:after="0"/>
              <w:rPr>
                <w:sz w:val="20"/>
                <w:szCs w:val="20"/>
                <w:color w:val="auto"/>
              </w:rPr>
            </w:pPr>
            <w:r>
              <w:rPr>
                <w:rFonts w:ascii="Arial" w:cs="Arial" w:eastAsia="Arial" w:hAnsi="Arial"/>
                <w:sz w:val="18"/>
                <w:szCs w:val="18"/>
                <w:color w:val="auto"/>
                <w:w w:val="99"/>
              </w:rPr>
              <w:t>5</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889.3</w:t>
            </w:r>
          </w:p>
        </w:tc>
        <w:tc>
          <w:tcPr>
            <w:tcW w:w="214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Committee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TSSP and TPG, as well as certain other persons appointed by the Adviser from time to time. Our Investment Team and the Investment Review Committee are supported by and have access to the investment professionals, analytical capabilities and support personnel of TPG. Some of the officers and employees of the Adviser, including some of its senior officers, are also employees of TPG. See “Management” and “Related-Party Transactions and Certain Relationships.”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loans and investments in corporate bonds and equity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for the portfolio company to achieve its business plan. We invest in the following types of debt:</w:t>
      </w:r>
    </w:p>
    <w:p>
      <w:pPr>
        <w:spacing w:after="0" w:line="53" w:lineRule="exact"/>
        <w:rPr>
          <w:sz w:val="20"/>
          <w:szCs w:val="20"/>
          <w:color w:val="auto"/>
        </w:rPr>
      </w:pPr>
    </w:p>
    <w:p>
      <w:pPr>
        <w:ind w:left="900" w:right="100" w:hanging="325"/>
        <w:spacing w:after="0" w:line="25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First-lien debt. </w:t>
      </w:r>
      <w:r>
        <w:rPr>
          <w:rFonts w:ascii="Arial" w:cs="Arial" w:eastAsia="Arial" w:hAnsi="Arial"/>
          <w:sz w:val="18"/>
          <w:szCs w:val="18"/>
          <w:color w:val="auto"/>
        </w:rPr>
        <w:t>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55" w:lineRule="exact"/>
        <w:rPr>
          <w:rFonts w:ascii="Arial" w:cs="Arial" w:eastAsia="Arial" w:hAnsi="Arial"/>
          <w:sz w:val="18"/>
          <w:szCs w:val="18"/>
          <w:color w:val="auto"/>
        </w:rPr>
      </w:pPr>
    </w:p>
    <w:p>
      <w:pPr>
        <w:ind w:left="1480" w:right="240" w:hanging="446"/>
        <w:spacing w:after="0" w:line="275"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Stand-alone first-lien loans. </w:t>
      </w:r>
      <w:r>
        <w:rPr>
          <w:rFonts w:ascii="Arial" w:cs="Arial" w:eastAsia="Arial" w:hAnsi="Arial"/>
          <w:sz w:val="18"/>
          <w:szCs w:val="18"/>
          <w:color w:val="auto"/>
        </w:rPr>
        <w:t>Stand-alone first-lien loans are traditional first-lien loans. All lenders in the facility have equal rights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subject to the first-priority security interest.</w:t>
      </w:r>
    </w:p>
    <w:p>
      <w:pPr>
        <w:spacing w:after="0" w:line="38" w:lineRule="exact"/>
        <w:rPr>
          <w:rFonts w:ascii="Arial" w:cs="Arial" w:eastAsia="Arial" w:hAnsi="Arial"/>
          <w:sz w:val="18"/>
          <w:szCs w:val="18"/>
          <w:color w:val="auto"/>
        </w:rPr>
      </w:pPr>
    </w:p>
    <w:p>
      <w:pPr>
        <w:ind w:left="1480" w:hanging="446"/>
        <w:spacing w:after="0" w:line="293" w:lineRule="auto"/>
        <w:tabs>
          <w:tab w:leader="none" w:pos="1480" w:val="left"/>
        </w:tabs>
        <w:numPr>
          <w:ilvl w:val="1"/>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“Last out” first-lien loans. </w:t>
      </w:r>
      <w:r>
        <w:rPr>
          <w:rFonts w:ascii="Arial" w:cs="Arial" w:eastAsia="Arial" w:hAnsi="Arial"/>
          <w:sz w:val="16"/>
          <w:szCs w:val="16"/>
          <w:color w:val="auto"/>
        </w:rPr>
        <w:t>“Last out” first-lien loans have a secondary priority behind super-senior “first out” first-lien loans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40"/>
          </w:cols>
          <w:pgMar w:left="240" w:top="459" w:right="3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480" w:right="460"/>
        <w:spacing w:after="0" w:line="259" w:lineRule="auto"/>
        <w:rPr>
          <w:sz w:val="20"/>
          <w:szCs w:val="20"/>
          <w:color w:val="auto"/>
        </w:rPr>
      </w:pPr>
      <w:r>
        <w:rPr>
          <w:rFonts w:ascii="Arial" w:cs="Arial" w:eastAsia="Arial" w:hAnsi="Arial"/>
          <w:sz w:val="18"/>
          <w:szCs w:val="18"/>
          <w:color w:val="auto"/>
        </w:rPr>
        <w:t>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53" w:lineRule="exact"/>
        <w:rPr>
          <w:sz w:val="20"/>
          <w:szCs w:val="20"/>
          <w:color w:val="auto"/>
        </w:rPr>
      </w:pPr>
    </w:p>
    <w:p>
      <w:pPr>
        <w:ind w:left="1480" w:right="100" w:hanging="446"/>
        <w:spacing w:after="0" w:line="310" w:lineRule="auto"/>
        <w:tabs>
          <w:tab w:leader="none" w:pos="1480" w:val="left"/>
        </w:tabs>
        <w:numPr>
          <w:ilvl w:val="1"/>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“Unitranche” loans. </w:t>
      </w:r>
      <w:r>
        <w:rPr>
          <w:rFonts w:ascii="Arial" w:cs="Arial" w:eastAsia="Arial" w:hAnsi="Arial"/>
          <w:sz w:val="16"/>
          <w:szCs w:val="16"/>
          <w:color w:val="auto"/>
        </w:rPr>
        <w:t>Unitranche loans combine features of first-lien, second-lien and mezzanine debt, generally in a first-lien position. In</w:t>
      </w:r>
      <w:r>
        <w:rPr>
          <w:rFonts w:ascii="Arial" w:cs="Arial" w:eastAsia="Arial" w:hAnsi="Arial"/>
          <w:sz w:val="16"/>
          <w:szCs w:val="16"/>
          <w:b w:val="1"/>
          <w:bCs w:val="1"/>
          <w:color w:val="auto"/>
        </w:rPr>
        <w:t xml:space="preserve"> </w:t>
      </w:r>
      <w:r>
        <w:rPr>
          <w:rFonts w:ascii="Arial" w:cs="Arial" w:eastAsia="Arial" w:hAnsi="Arial"/>
          <w:sz w:val="16"/>
          <w:szCs w:val="16"/>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16"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Second-lien debt. </w:t>
      </w:r>
      <w:r>
        <w:rPr>
          <w:rFonts w:ascii="Arial" w:cs="Arial" w:eastAsia="Arial" w:hAnsi="Arial"/>
          <w:sz w:val="18"/>
          <w:szCs w:val="18"/>
          <w:color w:val="auto"/>
        </w:rPr>
        <w:t>Our second-lien debt may include secured loans, and, to a lesser extent, secured corporate bonds, with a secondary priority behind</w:t>
      </w:r>
      <w:r>
        <w:rPr>
          <w:rFonts w:ascii="Arial" w:cs="Arial" w:eastAsia="Arial" w:hAnsi="Arial"/>
          <w:sz w:val="18"/>
          <w:szCs w:val="18"/>
          <w:b w:val="1"/>
          <w:bCs w:val="1"/>
          <w:color w:val="auto"/>
        </w:rPr>
        <w:t xml:space="preserve"> </w:t>
      </w:r>
      <w:r>
        <w:rPr>
          <w:rFonts w:ascii="Arial" w:cs="Arial" w:eastAsia="Arial" w:hAnsi="Arial"/>
          <w:sz w:val="18"/>
          <w:szCs w:val="18"/>
          <w:color w:val="auto"/>
        </w:rPr>
        <w:t>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57" w:lineRule="exact"/>
        <w:rPr>
          <w:rFonts w:ascii="Arial" w:cs="Arial" w:eastAsia="Arial" w:hAnsi="Arial"/>
          <w:sz w:val="18"/>
          <w:szCs w:val="18"/>
          <w:color w:val="auto"/>
        </w:rPr>
      </w:pPr>
    </w:p>
    <w:p>
      <w:pPr>
        <w:ind w:left="900" w:right="40" w:hanging="325"/>
        <w:spacing w:after="0" w:line="293"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“Mezzanine” debt. </w:t>
      </w:r>
      <w:r>
        <w:rPr>
          <w:rFonts w:ascii="Arial" w:cs="Arial" w:eastAsia="Arial" w:hAnsi="Arial"/>
          <w:sz w:val="16"/>
          <w:szCs w:val="16"/>
          <w:color w:val="auto"/>
        </w:rPr>
        <w:t>Structurally, mezzanine debt usually ranks subordinate in priority of payment to first-lien and second-lien debt, is often</w:t>
      </w:r>
      <w:r>
        <w:rPr>
          <w:rFonts w:ascii="Arial" w:cs="Arial" w:eastAsia="Arial" w:hAnsi="Arial"/>
          <w:sz w:val="16"/>
          <w:szCs w:val="16"/>
          <w:b w:val="1"/>
          <w:bCs w:val="1"/>
          <w:color w:val="auto"/>
        </w:rPr>
        <w:t xml:space="preserve"> </w:t>
      </w:r>
      <w:r>
        <w:rPr>
          <w:rFonts w:ascii="Arial" w:cs="Arial" w:eastAsia="Arial" w:hAnsi="Arial"/>
          <w:sz w:val="16"/>
          <w:szCs w:val="16"/>
          <w:color w:val="auto"/>
        </w:rPr>
        <w:t>unsecured and may not have the benefit of financial covenants common in first-lien and second-lien debt. However, mezzanine debt ranks senior to common and preferred equity in an issuer’s capital structure. Mezzanine debt investments generally offer lenders fixed returns in the form of interest payments and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debt generally bears a higher stated interest rate than first-lien and second-lien debt.</w:t>
      </w:r>
    </w:p>
    <w:p>
      <w:pPr>
        <w:spacing w:after="0" w:line="11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51" w:lineRule="exact"/>
        <w:rPr>
          <w:sz w:val="20"/>
          <w:szCs w:val="20"/>
          <w:color w:val="auto"/>
        </w:rPr>
      </w:pPr>
    </w:p>
    <w:p>
      <w:pPr>
        <w:ind w:left="440" w:hanging="324"/>
        <w:spacing w:after="0"/>
        <w:tabs>
          <w:tab w:leader="none" w:pos="4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 and</w:t>
      </w:r>
    </w:p>
    <w:p>
      <w:pPr>
        <w:spacing w:after="0" w:line="113" w:lineRule="exact"/>
        <w:rPr>
          <w:rFonts w:ascii="Arial" w:cs="Arial" w:eastAsia="Arial" w:hAnsi="Arial"/>
          <w:sz w:val="16"/>
          <w:szCs w:val="16"/>
          <w:color w:val="auto"/>
        </w:rPr>
      </w:pPr>
    </w:p>
    <w:p>
      <w:pPr>
        <w:ind w:left="440" w:right="100" w:hanging="324"/>
        <w:spacing w:after="0" w:line="256" w:lineRule="auto"/>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that allows us to achieve our target returns while maintaining our targeted amount of credit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making an investment in a more senior part of the capital structure of the issuer.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September 30, 2013 and December 31, 2012, we had made aggregate funded investments with an aggregate fair value of $889.3 million and $653.9 million, respectively, in 25 and 21 portfolio companies, respectively. See “Portfolio Companies” for more information on these investments, including a list of companies and type and amount of investments.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consisted of the following at September 30, 2013 and December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0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September 30, 2013</w:t>
            </w:r>
          </w:p>
        </w:tc>
        <w:tc>
          <w:tcPr>
            <w:tcW w:w="580" w:type="dxa"/>
            <w:vAlign w:val="bottom"/>
          </w:tcPr>
          <w:p>
            <w:pPr>
              <w:spacing w:after="0"/>
              <w:rPr>
                <w:sz w:val="14"/>
                <w:szCs w:val="14"/>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December 31, 2012</w:t>
            </w:r>
          </w:p>
        </w:tc>
      </w:tr>
      <w:tr>
        <w:trPr>
          <w:trHeight w:val="115"/>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500" w:type="dxa"/>
            <w:vAlign w:val="bottom"/>
            <w:tcBorders>
              <w:top w:val="single" w:sz="8" w:color="auto"/>
            </w:tcBorders>
          </w:tcPr>
          <w:p>
            <w:pPr>
              <w:jc w:val="right"/>
              <w:ind w:right="43"/>
              <w:spacing w:after="0" w:line="115" w:lineRule="exact"/>
              <w:rPr>
                <w:sz w:val="20"/>
                <w:szCs w:val="20"/>
                <w:color w:val="auto"/>
              </w:rPr>
            </w:pPr>
            <w:r>
              <w:rPr>
                <w:rFonts w:ascii="Arial" w:cs="Arial" w:eastAsia="Arial" w:hAnsi="Arial"/>
                <w:sz w:val="12"/>
                <w:szCs w:val="12"/>
                <w:b w:val="1"/>
                <w:bCs w:val="1"/>
                <w:color w:val="auto"/>
              </w:rPr>
              <w:t>Fair</w:t>
            </w:r>
          </w:p>
        </w:tc>
        <w:tc>
          <w:tcPr>
            <w:tcW w:w="5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2"/>
                <w:szCs w:val="12"/>
                <w:b w:val="1"/>
                <w:bCs w:val="1"/>
                <w:color w:val="auto"/>
              </w:rPr>
              <w:t>Amortized</w:t>
            </w:r>
          </w:p>
        </w:tc>
        <w:tc>
          <w:tcPr>
            <w:tcW w:w="580" w:type="dxa"/>
            <w:vAlign w:val="bottom"/>
          </w:tcPr>
          <w:p>
            <w:pPr>
              <w:spacing w:after="0"/>
              <w:rPr>
                <w:sz w:val="10"/>
                <w:szCs w:val="10"/>
                <w:color w:val="auto"/>
              </w:rPr>
            </w:pPr>
          </w:p>
        </w:tc>
        <w:tc>
          <w:tcPr>
            <w:tcW w:w="500" w:type="dxa"/>
            <w:vAlign w:val="bottom"/>
            <w:tcBorders>
              <w:top w:val="single" w:sz="8" w:color="auto"/>
            </w:tcBorders>
          </w:tcPr>
          <w:p>
            <w:pPr>
              <w:jc w:val="right"/>
              <w:ind w:right="43"/>
              <w:spacing w:after="0" w:line="115" w:lineRule="exact"/>
              <w:rPr>
                <w:sz w:val="20"/>
                <w:szCs w:val="20"/>
                <w:color w:val="auto"/>
              </w:rPr>
            </w:pPr>
            <w:r>
              <w:rPr>
                <w:rFonts w:ascii="Arial" w:cs="Arial" w:eastAsia="Arial" w:hAnsi="Arial"/>
                <w:sz w:val="12"/>
                <w:szCs w:val="12"/>
                <w:b w:val="1"/>
                <w:bCs w:val="1"/>
                <w:color w:val="auto"/>
              </w:rPr>
              <w:t>Fair</w:t>
            </w:r>
          </w:p>
        </w:tc>
        <w:tc>
          <w:tcPr>
            <w:tcW w:w="5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2"/>
                <w:szCs w:val="12"/>
                <w:b w:val="1"/>
                <w:bCs w:val="1"/>
                <w:color w:val="auto"/>
              </w:rPr>
              <w:t>Amortized</w:t>
            </w:r>
          </w:p>
        </w:tc>
        <w:tc>
          <w:tcPr>
            <w:tcW w:w="100" w:type="dxa"/>
            <w:vAlign w:val="bottom"/>
          </w:tcPr>
          <w:p>
            <w:pPr>
              <w:spacing w:after="0"/>
              <w:rPr>
                <w:sz w:val="10"/>
                <w:szCs w:val="10"/>
                <w:color w:val="auto"/>
              </w:rPr>
            </w:pPr>
          </w:p>
        </w:tc>
      </w:tr>
      <w:tr>
        <w:trPr>
          <w:trHeight w:val="176"/>
        </w:trPr>
        <w:tc>
          <w:tcPr>
            <w:tcW w:w="4340" w:type="dxa"/>
            <w:vAlign w:val="bottom"/>
            <w:gridSpan w:val="3"/>
          </w:tcPr>
          <w:p>
            <w:pPr>
              <w:ind w:left="460"/>
              <w:spacing w:after="0"/>
              <w:rPr>
                <w:sz w:val="20"/>
                <w:szCs w:val="20"/>
                <w:color w:val="auto"/>
              </w:rPr>
            </w:pPr>
            <w:r>
              <w:rPr>
                <w:rFonts w:ascii="Arial" w:cs="Arial" w:eastAsia="Arial" w:hAnsi="Arial"/>
                <w:sz w:val="14"/>
                <w:szCs w:val="14"/>
                <w:b w:val="1"/>
                <w:bCs w:val="1"/>
                <w:color w:val="auto"/>
              </w:rPr>
              <w:t>($ amounts in millions)</w:t>
            </w:r>
          </w:p>
        </w:tc>
        <w:tc>
          <w:tcPr>
            <w:tcW w:w="2540" w:type="dxa"/>
            <w:vAlign w:val="bottom"/>
          </w:tcPr>
          <w:p>
            <w:pPr>
              <w:spacing w:after="0"/>
              <w:rPr>
                <w:sz w:val="15"/>
                <w:szCs w:val="15"/>
                <w:color w:val="auto"/>
              </w:rPr>
            </w:pPr>
          </w:p>
        </w:tc>
        <w:tc>
          <w:tcPr>
            <w:tcW w:w="500" w:type="dxa"/>
            <w:vAlign w:val="bottom"/>
          </w:tcPr>
          <w:p>
            <w:pPr>
              <w:jc w:val="right"/>
              <w:ind w:right="3"/>
              <w:spacing w:after="0"/>
              <w:rPr>
                <w:sz w:val="20"/>
                <w:szCs w:val="20"/>
                <w:color w:val="auto"/>
              </w:rPr>
            </w:pPr>
            <w:r>
              <w:rPr>
                <w:rFonts w:ascii="Arial" w:cs="Arial" w:eastAsia="Arial" w:hAnsi="Arial"/>
                <w:sz w:val="14"/>
                <w:szCs w:val="14"/>
                <w:b w:val="1"/>
                <w:bCs w:val="1"/>
                <w:color w:val="auto"/>
              </w:rPr>
              <w:t>Value</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6"/>
              <w:spacing w:after="0" w:line="176" w:lineRule="exact"/>
              <w:rPr>
                <w:sz w:val="20"/>
                <w:szCs w:val="20"/>
                <w:color w:val="auto"/>
              </w:rPr>
            </w:pPr>
            <w:r>
              <w:rPr>
                <w:rFonts w:ascii="Arial" w:cs="Arial" w:eastAsia="Arial" w:hAnsi="Arial"/>
                <w:sz w:val="13"/>
                <w:szCs w:val="13"/>
                <w:b w:val="1"/>
                <w:bCs w:val="1"/>
                <w:color w:val="auto"/>
                <w:w w:val="88"/>
              </w:rPr>
              <w:t>Cost</w:t>
            </w:r>
            <w:r>
              <w:rPr>
                <w:rFonts w:ascii="Arial" w:cs="Arial" w:eastAsia="Arial" w:hAnsi="Arial"/>
                <w:sz w:val="20"/>
                <w:szCs w:val="20"/>
                <w:b w:val="1"/>
                <w:bCs w:val="1"/>
                <w:color w:val="auto"/>
                <w:w w:val="88"/>
                <w:vertAlign w:val="superscript"/>
              </w:rPr>
              <w:t>(1)</w:t>
            </w:r>
          </w:p>
        </w:tc>
        <w:tc>
          <w:tcPr>
            <w:tcW w:w="580" w:type="dxa"/>
            <w:vAlign w:val="bottom"/>
          </w:tcPr>
          <w:p>
            <w:pPr>
              <w:spacing w:after="0"/>
              <w:rPr>
                <w:sz w:val="15"/>
                <w:szCs w:val="15"/>
                <w:color w:val="auto"/>
              </w:rPr>
            </w:pPr>
          </w:p>
        </w:tc>
        <w:tc>
          <w:tcPr>
            <w:tcW w:w="500" w:type="dxa"/>
            <w:vAlign w:val="bottom"/>
          </w:tcPr>
          <w:p>
            <w:pPr>
              <w:jc w:val="right"/>
              <w:ind w:right="3"/>
              <w:spacing w:after="0"/>
              <w:rPr>
                <w:sz w:val="20"/>
                <w:szCs w:val="20"/>
                <w:color w:val="auto"/>
              </w:rPr>
            </w:pPr>
            <w:r>
              <w:rPr>
                <w:rFonts w:ascii="Arial" w:cs="Arial" w:eastAsia="Arial" w:hAnsi="Arial"/>
                <w:sz w:val="14"/>
                <w:szCs w:val="14"/>
                <w:b w:val="1"/>
                <w:bCs w:val="1"/>
                <w:color w:val="auto"/>
              </w:rPr>
              <w:t>Value</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20"/>
              <w:spacing w:after="0" w:line="176" w:lineRule="exact"/>
              <w:rPr>
                <w:sz w:val="20"/>
                <w:szCs w:val="20"/>
                <w:color w:val="auto"/>
              </w:rPr>
            </w:pPr>
            <w:r>
              <w:rPr>
                <w:rFonts w:ascii="Arial" w:cs="Arial" w:eastAsia="Arial" w:hAnsi="Arial"/>
                <w:sz w:val="13"/>
                <w:szCs w:val="13"/>
                <w:b w:val="1"/>
                <w:bCs w:val="1"/>
                <w:color w:val="auto"/>
              </w:rPr>
              <w:t>Cost</w:t>
            </w:r>
            <w:r>
              <w:rPr>
                <w:rFonts w:ascii="Arial" w:cs="Arial" w:eastAsia="Arial" w:hAnsi="Arial"/>
                <w:sz w:val="20"/>
                <w:szCs w:val="20"/>
                <w:b w:val="1"/>
                <w:bCs w:val="1"/>
                <w:color w:val="auto"/>
                <w:vertAlign w:val="superscript"/>
              </w:rPr>
              <w:t>(1)</w:t>
            </w:r>
          </w:p>
        </w:tc>
      </w:tr>
      <w:tr>
        <w:trPr>
          <w:trHeight w:val="210"/>
        </w:trPr>
        <w:tc>
          <w:tcPr>
            <w:tcW w:w="460" w:type="dxa"/>
            <w:vAlign w:val="bottom"/>
          </w:tcPr>
          <w:p>
            <w:pPr>
              <w:spacing w:after="0"/>
              <w:rPr>
                <w:sz w:val="18"/>
                <w:szCs w:val="18"/>
                <w:color w:val="auto"/>
              </w:rPr>
            </w:pPr>
          </w:p>
        </w:tc>
        <w:tc>
          <w:tcPr>
            <w:tcW w:w="3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First-lien</w:t>
            </w:r>
          </w:p>
        </w:tc>
        <w:tc>
          <w:tcPr>
            <w:tcW w:w="2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$803.9</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794.2</w:t>
            </w: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$582.3</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Second-lien</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83.7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Mezzanine</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23"/>
        </w:trPr>
        <w:tc>
          <w:tcPr>
            <w:tcW w:w="46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5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889.3</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8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at September 30, 2013 and December 31, 2012 was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16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376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36"/>
              <w:spacing w:after="0" w:line="176" w:lineRule="exact"/>
              <w:rPr>
                <w:sz w:val="20"/>
                <w:szCs w:val="20"/>
                <w:color w:val="auto"/>
              </w:rPr>
            </w:pPr>
            <w:r>
              <w:rPr>
                <w:rFonts w:ascii="Arial" w:cs="Arial" w:eastAsia="Arial" w:hAnsi="Arial"/>
                <w:sz w:val="13"/>
                <w:szCs w:val="13"/>
                <w:b w:val="1"/>
                <w:bCs w:val="1"/>
                <w:color w:val="auto"/>
              </w:rPr>
              <w:t>2013</w:t>
            </w:r>
            <w:r>
              <w:rPr>
                <w:rFonts w:ascii="Arial" w:cs="Arial" w:eastAsia="Arial" w:hAnsi="Arial"/>
                <w:sz w:val="20"/>
                <w:szCs w:val="20"/>
                <w:b w:val="1"/>
                <w:bCs w:val="1"/>
                <w:color w:val="auto"/>
                <w:vertAlign w:val="superscript"/>
              </w:rPr>
              <w:t>(1)</w:t>
            </w:r>
          </w:p>
        </w:tc>
        <w:tc>
          <w:tcPr>
            <w:tcW w:w="86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36"/>
              <w:spacing w:after="0" w:line="176" w:lineRule="exact"/>
              <w:rPr>
                <w:sz w:val="20"/>
                <w:szCs w:val="20"/>
                <w:color w:val="auto"/>
              </w:rPr>
            </w:pPr>
            <w:r>
              <w:rPr>
                <w:rFonts w:ascii="Arial" w:cs="Arial" w:eastAsia="Arial" w:hAnsi="Arial"/>
                <w:sz w:val="13"/>
                <w:szCs w:val="13"/>
                <w:b w:val="1"/>
                <w:bCs w:val="1"/>
                <w:color w:val="auto"/>
              </w:rPr>
              <w:t>2012</w:t>
            </w:r>
            <w:r>
              <w:rPr>
                <w:rFonts w:ascii="Arial" w:cs="Arial" w:eastAsia="Arial" w:hAnsi="Arial"/>
                <w:sz w:val="20"/>
                <w:szCs w:val="20"/>
                <w:b w:val="1"/>
                <w:bCs w:val="1"/>
                <w:color w:val="auto"/>
                <w:vertAlign w:val="superscript"/>
              </w:rPr>
              <w:t>(1)</w:t>
            </w:r>
          </w:p>
        </w:tc>
        <w:tc>
          <w:tcPr>
            <w:tcW w:w="200" w:type="dxa"/>
            <w:vAlign w:val="bottom"/>
            <w:tcBorders>
              <w:bottom w:val="single" w:sz="8" w:color="CCEEFF"/>
            </w:tcBorders>
          </w:tcPr>
          <w:p>
            <w:pPr>
              <w:spacing w:after="0"/>
              <w:rPr>
                <w:sz w:val="15"/>
                <w:szCs w:val="15"/>
                <w:color w:val="auto"/>
              </w:rPr>
            </w:pPr>
          </w:p>
        </w:tc>
      </w:tr>
      <w:tr>
        <w:trPr>
          <w:trHeight w:val="210"/>
        </w:trPr>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Aerospace and defense</w:t>
            </w:r>
          </w:p>
        </w:tc>
        <w:tc>
          <w:tcPr>
            <w:tcW w:w="14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6.1%</w:t>
            </w: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Automotive</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6.9%</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5.1%</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Business services</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14.2%</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4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5.9%</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8.1%</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3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5.3%</w:t>
            </w: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Education</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3.3%</w:t>
            </w:r>
          </w:p>
        </w:tc>
        <w:tc>
          <w:tcPr>
            <w:tcW w:w="7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4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Financial services</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3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15.5%</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8.0%</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3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5.8%</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Insurance</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4.0%</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3.0%</w:t>
            </w: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Office products</w:t>
            </w:r>
          </w:p>
        </w:tc>
        <w:tc>
          <w:tcPr>
            <w:tcW w:w="3160" w:type="dxa"/>
            <w:vAlign w:val="bottom"/>
            <w:gridSpan w:val="3"/>
          </w:tcPr>
          <w:p>
            <w:pPr>
              <w:jc w:val="right"/>
              <w:ind w:right="720"/>
              <w:spacing w:after="0"/>
              <w:rPr>
                <w:sz w:val="20"/>
                <w:szCs w:val="20"/>
                <w:color w:val="auto"/>
              </w:rPr>
            </w:pPr>
            <w:r>
              <w:rPr>
                <w:rFonts w:ascii="Arial" w:cs="Arial" w:eastAsia="Arial" w:hAnsi="Arial"/>
                <w:sz w:val="18"/>
                <w:szCs w:val="18"/>
                <w:color w:val="auto"/>
              </w:rPr>
              <w:t>2.3%</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3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4.6%</w:t>
            </w: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Transportation</w:t>
            </w:r>
          </w:p>
        </w:tc>
        <w:tc>
          <w:tcPr>
            <w:tcW w:w="1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7"/>
        </w:trPr>
        <w:tc>
          <w:tcPr>
            <w:tcW w:w="3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4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100.0%</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3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500" w:hanging="452"/>
        <w:spacing w:after="0" w:line="268"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classify the industries of our portfolio companies by end-market (such as healthcare and pharmaceuticals, and business services) and not by the products or services (such as software) directed to those end-markets.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80"/>
          </w:cols>
          <w:pgMar w:left="240" w:top="459" w:right="3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September 30, 2013 and December 31, 2012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37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September 30, 2013</w:t>
            </w:r>
          </w:p>
        </w:tc>
        <w:tc>
          <w:tcPr>
            <w:tcW w:w="1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r>
      <w:tr>
        <w:trPr>
          <w:trHeight w:val="196"/>
        </w:trPr>
        <w:tc>
          <w:tcPr>
            <w:tcW w:w="3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8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060" w:type="dxa"/>
            <w:vAlign w:val="bottom"/>
          </w:tcPr>
          <w:p>
            <w:pPr>
              <w:ind w:left="440"/>
              <w:spacing w:after="0"/>
              <w:rPr>
                <w:sz w:val="20"/>
                <w:szCs w:val="20"/>
                <w:color w:val="auto"/>
              </w:rPr>
            </w:pPr>
            <w:r>
              <w:rPr>
                <w:rFonts w:ascii="Arial" w:cs="Arial" w:eastAsia="Arial" w:hAnsi="Arial"/>
                <w:sz w:val="18"/>
                <w:szCs w:val="18"/>
                <w:color w:val="auto"/>
              </w:rPr>
              <w:t>Midwest</w:t>
            </w:r>
          </w:p>
        </w:tc>
        <w:tc>
          <w:tcPr>
            <w:tcW w:w="3700" w:type="dxa"/>
            <w:vAlign w:val="bottom"/>
            <w:gridSpan w:val="3"/>
          </w:tcPr>
          <w:p>
            <w:pPr>
              <w:jc w:val="right"/>
              <w:ind w:right="620"/>
              <w:spacing w:after="0"/>
              <w:rPr>
                <w:sz w:val="20"/>
                <w:szCs w:val="20"/>
                <w:color w:val="auto"/>
              </w:rPr>
            </w:pPr>
            <w:r>
              <w:rPr>
                <w:rFonts w:ascii="Arial" w:cs="Arial" w:eastAsia="Arial" w:hAnsi="Arial"/>
                <w:sz w:val="18"/>
                <w:szCs w:val="18"/>
                <w:color w:val="auto"/>
              </w:rPr>
              <w:t>16.5%</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18.8%</w:t>
            </w:r>
          </w:p>
        </w:tc>
      </w:tr>
      <w:tr>
        <w:trPr>
          <w:trHeight w:val="216"/>
        </w:trPr>
        <w:tc>
          <w:tcPr>
            <w:tcW w:w="3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3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3060" w:type="dxa"/>
            <w:vAlign w:val="bottom"/>
          </w:tcPr>
          <w:p>
            <w:pPr>
              <w:ind w:left="440"/>
              <w:spacing w:after="0"/>
              <w:rPr>
                <w:sz w:val="20"/>
                <w:szCs w:val="20"/>
                <w:color w:val="auto"/>
              </w:rPr>
            </w:pPr>
            <w:r>
              <w:rPr>
                <w:rFonts w:ascii="Arial" w:cs="Arial" w:eastAsia="Arial" w:hAnsi="Arial"/>
                <w:sz w:val="18"/>
                <w:szCs w:val="18"/>
                <w:color w:val="auto"/>
              </w:rPr>
              <w:t>South</w:t>
            </w:r>
          </w:p>
        </w:tc>
        <w:tc>
          <w:tcPr>
            <w:tcW w:w="3700" w:type="dxa"/>
            <w:vAlign w:val="bottom"/>
            <w:gridSpan w:val="3"/>
          </w:tcPr>
          <w:p>
            <w:pPr>
              <w:jc w:val="right"/>
              <w:ind w:right="620"/>
              <w:spacing w:after="0"/>
              <w:rPr>
                <w:sz w:val="20"/>
                <w:szCs w:val="20"/>
                <w:color w:val="auto"/>
              </w:rPr>
            </w:pPr>
            <w:r>
              <w:rPr>
                <w:rFonts w:ascii="Arial" w:cs="Arial" w:eastAsia="Arial" w:hAnsi="Arial"/>
                <w:sz w:val="18"/>
                <w:szCs w:val="18"/>
                <w:color w:val="auto"/>
              </w:rPr>
              <w:t>25.4%</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25.7%</w:t>
            </w:r>
          </w:p>
        </w:tc>
      </w:tr>
      <w:tr>
        <w:trPr>
          <w:trHeight w:val="216"/>
        </w:trPr>
        <w:tc>
          <w:tcPr>
            <w:tcW w:w="3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3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32.8%</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3060" w:type="dxa"/>
            <w:vAlign w:val="bottom"/>
          </w:tcPr>
          <w:p>
            <w:pPr>
              <w:ind w:left="440"/>
              <w:spacing w:after="0"/>
              <w:rPr>
                <w:sz w:val="20"/>
                <w:szCs w:val="20"/>
                <w:color w:val="auto"/>
              </w:rPr>
            </w:pPr>
            <w:r>
              <w:rPr>
                <w:rFonts w:ascii="Arial" w:cs="Arial" w:eastAsia="Arial" w:hAnsi="Arial"/>
                <w:sz w:val="18"/>
                <w:szCs w:val="18"/>
                <w:color w:val="auto"/>
              </w:rPr>
              <w:t>Europe</w:t>
            </w:r>
          </w:p>
        </w:tc>
        <w:tc>
          <w:tcPr>
            <w:tcW w:w="1800" w:type="dxa"/>
            <w:vAlign w:val="bottom"/>
          </w:tcPr>
          <w:p>
            <w:pPr>
              <w:spacing w:after="0"/>
              <w:rPr>
                <w:sz w:val="18"/>
                <w:szCs w:val="18"/>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3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0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8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3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BDC, we must offer significant managerial assistance to our portfolio companies. This assistance can involve monitoring the operations of our portfolio companies, participating in board and management meetings, consulting with and advising officers of portfolio companies and providing other organizational and financial guidance. We may receive fees for these services and reimburse the Adviser for its allocated costs in providing this assistance, subject to the review and approval by our Board, including our Independent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“Risk Factors—Risks Related to Our Business and Structure—We operate in a highly competitive market for investment opportunities.”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our principal executive office at 301 Commerce Street, Suite 3300, Fort Worth, TX 76102. We do not own any real estate.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and the Adviser are not currently subject to any material legal proceedings, and, to our knowledge, no material legal proceeding is threatened against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table set forth below contains certain information as of September 30, 2013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first-lien or second-lien. As of September 30, 2013, we did not “control” and are not an “affiliate” of any of our portfolio companies, each as defined in the 1940 Act. In general, under the 1940 Act, we would “control” a portfolio company if we owned 25.0% or more of its voting securities and would be an “affiliate” of a portfolio company if we owned five percent or more of its voting securities. We either originated or purchased in the secondary market the loans and securities in our current portfolio.</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54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Fair</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60"/>
              <w:spacing w:after="0" w:line="163" w:lineRule="exact"/>
              <w:rPr>
                <w:sz w:val="20"/>
                <w:szCs w:val="20"/>
                <w:color w:val="auto"/>
              </w:rPr>
            </w:pPr>
            <w:r>
              <w:rPr>
                <w:rFonts w:ascii="Arial" w:cs="Arial" w:eastAsia="Arial" w:hAnsi="Arial"/>
                <w:sz w:val="12"/>
                <w:szCs w:val="12"/>
                <w:b w:val="1"/>
                <w:bCs w:val="1"/>
                <w:color w:val="auto"/>
                <w:w w:val="96"/>
              </w:rPr>
              <w:t>Cost</w:t>
            </w:r>
            <w:r>
              <w:rPr>
                <w:rFonts w:ascii="Arial" w:cs="Arial" w:eastAsia="Arial" w:hAnsi="Arial"/>
                <w:sz w:val="18"/>
                <w:szCs w:val="18"/>
                <w:b w:val="1"/>
                <w:bCs w:val="1"/>
                <w:color w:val="auto"/>
                <w:w w:val="96"/>
                <w:vertAlign w:val="superscript"/>
              </w:rPr>
              <w:t>(2)</w:t>
            </w:r>
          </w:p>
        </w:tc>
        <w:tc>
          <w:tcPr>
            <w:tcW w:w="100" w:type="dxa"/>
            <w:vAlign w:val="bottom"/>
          </w:tcPr>
          <w:p>
            <w:pPr>
              <w:spacing w:after="0"/>
              <w:rPr>
                <w:sz w:val="14"/>
                <w:szCs w:val="14"/>
                <w:color w:val="auto"/>
              </w:rPr>
            </w:pPr>
          </w:p>
        </w:tc>
        <w:tc>
          <w:tcPr>
            <w:tcW w:w="540" w:type="dxa"/>
            <w:vAlign w:val="bottom"/>
          </w:tcPr>
          <w:p>
            <w:pPr>
              <w:jc w:val="center"/>
              <w:ind w:right="32"/>
              <w:spacing w:after="0"/>
              <w:rPr>
                <w:sz w:val="20"/>
                <w:szCs w:val="20"/>
                <w:color w:val="auto"/>
              </w:rPr>
            </w:pPr>
            <w:r>
              <w:rPr>
                <w:rFonts w:ascii="Arial" w:cs="Arial" w:eastAsia="Arial" w:hAnsi="Arial"/>
                <w:sz w:val="14"/>
                <w:szCs w:val="14"/>
                <w:b w:val="1"/>
                <w:bCs w:val="1"/>
                <w:color w:val="auto"/>
                <w:w w:val="85"/>
              </w:rPr>
              <w:t>Value</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6"/>
              </w:rPr>
              <w:t>Investment</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 amount</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 amount</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2"/>
                <w:szCs w:val="22"/>
                <w:b w:val="1"/>
                <w:bCs w:val="1"/>
                <w:color w:val="auto"/>
                <w:vertAlign w:val="superscript"/>
              </w:rPr>
              <w:t>(1)</w:t>
            </w:r>
          </w:p>
        </w:tc>
        <w:tc>
          <w:tcPr>
            <w:tcW w:w="980" w:type="dxa"/>
            <w:vAlign w:val="bottom"/>
          </w:tcPr>
          <w:p>
            <w:pPr>
              <w:spacing w:after="0"/>
              <w:rPr>
                <w:sz w:val="11"/>
                <w:szCs w:val="11"/>
                <w:color w:val="auto"/>
              </w:rPr>
            </w:pPr>
          </w:p>
        </w:tc>
        <w:tc>
          <w:tcPr>
            <w:tcW w:w="2180" w:type="dxa"/>
            <w:vAlign w:val="bottom"/>
            <w:gridSpan w:val="2"/>
            <w:vMerge w:val="continue"/>
          </w:tcPr>
          <w:p>
            <w:pPr>
              <w:spacing w:after="0"/>
              <w:rPr>
                <w:sz w:val="11"/>
                <w:szCs w:val="11"/>
                <w:color w:val="auto"/>
              </w:rPr>
            </w:pPr>
          </w:p>
        </w:tc>
        <w:tc>
          <w:tcPr>
            <w:tcW w:w="78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w w:val="82"/>
              </w:rPr>
              <w:t>Interest</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3"/>
              </w:rPr>
              <w:t>Acquisition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in</w:t>
            </w:r>
          </w:p>
        </w:tc>
        <w:tc>
          <w:tcPr>
            <w:tcW w:w="100" w:type="dxa"/>
            <w:vAlign w:val="bottom"/>
          </w:tcPr>
          <w:p>
            <w:pPr>
              <w:spacing w:after="0"/>
              <w:rPr>
                <w:sz w:val="11"/>
                <w:szCs w:val="11"/>
                <w:color w:val="auto"/>
              </w:rPr>
            </w:pPr>
          </w:p>
        </w:tc>
        <w:tc>
          <w:tcPr>
            <w:tcW w:w="540" w:type="dxa"/>
            <w:vAlign w:val="bottom"/>
          </w:tcPr>
          <w:p>
            <w:pPr>
              <w:jc w:val="center"/>
              <w:ind w:right="32"/>
              <w:spacing w:after="0" w:line="135" w:lineRule="exact"/>
              <w:rPr>
                <w:sz w:val="20"/>
                <w:szCs w:val="20"/>
                <w:color w:val="auto"/>
              </w:rPr>
            </w:pPr>
            <w:r>
              <w:rPr>
                <w:rFonts w:ascii="Arial" w:cs="Arial" w:eastAsia="Arial" w:hAnsi="Arial"/>
                <w:sz w:val="14"/>
                <w:szCs w:val="14"/>
                <w:b w:val="1"/>
                <w:bCs w:val="1"/>
                <w:color w:val="auto"/>
                <w:w w:val="96"/>
              </w:rPr>
              <w:t>in</w:t>
            </w:r>
          </w:p>
        </w:tc>
        <w:tc>
          <w:tcPr>
            <w:tcW w:w="24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1"/>
        </w:trPr>
        <w:tc>
          <w:tcPr>
            <w:tcW w:w="384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(Par amounts in thousands)</w:t>
            </w: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Rate</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thousands)</w:t>
            </w:r>
          </w:p>
        </w:tc>
        <w:tc>
          <w:tcPr>
            <w:tcW w:w="2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shd w:val="clear" w:color="auto" w:fill="000000"/>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4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Debt Investments</w:t>
            </w:r>
          </w:p>
        </w:tc>
        <w:tc>
          <w:tcPr>
            <w:tcW w:w="98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220" w:type="dxa"/>
            <w:vAlign w:val="bottom"/>
          </w:tcPr>
          <w:p>
            <w:pPr>
              <w:ind w:left="380"/>
              <w:spacing w:after="0"/>
              <w:rPr>
                <w:sz w:val="20"/>
                <w:szCs w:val="20"/>
                <w:color w:val="auto"/>
              </w:rPr>
            </w:pPr>
            <w:r>
              <w:rPr>
                <w:rFonts w:ascii="Arial" w:cs="Arial" w:eastAsia="Arial" w:hAnsi="Arial"/>
                <w:sz w:val="14"/>
                <w:szCs w:val="14"/>
                <w:b w:val="1"/>
                <w:bCs w:val="1"/>
                <w:color w:val="auto"/>
              </w:rPr>
              <w:t>Aerospace and defense</w:t>
            </w:r>
          </w:p>
        </w:tc>
        <w:tc>
          <w:tcPr>
            <w:tcW w:w="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MSC Software Corporation</w:t>
            </w:r>
            <w:r>
              <w:rPr>
                <w:rFonts w:ascii="Arial" w:cs="Arial" w:eastAsia="Arial" w:hAnsi="Arial"/>
                <w:sz w:val="15"/>
                <w:szCs w:val="15"/>
                <w:color w:val="auto"/>
                <w:vertAlign w:val="superscript"/>
              </w:rPr>
              <w:t>(3)(4)(5)</w:t>
            </w:r>
          </w:p>
        </w:tc>
        <w:tc>
          <w:tcPr>
            <w:tcW w:w="3160" w:type="dxa"/>
            <w:vAlign w:val="bottom"/>
            <w:gridSpan w:val="3"/>
            <w:shd w:val="clear" w:color="auto" w:fill="CCEEFF"/>
          </w:tcPr>
          <w:p>
            <w:pPr>
              <w:ind w:left="980"/>
              <w:spacing w:after="0" w:line="138" w:lineRule="exact"/>
              <w:rPr>
                <w:sz w:val="20"/>
                <w:szCs w:val="20"/>
                <w:color w:val="auto"/>
              </w:rPr>
            </w:pPr>
            <w:r>
              <w:rPr>
                <w:rFonts w:ascii="Arial" w:cs="Arial" w:eastAsia="Arial" w:hAnsi="Arial"/>
                <w:sz w:val="14"/>
                <w:szCs w:val="14"/>
                <w:color w:val="auto"/>
              </w:rPr>
              <w:t>First-lien loan ($54,156 par, due</w:t>
            </w: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960" w:type="dxa"/>
            <w:vAlign w:val="bottom"/>
            <w:gridSpan w:val="2"/>
            <w:shd w:val="clear" w:color="auto" w:fill="CCEEFF"/>
          </w:tcPr>
          <w:p>
            <w:pPr>
              <w:ind w:left="980"/>
              <w:spacing w:after="0" w:line="159" w:lineRule="exact"/>
              <w:rPr>
                <w:sz w:val="20"/>
                <w:szCs w:val="20"/>
                <w:color w:val="auto"/>
              </w:rPr>
            </w:pPr>
            <w:r>
              <w:rPr>
                <w:rFonts w:ascii="Arial" w:cs="Arial" w:eastAsia="Arial" w:hAnsi="Arial"/>
                <w:sz w:val="14"/>
                <w:szCs w:val="14"/>
                <w:color w:val="auto"/>
              </w:rPr>
              <w:t>11/2017)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7.75%</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1"/>
              </w:rPr>
              <w:t>12/23/2011</w:t>
            </w:r>
          </w:p>
        </w:tc>
        <w:tc>
          <w:tcPr>
            <w:tcW w:w="2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53,477</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54,156</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3220" w:type="dxa"/>
            <w:vAlign w:val="bottom"/>
          </w:tcPr>
          <w:p>
            <w:pPr>
              <w:ind w:left="380"/>
              <w:spacing w:after="0"/>
              <w:rPr>
                <w:sz w:val="20"/>
                <w:szCs w:val="20"/>
                <w:color w:val="auto"/>
              </w:rPr>
            </w:pPr>
            <w:r>
              <w:rPr>
                <w:rFonts w:ascii="Arial" w:cs="Arial" w:eastAsia="Arial" w:hAnsi="Arial"/>
                <w:sz w:val="14"/>
                <w:szCs w:val="14"/>
                <w:b w:val="1"/>
                <w:bCs w:val="1"/>
                <w:color w:val="auto"/>
              </w:rPr>
              <w:t>Automotive</w:t>
            </w: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Heartland Automotive Holdings, LLC</w:t>
            </w:r>
            <w:r>
              <w:rPr>
                <w:rFonts w:ascii="Arial" w:cs="Arial" w:eastAsia="Arial" w:hAnsi="Arial"/>
                <w:sz w:val="15"/>
                <w:szCs w:val="15"/>
                <w:color w:val="auto"/>
                <w:vertAlign w:val="superscript"/>
              </w:rPr>
              <w:t>(3)(5)</w:t>
            </w:r>
          </w:p>
        </w:tc>
        <w:tc>
          <w:tcPr>
            <w:tcW w:w="3160" w:type="dxa"/>
            <w:vAlign w:val="bottom"/>
            <w:gridSpan w:val="3"/>
            <w:shd w:val="clear" w:color="auto" w:fill="CCEEFF"/>
          </w:tcPr>
          <w:p>
            <w:pPr>
              <w:ind w:left="980"/>
              <w:spacing w:after="0" w:line="138" w:lineRule="exact"/>
              <w:rPr>
                <w:sz w:val="20"/>
                <w:szCs w:val="20"/>
                <w:color w:val="auto"/>
              </w:rPr>
            </w:pPr>
            <w:r>
              <w:rPr>
                <w:rFonts w:ascii="Arial" w:cs="Arial" w:eastAsia="Arial" w:hAnsi="Arial"/>
                <w:sz w:val="14"/>
                <w:szCs w:val="14"/>
                <w:color w:val="auto"/>
              </w:rPr>
              <w:t>First-lien loan ($37,472 par, due</w:t>
            </w: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960" w:type="dxa"/>
            <w:vAlign w:val="bottom"/>
            <w:gridSpan w:val="2"/>
            <w:shd w:val="clear" w:color="auto" w:fill="CCEEFF"/>
          </w:tcPr>
          <w:p>
            <w:pPr>
              <w:ind w:left="980"/>
              <w:spacing w:after="0" w:line="159" w:lineRule="exact"/>
              <w:rPr>
                <w:sz w:val="20"/>
                <w:szCs w:val="20"/>
                <w:color w:val="auto"/>
              </w:rPr>
            </w:pPr>
            <w:r>
              <w:rPr>
                <w:rFonts w:ascii="Arial" w:cs="Arial" w:eastAsia="Arial" w:hAnsi="Arial"/>
                <w:sz w:val="14"/>
                <w:szCs w:val="14"/>
                <w:color w:val="auto"/>
              </w:rPr>
              <w:t>6/2017)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9.00%</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8/28/2012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36,682</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36,723</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38"/>
        </w:trPr>
        <w:tc>
          <w:tcPr>
            <w:tcW w:w="6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3160" w:type="dxa"/>
            <w:vAlign w:val="bottom"/>
            <w:gridSpan w:val="3"/>
          </w:tcPr>
          <w:p>
            <w:pPr>
              <w:ind w:left="980"/>
              <w:spacing w:after="0" w:line="138" w:lineRule="exact"/>
              <w:rPr>
                <w:sz w:val="20"/>
                <w:szCs w:val="20"/>
                <w:color w:val="auto"/>
              </w:rPr>
            </w:pPr>
            <w:r>
              <w:rPr>
                <w:rFonts w:ascii="Arial" w:cs="Arial" w:eastAsia="Arial" w:hAnsi="Arial"/>
                <w:sz w:val="14"/>
                <w:szCs w:val="14"/>
                <w:color w:val="auto"/>
              </w:rPr>
              <w:t>First-lien revolving loan ($2,778</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3160" w:type="dxa"/>
            <w:vAlign w:val="bottom"/>
            <w:gridSpan w:val="3"/>
          </w:tcPr>
          <w:p>
            <w:pPr>
              <w:ind w:left="980"/>
              <w:spacing w:after="0" w:line="159" w:lineRule="exact"/>
              <w:rPr>
                <w:sz w:val="20"/>
                <w:szCs w:val="20"/>
                <w:color w:val="auto"/>
              </w:rPr>
            </w:pPr>
            <w:r>
              <w:rPr>
                <w:rFonts w:ascii="Arial" w:cs="Arial" w:eastAsia="Arial" w:hAnsi="Arial"/>
                <w:sz w:val="14"/>
                <w:szCs w:val="14"/>
                <w:color w:val="auto"/>
              </w:rPr>
              <w:t>par, due 6/2017)</w:t>
            </w:r>
          </w:p>
        </w:tc>
        <w:tc>
          <w:tcPr>
            <w:tcW w:w="7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10.00%</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8/28/2012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2,659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2,667</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8"/>
        </w:trPr>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Sage Automotive Interiors, Inc.</w:t>
            </w:r>
            <w:r>
              <w:rPr>
                <w:rFonts w:ascii="Arial" w:cs="Arial" w:eastAsia="Arial" w:hAnsi="Arial"/>
                <w:sz w:val="15"/>
                <w:szCs w:val="15"/>
                <w:color w:val="auto"/>
                <w:vertAlign w:val="superscript"/>
              </w:rPr>
              <w:t>(3)(4)(5)</w:t>
            </w:r>
          </w:p>
        </w:tc>
        <w:tc>
          <w:tcPr>
            <w:tcW w:w="3160" w:type="dxa"/>
            <w:vAlign w:val="bottom"/>
            <w:gridSpan w:val="3"/>
            <w:shd w:val="clear" w:color="auto" w:fill="CCEEFF"/>
          </w:tcPr>
          <w:p>
            <w:pPr>
              <w:ind w:left="980"/>
              <w:spacing w:after="0" w:line="138" w:lineRule="exact"/>
              <w:rPr>
                <w:sz w:val="20"/>
                <w:szCs w:val="20"/>
                <w:color w:val="auto"/>
              </w:rPr>
            </w:pPr>
            <w:r>
              <w:rPr>
                <w:rFonts w:ascii="Arial" w:cs="Arial" w:eastAsia="Arial" w:hAnsi="Arial"/>
                <w:sz w:val="14"/>
                <w:szCs w:val="14"/>
                <w:color w:val="auto"/>
              </w:rPr>
              <w:t>First-lien loan ($21,775 par, due</w:t>
            </w: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960" w:type="dxa"/>
            <w:vAlign w:val="bottom"/>
            <w:gridSpan w:val="2"/>
            <w:shd w:val="clear" w:color="auto" w:fill="CCEEFF"/>
          </w:tcPr>
          <w:p>
            <w:pPr>
              <w:ind w:left="980"/>
              <w:spacing w:after="0" w:line="159" w:lineRule="exact"/>
              <w:rPr>
                <w:sz w:val="20"/>
                <w:szCs w:val="20"/>
                <w:color w:val="auto"/>
              </w:rPr>
            </w:pPr>
            <w:r>
              <w:rPr>
                <w:rFonts w:ascii="Arial" w:cs="Arial" w:eastAsia="Arial" w:hAnsi="Arial"/>
                <w:sz w:val="14"/>
                <w:szCs w:val="14"/>
                <w:color w:val="auto"/>
              </w:rPr>
              <w:t>12/2016)</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8.50%</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1"/>
              </w:rPr>
              <w:t>12/31/2012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21,541</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21,666</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60,882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61,056</w:t>
            </w:r>
          </w:p>
        </w:tc>
        <w:tc>
          <w:tcPr>
            <w:tcW w:w="240" w:type="dxa"/>
            <w:vAlign w:val="bottom"/>
          </w:tcPr>
          <w:p>
            <w:pPr>
              <w:spacing w:after="0"/>
              <w:rPr>
                <w:sz w:val="14"/>
                <w:szCs w:val="14"/>
                <w:color w:val="auto"/>
              </w:rPr>
            </w:pPr>
          </w:p>
        </w:tc>
        <w:tc>
          <w:tcPr>
            <w:tcW w:w="9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62"/>
        </w:trPr>
        <w:tc>
          <w:tcPr>
            <w:tcW w:w="620" w:type="dxa"/>
            <w:vAlign w:val="bottom"/>
            <w:shd w:val="clear" w:color="auto" w:fill="CCEEFF"/>
          </w:tcPr>
          <w:p>
            <w:pPr>
              <w:spacing w:after="0"/>
              <w:rPr>
                <w:sz w:val="14"/>
                <w:szCs w:val="14"/>
                <w:color w:val="auto"/>
              </w:rPr>
            </w:pPr>
          </w:p>
        </w:tc>
        <w:tc>
          <w:tcPr>
            <w:tcW w:w="322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Beverage, food and tobacco</w:t>
            </w:r>
          </w:p>
        </w:tc>
        <w:tc>
          <w:tcPr>
            <w:tcW w:w="98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40" w:type="dxa"/>
            <w:vAlign w:val="bottom"/>
            <w:gridSpan w:val="2"/>
          </w:tcPr>
          <w:p>
            <w:pPr>
              <w:spacing w:after="0" w:line="138" w:lineRule="exact"/>
              <w:rPr>
                <w:sz w:val="20"/>
                <w:szCs w:val="20"/>
                <w:color w:val="auto"/>
              </w:rPr>
            </w:pPr>
            <w:r>
              <w:rPr>
                <w:rFonts w:ascii="Arial" w:cs="Arial" w:eastAsia="Arial" w:hAnsi="Arial"/>
                <w:sz w:val="10"/>
                <w:szCs w:val="10"/>
                <w:color w:val="auto"/>
              </w:rPr>
              <w:t>AFS Technologies, Inc.</w:t>
            </w:r>
            <w:r>
              <w:rPr>
                <w:rFonts w:ascii="Arial" w:cs="Arial" w:eastAsia="Arial" w:hAnsi="Arial"/>
                <w:sz w:val="15"/>
                <w:szCs w:val="15"/>
                <w:color w:val="auto"/>
                <w:vertAlign w:val="superscript"/>
              </w:rPr>
              <w:t>(3)(4)(5)</w:t>
            </w:r>
          </w:p>
        </w:tc>
        <w:tc>
          <w:tcPr>
            <w:tcW w:w="3160" w:type="dxa"/>
            <w:vAlign w:val="bottom"/>
            <w:gridSpan w:val="3"/>
          </w:tcPr>
          <w:p>
            <w:pPr>
              <w:ind w:left="980"/>
              <w:spacing w:after="0" w:line="138" w:lineRule="exact"/>
              <w:rPr>
                <w:sz w:val="20"/>
                <w:szCs w:val="20"/>
                <w:color w:val="auto"/>
              </w:rPr>
            </w:pPr>
            <w:r>
              <w:rPr>
                <w:rFonts w:ascii="Arial" w:cs="Arial" w:eastAsia="Arial" w:hAnsi="Arial"/>
                <w:sz w:val="14"/>
                <w:szCs w:val="14"/>
                <w:color w:val="auto"/>
              </w:rPr>
              <w:t>First-lien loan ($45,017 par, due</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960" w:type="dxa"/>
            <w:vAlign w:val="bottom"/>
            <w:gridSpan w:val="2"/>
          </w:tcPr>
          <w:p>
            <w:pPr>
              <w:ind w:left="980"/>
              <w:spacing w:after="0" w:line="159" w:lineRule="exact"/>
              <w:rPr>
                <w:sz w:val="20"/>
                <w:szCs w:val="20"/>
                <w:color w:val="auto"/>
              </w:rPr>
            </w:pPr>
            <w:r>
              <w:rPr>
                <w:rFonts w:ascii="Arial" w:cs="Arial" w:eastAsia="Arial" w:hAnsi="Arial"/>
                <w:sz w:val="14"/>
                <w:szCs w:val="14"/>
                <w:color w:val="auto"/>
              </w:rPr>
              <w:t>8/2015)</w:t>
            </w:r>
          </w:p>
        </w:tc>
        <w:tc>
          <w:tcPr>
            <w:tcW w:w="200" w:type="dxa"/>
            <w:vAlign w:val="bottom"/>
          </w:tcPr>
          <w:p>
            <w:pPr>
              <w:spacing w:after="0"/>
              <w:rPr>
                <w:sz w:val="13"/>
                <w:szCs w:val="13"/>
                <w:color w:val="auto"/>
              </w:rPr>
            </w:pPr>
          </w:p>
        </w:tc>
        <w:tc>
          <w:tcPr>
            <w:tcW w:w="7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7.75%</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8/31/2011</w:t>
            </w:r>
          </w:p>
        </w:tc>
        <w:tc>
          <w:tcPr>
            <w:tcW w:w="2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44,375</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45,692</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62"/>
        </w:trPr>
        <w:tc>
          <w:tcPr>
            <w:tcW w:w="620" w:type="dxa"/>
            <w:vAlign w:val="bottom"/>
            <w:shd w:val="clear" w:color="auto" w:fill="CCEEFF"/>
          </w:tcPr>
          <w:p>
            <w:pPr>
              <w:spacing w:after="0"/>
              <w:rPr>
                <w:sz w:val="14"/>
                <w:szCs w:val="14"/>
                <w:color w:val="auto"/>
              </w:rPr>
            </w:pPr>
          </w:p>
        </w:tc>
        <w:tc>
          <w:tcPr>
            <w:tcW w:w="322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Business services</w:t>
            </w:r>
          </w:p>
        </w:tc>
        <w:tc>
          <w:tcPr>
            <w:tcW w:w="98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40" w:type="dxa"/>
            <w:vAlign w:val="bottom"/>
            <w:gridSpan w:val="2"/>
          </w:tcPr>
          <w:p>
            <w:pPr>
              <w:spacing w:after="0" w:line="138" w:lineRule="exact"/>
              <w:rPr>
                <w:sz w:val="20"/>
                <w:szCs w:val="20"/>
                <w:color w:val="auto"/>
              </w:rPr>
            </w:pPr>
            <w:r>
              <w:rPr>
                <w:rFonts w:ascii="Arial" w:cs="Arial" w:eastAsia="Arial" w:hAnsi="Arial"/>
                <w:sz w:val="10"/>
                <w:szCs w:val="10"/>
                <w:color w:val="auto"/>
              </w:rPr>
              <w:t>Actian Corporation</w:t>
            </w:r>
            <w:r>
              <w:rPr>
                <w:rFonts w:ascii="Arial" w:cs="Arial" w:eastAsia="Arial" w:hAnsi="Arial"/>
                <w:sz w:val="15"/>
                <w:szCs w:val="15"/>
                <w:color w:val="auto"/>
                <w:vertAlign w:val="superscript"/>
              </w:rPr>
              <w:t>(3)(4)(5)</w:t>
            </w:r>
          </w:p>
        </w:tc>
        <w:tc>
          <w:tcPr>
            <w:tcW w:w="3160" w:type="dxa"/>
            <w:vAlign w:val="bottom"/>
            <w:gridSpan w:val="3"/>
          </w:tcPr>
          <w:p>
            <w:pPr>
              <w:ind w:left="980"/>
              <w:spacing w:after="0" w:line="138" w:lineRule="exact"/>
              <w:rPr>
                <w:sz w:val="20"/>
                <w:szCs w:val="20"/>
                <w:color w:val="auto"/>
              </w:rPr>
            </w:pPr>
            <w:r>
              <w:rPr>
                <w:rFonts w:ascii="Arial" w:cs="Arial" w:eastAsia="Arial" w:hAnsi="Arial"/>
                <w:sz w:val="14"/>
                <w:szCs w:val="14"/>
                <w:color w:val="auto"/>
              </w:rPr>
              <w:t>First-lien loan ($68,933 par, due</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960" w:type="dxa"/>
            <w:vAlign w:val="bottom"/>
            <w:gridSpan w:val="2"/>
          </w:tcPr>
          <w:p>
            <w:pPr>
              <w:ind w:left="980"/>
              <w:spacing w:after="0" w:line="159" w:lineRule="exact"/>
              <w:rPr>
                <w:sz w:val="20"/>
                <w:szCs w:val="20"/>
                <w:color w:val="auto"/>
              </w:rPr>
            </w:pPr>
            <w:r>
              <w:rPr>
                <w:rFonts w:ascii="Arial" w:cs="Arial" w:eastAsia="Arial" w:hAnsi="Arial"/>
                <w:sz w:val="14"/>
                <w:szCs w:val="14"/>
                <w:color w:val="auto"/>
              </w:rPr>
              <w:t>4/2018)</w:t>
            </w:r>
          </w:p>
        </w:tc>
        <w:tc>
          <w:tcPr>
            <w:tcW w:w="200" w:type="dxa"/>
            <w:vAlign w:val="bottom"/>
          </w:tcPr>
          <w:p>
            <w:pPr>
              <w:spacing w:after="0"/>
              <w:rPr>
                <w:sz w:val="13"/>
                <w:szCs w:val="13"/>
                <w:color w:val="auto"/>
              </w:rPr>
            </w:pPr>
          </w:p>
        </w:tc>
        <w:tc>
          <w:tcPr>
            <w:tcW w:w="7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8.50%</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4/11/2013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66,633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66,865</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38"/>
        </w:trPr>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Consona Holdings, Inc.</w:t>
            </w:r>
            <w:r>
              <w:rPr>
                <w:rFonts w:ascii="Arial" w:cs="Arial" w:eastAsia="Arial" w:hAnsi="Arial"/>
                <w:sz w:val="15"/>
                <w:szCs w:val="15"/>
                <w:color w:val="auto"/>
                <w:vertAlign w:val="superscript"/>
              </w:rPr>
              <w:t>(3)(5)</w:t>
            </w:r>
          </w:p>
        </w:tc>
        <w:tc>
          <w:tcPr>
            <w:tcW w:w="3160" w:type="dxa"/>
            <w:vAlign w:val="bottom"/>
            <w:gridSpan w:val="3"/>
            <w:shd w:val="clear" w:color="auto" w:fill="CCEEFF"/>
          </w:tcPr>
          <w:p>
            <w:pPr>
              <w:ind w:left="980"/>
              <w:spacing w:after="0" w:line="138" w:lineRule="exact"/>
              <w:rPr>
                <w:sz w:val="20"/>
                <w:szCs w:val="20"/>
                <w:color w:val="auto"/>
              </w:rPr>
            </w:pPr>
            <w:r>
              <w:rPr>
                <w:rFonts w:ascii="Arial" w:cs="Arial" w:eastAsia="Arial" w:hAnsi="Arial"/>
                <w:sz w:val="14"/>
                <w:szCs w:val="14"/>
                <w:color w:val="auto"/>
              </w:rPr>
              <w:t>First-lien loan ($29,700 par, due</w:t>
            </w: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960" w:type="dxa"/>
            <w:vAlign w:val="bottom"/>
            <w:gridSpan w:val="2"/>
            <w:shd w:val="clear" w:color="auto" w:fill="CCEEFF"/>
          </w:tcPr>
          <w:p>
            <w:pPr>
              <w:ind w:left="980"/>
              <w:spacing w:after="0" w:line="159" w:lineRule="exact"/>
              <w:rPr>
                <w:sz w:val="20"/>
                <w:szCs w:val="20"/>
                <w:color w:val="auto"/>
              </w:rPr>
            </w:pPr>
            <w:r>
              <w:rPr>
                <w:rFonts w:ascii="Arial" w:cs="Arial" w:eastAsia="Arial" w:hAnsi="Arial"/>
                <w:sz w:val="14"/>
                <w:szCs w:val="14"/>
                <w:color w:val="auto"/>
              </w:rPr>
              <w:t>8/2018)</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7.25%</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8/13/2012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29,337</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29,403</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38"/>
        </w:trPr>
        <w:tc>
          <w:tcPr>
            <w:tcW w:w="3840" w:type="dxa"/>
            <w:vAlign w:val="bottom"/>
            <w:gridSpan w:val="2"/>
          </w:tcPr>
          <w:p>
            <w:pPr>
              <w:spacing w:after="0" w:line="138" w:lineRule="exact"/>
              <w:rPr>
                <w:sz w:val="20"/>
                <w:szCs w:val="20"/>
                <w:color w:val="auto"/>
              </w:rPr>
            </w:pPr>
            <w:r>
              <w:rPr>
                <w:rFonts w:ascii="Arial" w:cs="Arial" w:eastAsia="Arial" w:hAnsi="Arial"/>
                <w:sz w:val="10"/>
                <w:szCs w:val="10"/>
                <w:color w:val="auto"/>
              </w:rPr>
              <w:t>Network Merchants, Inc</w:t>
            </w:r>
            <w:r>
              <w:rPr>
                <w:rFonts w:ascii="Arial" w:cs="Arial" w:eastAsia="Arial" w:hAnsi="Arial"/>
                <w:sz w:val="15"/>
                <w:szCs w:val="15"/>
                <w:color w:val="auto"/>
                <w:vertAlign w:val="superscript"/>
              </w:rPr>
              <w:t>(3)</w:t>
            </w:r>
          </w:p>
        </w:tc>
        <w:tc>
          <w:tcPr>
            <w:tcW w:w="3160" w:type="dxa"/>
            <w:vAlign w:val="bottom"/>
            <w:gridSpan w:val="3"/>
          </w:tcPr>
          <w:p>
            <w:pPr>
              <w:ind w:left="980"/>
              <w:spacing w:after="0" w:line="138" w:lineRule="exact"/>
              <w:rPr>
                <w:sz w:val="20"/>
                <w:szCs w:val="20"/>
                <w:color w:val="auto"/>
              </w:rPr>
            </w:pPr>
            <w:r>
              <w:rPr>
                <w:rFonts w:ascii="Arial" w:cs="Arial" w:eastAsia="Arial" w:hAnsi="Arial"/>
                <w:sz w:val="14"/>
                <w:szCs w:val="14"/>
                <w:color w:val="auto"/>
              </w:rPr>
              <w:t>First-lien loan ($29,659 par, due</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960" w:type="dxa"/>
            <w:vAlign w:val="bottom"/>
            <w:gridSpan w:val="2"/>
          </w:tcPr>
          <w:p>
            <w:pPr>
              <w:ind w:left="980"/>
              <w:spacing w:after="0" w:line="159" w:lineRule="exact"/>
              <w:rPr>
                <w:sz w:val="20"/>
                <w:szCs w:val="20"/>
                <w:color w:val="auto"/>
              </w:rPr>
            </w:pPr>
            <w:r>
              <w:rPr>
                <w:rFonts w:ascii="Arial" w:cs="Arial" w:eastAsia="Arial" w:hAnsi="Arial"/>
                <w:sz w:val="14"/>
                <w:szCs w:val="14"/>
                <w:color w:val="auto"/>
              </w:rPr>
              <w:t>9/2018)</w:t>
            </w:r>
          </w:p>
        </w:tc>
        <w:tc>
          <w:tcPr>
            <w:tcW w:w="200" w:type="dxa"/>
            <w:vAlign w:val="bottom"/>
          </w:tcPr>
          <w:p>
            <w:pPr>
              <w:spacing w:after="0"/>
              <w:rPr>
                <w:sz w:val="13"/>
                <w:szCs w:val="13"/>
                <w:color w:val="auto"/>
              </w:rPr>
            </w:pPr>
          </w:p>
        </w:tc>
        <w:tc>
          <w:tcPr>
            <w:tcW w:w="7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8.75%</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9/12/2013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29,055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29,050</w:t>
            </w:r>
          </w:p>
        </w:tc>
        <w:tc>
          <w:tcPr>
            <w:tcW w:w="240" w:type="dxa"/>
            <w:vAlign w:val="bottom"/>
          </w:tcPr>
          <w:p>
            <w:pPr>
              <w:spacing w:after="0"/>
              <w:rPr>
                <w:sz w:val="13"/>
                <w:szCs w:val="13"/>
                <w:color w:val="auto"/>
              </w:rPr>
            </w:pP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125,025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125,318</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20" w:type="dxa"/>
            <w:vAlign w:val="bottom"/>
          </w:tcPr>
          <w:p>
            <w:pPr>
              <w:ind w:left="380"/>
              <w:spacing w:after="0"/>
              <w:rPr>
                <w:sz w:val="20"/>
                <w:szCs w:val="20"/>
                <w:color w:val="auto"/>
              </w:rPr>
            </w:pPr>
            <w:r>
              <w:rPr>
                <w:rFonts w:ascii="Arial" w:cs="Arial" w:eastAsia="Arial" w:hAnsi="Arial"/>
                <w:sz w:val="14"/>
                <w:szCs w:val="14"/>
                <w:b w:val="1"/>
                <w:bCs w:val="1"/>
                <w:color w:val="auto"/>
              </w:rPr>
              <w:t>Construction and building</w:t>
            </w: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Mannington Mills, Inc.</w:t>
            </w:r>
            <w:r>
              <w:rPr>
                <w:rFonts w:ascii="Arial" w:cs="Arial" w:eastAsia="Arial" w:hAnsi="Arial"/>
                <w:sz w:val="16"/>
                <w:szCs w:val="16"/>
                <w:color w:val="auto"/>
                <w:vertAlign w:val="superscript"/>
              </w:rPr>
              <w:t>(3)(5)</w:t>
            </w:r>
          </w:p>
        </w:tc>
        <w:tc>
          <w:tcPr>
            <w:tcW w:w="3160" w:type="dxa"/>
            <w:vAlign w:val="bottom"/>
            <w:gridSpan w:val="3"/>
            <w:shd w:val="clear" w:color="auto" w:fill="CCEEFF"/>
          </w:tcPr>
          <w:p>
            <w:pPr>
              <w:ind w:left="980"/>
              <w:spacing w:after="0" w:line="139" w:lineRule="exact"/>
              <w:rPr>
                <w:sz w:val="20"/>
                <w:szCs w:val="20"/>
                <w:color w:val="auto"/>
              </w:rPr>
            </w:pPr>
            <w:r>
              <w:rPr>
                <w:rFonts w:ascii="Arial" w:cs="Arial" w:eastAsia="Arial" w:hAnsi="Arial"/>
                <w:sz w:val="14"/>
                <w:szCs w:val="14"/>
                <w:color w:val="auto"/>
                <w:w w:val="98"/>
              </w:rPr>
              <w:t>Second-lien loan ($47,488 par, due</w:t>
            </w:r>
          </w:p>
        </w:tc>
        <w:tc>
          <w:tcPr>
            <w:tcW w:w="78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4"/>
                <w:szCs w:val="14"/>
                <w:color w:val="auto"/>
              </w:rPr>
              <w:t>14.00%</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ind w:left="980"/>
              <w:spacing w:after="0" w:line="149" w:lineRule="exact"/>
              <w:rPr>
                <w:sz w:val="20"/>
                <w:szCs w:val="20"/>
                <w:color w:val="auto"/>
              </w:rPr>
            </w:pPr>
            <w:r>
              <w:rPr>
                <w:rFonts w:ascii="Arial" w:cs="Arial" w:eastAsia="Arial" w:hAnsi="Arial"/>
                <w:sz w:val="14"/>
                <w:szCs w:val="14"/>
                <w:color w:val="auto"/>
              </w:rPr>
              <w:t>3/2017)</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(incl.</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PIK)</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3/2/2012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46,543</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52,238</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3220" w:type="dxa"/>
            <w:vAlign w:val="bottom"/>
          </w:tcPr>
          <w:p>
            <w:pPr>
              <w:ind w:left="380"/>
              <w:spacing w:after="0"/>
              <w:rPr>
                <w:sz w:val="20"/>
                <w:szCs w:val="20"/>
                <w:color w:val="auto"/>
              </w:rPr>
            </w:pPr>
            <w:r>
              <w:rPr>
                <w:rFonts w:ascii="Arial" w:cs="Arial" w:eastAsia="Arial" w:hAnsi="Arial"/>
                <w:sz w:val="14"/>
                <w:szCs w:val="14"/>
                <w:b w:val="1"/>
                <w:bCs w:val="1"/>
                <w:color w:val="auto"/>
              </w:rPr>
              <w:t>Containers and packaging</w:t>
            </w: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The Newark Group, Inc.</w:t>
            </w:r>
            <w:r>
              <w:rPr>
                <w:rFonts w:ascii="Arial" w:cs="Arial" w:eastAsia="Arial" w:hAnsi="Arial"/>
                <w:sz w:val="15"/>
                <w:szCs w:val="15"/>
                <w:color w:val="auto"/>
                <w:vertAlign w:val="superscript"/>
              </w:rPr>
              <w:t>(3)(5)</w:t>
            </w:r>
          </w:p>
        </w:tc>
        <w:tc>
          <w:tcPr>
            <w:tcW w:w="3160" w:type="dxa"/>
            <w:vAlign w:val="bottom"/>
            <w:gridSpan w:val="3"/>
            <w:shd w:val="clear" w:color="auto" w:fill="CCEEFF"/>
          </w:tcPr>
          <w:p>
            <w:pPr>
              <w:ind w:left="980"/>
              <w:spacing w:after="0" w:line="138" w:lineRule="exact"/>
              <w:rPr>
                <w:sz w:val="20"/>
                <w:szCs w:val="20"/>
                <w:color w:val="auto"/>
              </w:rPr>
            </w:pPr>
            <w:r>
              <w:rPr>
                <w:rFonts w:ascii="Arial" w:cs="Arial" w:eastAsia="Arial" w:hAnsi="Arial"/>
                <w:sz w:val="14"/>
                <w:szCs w:val="14"/>
                <w:color w:val="auto"/>
              </w:rPr>
              <w:t>First-lien loan ($47,040 par, due</w:t>
            </w: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960" w:type="dxa"/>
            <w:vAlign w:val="bottom"/>
            <w:gridSpan w:val="2"/>
            <w:shd w:val="clear" w:color="auto" w:fill="CCEEFF"/>
          </w:tcPr>
          <w:p>
            <w:pPr>
              <w:ind w:left="980"/>
              <w:spacing w:after="0" w:line="159" w:lineRule="exact"/>
              <w:rPr>
                <w:sz w:val="20"/>
                <w:szCs w:val="20"/>
                <w:color w:val="auto"/>
              </w:rPr>
            </w:pPr>
            <w:r>
              <w:rPr>
                <w:rFonts w:ascii="Arial" w:cs="Arial" w:eastAsia="Arial" w:hAnsi="Arial"/>
                <w:sz w:val="14"/>
                <w:szCs w:val="14"/>
                <w:color w:val="auto"/>
              </w:rPr>
              <w:t>2/2018)</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8.50%</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2/8/2013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46,619</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47,510</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3220" w:type="dxa"/>
            <w:vAlign w:val="bottom"/>
          </w:tcPr>
          <w:p>
            <w:pPr>
              <w:ind w:left="380"/>
              <w:spacing w:after="0"/>
              <w:rPr>
                <w:sz w:val="20"/>
                <w:szCs w:val="20"/>
                <w:color w:val="auto"/>
              </w:rPr>
            </w:pPr>
            <w:r>
              <w:rPr>
                <w:rFonts w:ascii="Arial" w:cs="Arial" w:eastAsia="Arial" w:hAnsi="Arial"/>
                <w:sz w:val="14"/>
                <w:szCs w:val="14"/>
                <w:b w:val="1"/>
                <w:bCs w:val="1"/>
                <w:color w:val="auto"/>
              </w:rPr>
              <w:t>Education</w:t>
            </w: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Campus Management, Inc.</w:t>
            </w:r>
            <w:r>
              <w:rPr>
                <w:rFonts w:ascii="Arial" w:cs="Arial" w:eastAsia="Arial" w:hAnsi="Arial"/>
                <w:sz w:val="15"/>
                <w:szCs w:val="15"/>
                <w:color w:val="auto"/>
                <w:vertAlign w:val="superscript"/>
              </w:rPr>
              <w:t>(3)(4)</w:t>
            </w:r>
          </w:p>
        </w:tc>
        <w:tc>
          <w:tcPr>
            <w:tcW w:w="3160" w:type="dxa"/>
            <w:vAlign w:val="bottom"/>
            <w:gridSpan w:val="3"/>
            <w:shd w:val="clear" w:color="auto" w:fill="CCEEFF"/>
          </w:tcPr>
          <w:p>
            <w:pPr>
              <w:ind w:left="980"/>
              <w:spacing w:after="0" w:line="138" w:lineRule="exact"/>
              <w:rPr>
                <w:sz w:val="20"/>
                <w:szCs w:val="20"/>
                <w:color w:val="auto"/>
              </w:rPr>
            </w:pPr>
            <w:r>
              <w:rPr>
                <w:rFonts w:ascii="Arial" w:cs="Arial" w:eastAsia="Arial" w:hAnsi="Arial"/>
                <w:sz w:val="14"/>
                <w:szCs w:val="14"/>
                <w:color w:val="auto"/>
              </w:rPr>
              <w:t>First-lien loan ($30,000 par, due</w:t>
            </w: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960" w:type="dxa"/>
            <w:vAlign w:val="bottom"/>
            <w:gridSpan w:val="2"/>
            <w:shd w:val="clear" w:color="auto" w:fill="CCEEFF"/>
          </w:tcPr>
          <w:p>
            <w:pPr>
              <w:ind w:left="980"/>
              <w:spacing w:after="0" w:line="159" w:lineRule="exact"/>
              <w:rPr>
                <w:sz w:val="20"/>
                <w:szCs w:val="20"/>
                <w:color w:val="auto"/>
              </w:rPr>
            </w:pPr>
            <w:r>
              <w:rPr>
                <w:rFonts w:ascii="Arial" w:cs="Arial" w:eastAsia="Arial" w:hAnsi="Arial"/>
                <w:sz w:val="14"/>
                <w:szCs w:val="14"/>
                <w:color w:val="auto"/>
              </w:rPr>
              <w:t>9/2018)</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8.75%</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9/30/2013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29,250</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29,250</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3220" w:type="dxa"/>
            <w:vAlign w:val="bottom"/>
          </w:tcPr>
          <w:p>
            <w:pPr>
              <w:ind w:left="380"/>
              <w:spacing w:after="0"/>
              <w:rPr>
                <w:sz w:val="20"/>
                <w:szCs w:val="20"/>
                <w:color w:val="auto"/>
              </w:rPr>
            </w:pPr>
            <w:r>
              <w:rPr>
                <w:rFonts w:ascii="Arial" w:cs="Arial" w:eastAsia="Arial" w:hAnsi="Arial"/>
                <w:sz w:val="14"/>
                <w:szCs w:val="14"/>
                <w:b w:val="1"/>
                <w:bCs w:val="1"/>
                <w:color w:val="auto"/>
              </w:rPr>
              <w:t>Financial services</w:t>
            </w: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Embarcadero Technologies, Inc.</w:t>
            </w:r>
            <w:r>
              <w:rPr>
                <w:rFonts w:ascii="Arial" w:cs="Arial" w:eastAsia="Arial" w:hAnsi="Arial"/>
                <w:sz w:val="15"/>
                <w:szCs w:val="15"/>
                <w:color w:val="auto"/>
                <w:vertAlign w:val="superscript"/>
              </w:rPr>
              <w:t>(3)(4)(5)</w:t>
            </w:r>
          </w:p>
        </w:tc>
        <w:tc>
          <w:tcPr>
            <w:tcW w:w="3160" w:type="dxa"/>
            <w:vAlign w:val="bottom"/>
            <w:gridSpan w:val="3"/>
            <w:shd w:val="clear" w:color="auto" w:fill="CCEEFF"/>
          </w:tcPr>
          <w:p>
            <w:pPr>
              <w:ind w:left="980"/>
              <w:spacing w:after="0" w:line="138" w:lineRule="exact"/>
              <w:rPr>
                <w:sz w:val="20"/>
                <w:szCs w:val="20"/>
                <w:color w:val="auto"/>
              </w:rPr>
            </w:pPr>
            <w:r>
              <w:rPr>
                <w:rFonts w:ascii="Arial" w:cs="Arial" w:eastAsia="Arial" w:hAnsi="Arial"/>
                <w:sz w:val="14"/>
                <w:szCs w:val="14"/>
                <w:color w:val="auto"/>
              </w:rPr>
              <w:t>First-lien loan ($43,596 par, due</w:t>
            </w: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960" w:type="dxa"/>
            <w:vAlign w:val="bottom"/>
            <w:gridSpan w:val="2"/>
            <w:shd w:val="clear" w:color="auto" w:fill="CCEEFF"/>
          </w:tcPr>
          <w:p>
            <w:pPr>
              <w:ind w:left="980"/>
              <w:spacing w:after="0" w:line="159" w:lineRule="exact"/>
              <w:rPr>
                <w:sz w:val="20"/>
                <w:szCs w:val="20"/>
                <w:color w:val="auto"/>
              </w:rPr>
            </w:pPr>
            <w:r>
              <w:rPr>
                <w:rFonts w:ascii="Arial" w:cs="Arial" w:eastAsia="Arial" w:hAnsi="Arial"/>
                <w:sz w:val="14"/>
                <w:szCs w:val="14"/>
                <w:color w:val="auto"/>
              </w:rPr>
              <w:t>12/2017)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8.00%</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1"/>
              </w:rPr>
              <w:t>12/28/2012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42,644</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43,487</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38"/>
        </w:trPr>
        <w:tc>
          <w:tcPr>
            <w:tcW w:w="3840" w:type="dxa"/>
            <w:vAlign w:val="bottom"/>
            <w:gridSpan w:val="2"/>
          </w:tcPr>
          <w:p>
            <w:pPr>
              <w:spacing w:after="0" w:line="138" w:lineRule="exact"/>
              <w:rPr>
                <w:sz w:val="20"/>
                <w:szCs w:val="20"/>
                <w:color w:val="auto"/>
              </w:rPr>
            </w:pPr>
            <w:r>
              <w:rPr>
                <w:rFonts w:ascii="Arial" w:cs="Arial" w:eastAsia="Arial" w:hAnsi="Arial"/>
                <w:sz w:val="10"/>
                <w:szCs w:val="10"/>
                <w:color w:val="auto"/>
              </w:rPr>
              <w:t>Rogue Wave Holdings, Inc.</w:t>
            </w:r>
            <w:r>
              <w:rPr>
                <w:rFonts w:ascii="Arial" w:cs="Arial" w:eastAsia="Arial" w:hAnsi="Arial"/>
                <w:sz w:val="15"/>
                <w:szCs w:val="15"/>
                <w:color w:val="auto"/>
                <w:vertAlign w:val="superscript"/>
              </w:rPr>
              <w:t>(3)(4)(5)</w:t>
            </w:r>
          </w:p>
        </w:tc>
        <w:tc>
          <w:tcPr>
            <w:tcW w:w="3160" w:type="dxa"/>
            <w:vAlign w:val="bottom"/>
            <w:gridSpan w:val="3"/>
          </w:tcPr>
          <w:p>
            <w:pPr>
              <w:ind w:left="980"/>
              <w:spacing w:after="0" w:line="138" w:lineRule="exact"/>
              <w:rPr>
                <w:sz w:val="20"/>
                <w:szCs w:val="20"/>
                <w:color w:val="auto"/>
              </w:rPr>
            </w:pPr>
            <w:r>
              <w:rPr>
                <w:rFonts w:ascii="Arial" w:cs="Arial" w:eastAsia="Arial" w:hAnsi="Arial"/>
                <w:sz w:val="14"/>
                <w:szCs w:val="14"/>
                <w:color w:val="auto"/>
              </w:rPr>
              <w:t>First-lien loan ($45,975 par, due</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960" w:type="dxa"/>
            <w:vAlign w:val="bottom"/>
            <w:gridSpan w:val="2"/>
          </w:tcPr>
          <w:p>
            <w:pPr>
              <w:ind w:left="980"/>
              <w:spacing w:after="0" w:line="159" w:lineRule="exact"/>
              <w:rPr>
                <w:sz w:val="20"/>
                <w:szCs w:val="20"/>
                <w:color w:val="auto"/>
              </w:rPr>
            </w:pPr>
            <w:r>
              <w:rPr>
                <w:rFonts w:ascii="Arial" w:cs="Arial" w:eastAsia="Arial" w:hAnsi="Arial"/>
                <w:sz w:val="14"/>
                <w:szCs w:val="14"/>
                <w:color w:val="auto"/>
              </w:rPr>
              <w:t>11/2017)</w:t>
            </w:r>
          </w:p>
        </w:tc>
        <w:tc>
          <w:tcPr>
            <w:tcW w:w="200" w:type="dxa"/>
            <w:vAlign w:val="bottom"/>
          </w:tcPr>
          <w:p>
            <w:pPr>
              <w:spacing w:after="0"/>
              <w:rPr>
                <w:sz w:val="13"/>
                <w:szCs w:val="13"/>
                <w:color w:val="auto"/>
              </w:rPr>
            </w:pPr>
          </w:p>
        </w:tc>
        <w:tc>
          <w:tcPr>
            <w:tcW w:w="7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8.25%</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1"/>
              </w:rPr>
              <w:t>11/21/2012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44,948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45,745</w:t>
            </w:r>
          </w:p>
        </w:tc>
        <w:tc>
          <w:tcPr>
            <w:tcW w:w="240" w:type="dxa"/>
            <w:vAlign w:val="bottom"/>
          </w:tcPr>
          <w:p>
            <w:pPr>
              <w:spacing w:after="0"/>
              <w:rPr>
                <w:sz w:val="13"/>
                <w:szCs w:val="13"/>
                <w:color w:val="auto"/>
              </w:rPr>
            </w:pP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87,592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89,232</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220" w:type="dxa"/>
            <w:vAlign w:val="bottom"/>
          </w:tcPr>
          <w:p>
            <w:pPr>
              <w:ind w:left="380"/>
              <w:spacing w:after="0"/>
              <w:rPr>
                <w:sz w:val="20"/>
                <w:szCs w:val="20"/>
                <w:color w:val="auto"/>
              </w:rPr>
            </w:pPr>
            <w:r>
              <w:rPr>
                <w:rFonts w:ascii="Arial" w:cs="Arial" w:eastAsia="Arial" w:hAnsi="Arial"/>
                <w:sz w:val="14"/>
                <w:szCs w:val="14"/>
                <w:b w:val="1"/>
                <w:bCs w:val="1"/>
                <w:color w:val="auto"/>
              </w:rPr>
              <w:t>Healthcare and pharmaceuticals</w:t>
            </w: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Intelident Solutions, Inc.</w:t>
            </w:r>
            <w:r>
              <w:rPr>
                <w:rFonts w:ascii="Arial" w:cs="Arial" w:eastAsia="Arial" w:hAnsi="Arial"/>
                <w:sz w:val="16"/>
                <w:szCs w:val="16"/>
                <w:color w:val="auto"/>
                <w:vertAlign w:val="superscript"/>
              </w:rPr>
              <w:t>(3)</w:t>
            </w:r>
          </w:p>
        </w:tc>
        <w:tc>
          <w:tcPr>
            <w:tcW w:w="3160" w:type="dxa"/>
            <w:vAlign w:val="bottom"/>
            <w:gridSpan w:val="3"/>
            <w:shd w:val="clear" w:color="auto" w:fill="CCEEFF"/>
          </w:tcPr>
          <w:p>
            <w:pPr>
              <w:ind w:left="980"/>
              <w:spacing w:after="0" w:line="139" w:lineRule="exact"/>
              <w:rPr>
                <w:sz w:val="20"/>
                <w:szCs w:val="20"/>
                <w:color w:val="auto"/>
              </w:rPr>
            </w:pPr>
            <w:r>
              <w:rPr>
                <w:rFonts w:ascii="Arial" w:cs="Arial" w:eastAsia="Arial" w:hAnsi="Arial"/>
                <w:sz w:val="14"/>
                <w:szCs w:val="14"/>
                <w:color w:val="auto"/>
              </w:rPr>
              <w:t>First-lien loan ($27,555 par, due</w:t>
            </w:r>
          </w:p>
        </w:tc>
        <w:tc>
          <w:tcPr>
            <w:tcW w:w="78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4"/>
                <w:szCs w:val="14"/>
                <w:color w:val="auto"/>
              </w:rPr>
              <w:t>8.00%</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ind w:left="980"/>
              <w:spacing w:after="0" w:line="149" w:lineRule="exact"/>
              <w:rPr>
                <w:sz w:val="20"/>
                <w:szCs w:val="20"/>
                <w:color w:val="auto"/>
              </w:rPr>
            </w:pPr>
            <w:r>
              <w:rPr>
                <w:rFonts w:ascii="Arial" w:cs="Arial" w:eastAsia="Arial" w:hAnsi="Arial"/>
                <w:sz w:val="14"/>
                <w:szCs w:val="14"/>
                <w:color w:val="auto"/>
              </w:rPr>
              <w:t>8/2016)</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(inc.</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PIK)</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6/4/2013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26,848</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26,807</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8"/>
        </w:trPr>
        <w:tc>
          <w:tcPr>
            <w:tcW w:w="6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3160" w:type="dxa"/>
            <w:vAlign w:val="bottom"/>
            <w:gridSpan w:val="3"/>
          </w:tcPr>
          <w:p>
            <w:pPr>
              <w:ind w:left="980"/>
              <w:spacing w:after="0" w:line="138" w:lineRule="exact"/>
              <w:rPr>
                <w:sz w:val="20"/>
                <w:szCs w:val="20"/>
                <w:color w:val="auto"/>
              </w:rPr>
            </w:pPr>
            <w:r>
              <w:rPr>
                <w:rFonts w:ascii="Arial" w:cs="Arial" w:eastAsia="Arial" w:hAnsi="Arial"/>
                <w:sz w:val="14"/>
                <w:szCs w:val="14"/>
                <w:color w:val="auto"/>
              </w:rPr>
              <w:t>First-lien revolving loan ($1,642</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3160" w:type="dxa"/>
            <w:vAlign w:val="bottom"/>
            <w:gridSpan w:val="3"/>
          </w:tcPr>
          <w:p>
            <w:pPr>
              <w:ind w:left="980"/>
              <w:spacing w:after="0" w:line="159" w:lineRule="exact"/>
              <w:rPr>
                <w:sz w:val="20"/>
                <w:szCs w:val="20"/>
                <w:color w:val="auto"/>
              </w:rPr>
            </w:pPr>
            <w:r>
              <w:rPr>
                <w:rFonts w:ascii="Arial" w:cs="Arial" w:eastAsia="Arial" w:hAnsi="Arial"/>
                <w:sz w:val="14"/>
                <w:szCs w:val="14"/>
                <w:color w:val="auto"/>
              </w:rPr>
              <w:t>par, due 8/2016)</w:t>
            </w:r>
          </w:p>
        </w:tc>
        <w:tc>
          <w:tcPr>
            <w:tcW w:w="7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8.00%</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6/4/2013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1,643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1,634</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8"/>
        </w:trPr>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Mediware Information Systems, Inc.</w:t>
            </w:r>
            <w:r>
              <w:rPr>
                <w:rFonts w:ascii="Arial" w:cs="Arial" w:eastAsia="Arial" w:hAnsi="Arial"/>
                <w:sz w:val="15"/>
                <w:szCs w:val="15"/>
                <w:color w:val="auto"/>
                <w:vertAlign w:val="superscript"/>
              </w:rPr>
              <w:t>(3)(4)(5)</w:t>
            </w:r>
          </w:p>
        </w:tc>
        <w:tc>
          <w:tcPr>
            <w:tcW w:w="3160" w:type="dxa"/>
            <w:vAlign w:val="bottom"/>
            <w:gridSpan w:val="3"/>
            <w:shd w:val="clear" w:color="auto" w:fill="CCEEFF"/>
          </w:tcPr>
          <w:p>
            <w:pPr>
              <w:ind w:left="980"/>
              <w:spacing w:after="0" w:line="138" w:lineRule="exact"/>
              <w:rPr>
                <w:sz w:val="20"/>
                <w:szCs w:val="20"/>
                <w:color w:val="auto"/>
              </w:rPr>
            </w:pPr>
            <w:r>
              <w:rPr>
                <w:rFonts w:ascii="Arial" w:cs="Arial" w:eastAsia="Arial" w:hAnsi="Arial"/>
                <w:sz w:val="14"/>
                <w:szCs w:val="14"/>
                <w:color w:val="auto"/>
              </w:rPr>
              <w:t>First-lien loan ($72,092 par, due</w:t>
            </w: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960" w:type="dxa"/>
            <w:vAlign w:val="bottom"/>
            <w:gridSpan w:val="2"/>
            <w:shd w:val="clear" w:color="auto" w:fill="CCEEFF"/>
          </w:tcPr>
          <w:p>
            <w:pPr>
              <w:ind w:left="980"/>
              <w:spacing w:after="0" w:line="159" w:lineRule="exact"/>
              <w:rPr>
                <w:sz w:val="20"/>
                <w:szCs w:val="20"/>
                <w:color w:val="auto"/>
              </w:rPr>
            </w:pPr>
            <w:r>
              <w:rPr>
                <w:rFonts w:ascii="Arial" w:cs="Arial" w:eastAsia="Arial" w:hAnsi="Arial"/>
                <w:sz w:val="14"/>
                <w:szCs w:val="14"/>
                <w:color w:val="auto"/>
              </w:rPr>
              <w:t>5/2018)</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8.00%</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11/9/2012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70,496</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71,371</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38"/>
        </w:trPr>
        <w:tc>
          <w:tcPr>
            <w:tcW w:w="3840" w:type="dxa"/>
            <w:vAlign w:val="bottom"/>
            <w:gridSpan w:val="2"/>
          </w:tcPr>
          <w:p>
            <w:pPr>
              <w:spacing w:after="0" w:line="138" w:lineRule="exact"/>
              <w:rPr>
                <w:sz w:val="20"/>
                <w:szCs w:val="20"/>
                <w:color w:val="auto"/>
              </w:rPr>
            </w:pPr>
            <w:r>
              <w:rPr>
                <w:rFonts w:ascii="Arial" w:cs="Arial" w:eastAsia="Arial" w:hAnsi="Arial"/>
                <w:sz w:val="10"/>
                <w:szCs w:val="10"/>
                <w:color w:val="auto"/>
              </w:rPr>
              <w:t>SRS Software, LLC</w:t>
            </w:r>
            <w:r>
              <w:rPr>
                <w:rFonts w:ascii="Arial" w:cs="Arial" w:eastAsia="Arial" w:hAnsi="Arial"/>
                <w:sz w:val="15"/>
                <w:szCs w:val="15"/>
                <w:color w:val="auto"/>
                <w:vertAlign w:val="superscript"/>
              </w:rPr>
              <w:t>(3)(5)</w:t>
            </w:r>
          </w:p>
        </w:tc>
        <w:tc>
          <w:tcPr>
            <w:tcW w:w="3160" w:type="dxa"/>
            <w:vAlign w:val="bottom"/>
            <w:gridSpan w:val="3"/>
          </w:tcPr>
          <w:p>
            <w:pPr>
              <w:ind w:left="980"/>
              <w:spacing w:after="0" w:line="138" w:lineRule="exact"/>
              <w:rPr>
                <w:sz w:val="20"/>
                <w:szCs w:val="20"/>
                <w:color w:val="auto"/>
              </w:rPr>
            </w:pPr>
            <w:r>
              <w:rPr>
                <w:rFonts w:ascii="Arial" w:cs="Arial" w:eastAsia="Arial" w:hAnsi="Arial"/>
                <w:sz w:val="14"/>
                <w:szCs w:val="14"/>
                <w:color w:val="auto"/>
              </w:rPr>
              <w:t>First-lien loan ($36,094 par, due</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960" w:type="dxa"/>
            <w:vAlign w:val="bottom"/>
            <w:gridSpan w:val="2"/>
          </w:tcPr>
          <w:p>
            <w:pPr>
              <w:ind w:left="980"/>
              <w:spacing w:after="0" w:line="159" w:lineRule="exact"/>
              <w:rPr>
                <w:sz w:val="20"/>
                <w:szCs w:val="20"/>
                <w:color w:val="auto"/>
              </w:rPr>
            </w:pPr>
            <w:r>
              <w:rPr>
                <w:rFonts w:ascii="Arial" w:cs="Arial" w:eastAsia="Arial" w:hAnsi="Arial"/>
                <w:sz w:val="14"/>
                <w:szCs w:val="14"/>
                <w:color w:val="auto"/>
              </w:rPr>
              <w:t>12/2017)</w:t>
            </w:r>
          </w:p>
        </w:tc>
        <w:tc>
          <w:tcPr>
            <w:tcW w:w="200" w:type="dxa"/>
            <w:vAlign w:val="bottom"/>
          </w:tcPr>
          <w:p>
            <w:pPr>
              <w:spacing w:after="0"/>
              <w:rPr>
                <w:sz w:val="13"/>
                <w:szCs w:val="13"/>
                <w:color w:val="auto"/>
              </w:rPr>
            </w:pPr>
          </w:p>
        </w:tc>
        <w:tc>
          <w:tcPr>
            <w:tcW w:w="7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8.75%</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1"/>
              </w:rPr>
              <w:t>12/28/2012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35,196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35,191</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8"/>
        </w:trPr>
        <w:tc>
          <w:tcPr>
            <w:tcW w:w="620" w:type="dxa"/>
            <w:vAlign w:val="bottom"/>
            <w:shd w:val="clear" w:color="auto" w:fill="CCEEFF"/>
          </w:tcPr>
          <w:p>
            <w:pPr>
              <w:spacing w:after="0"/>
              <w:rPr>
                <w:sz w:val="11"/>
                <w:szCs w:val="11"/>
                <w:color w:val="auto"/>
              </w:rPr>
            </w:pPr>
          </w:p>
        </w:tc>
        <w:tc>
          <w:tcPr>
            <w:tcW w:w="3220" w:type="dxa"/>
            <w:vAlign w:val="bottom"/>
            <w:shd w:val="clear" w:color="auto" w:fill="CCEEFF"/>
          </w:tcPr>
          <w:p>
            <w:pPr>
              <w:spacing w:after="0"/>
              <w:rPr>
                <w:sz w:val="11"/>
                <w:szCs w:val="11"/>
                <w:color w:val="auto"/>
              </w:rPr>
            </w:pPr>
          </w:p>
        </w:tc>
        <w:tc>
          <w:tcPr>
            <w:tcW w:w="3160" w:type="dxa"/>
            <w:vAlign w:val="bottom"/>
            <w:gridSpan w:val="3"/>
            <w:shd w:val="clear" w:color="auto" w:fill="CCEEFF"/>
          </w:tcPr>
          <w:p>
            <w:pPr>
              <w:ind w:left="980"/>
              <w:spacing w:after="0" w:line="138" w:lineRule="exact"/>
              <w:rPr>
                <w:sz w:val="20"/>
                <w:szCs w:val="20"/>
                <w:color w:val="auto"/>
              </w:rPr>
            </w:pPr>
            <w:r>
              <w:rPr>
                <w:rFonts w:ascii="Arial" w:cs="Arial" w:eastAsia="Arial" w:hAnsi="Arial"/>
                <w:sz w:val="14"/>
                <w:szCs w:val="14"/>
                <w:color w:val="auto"/>
              </w:rPr>
              <w:t>First-lien revolving loan ($2,000</w:t>
            </w: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3160" w:type="dxa"/>
            <w:vAlign w:val="bottom"/>
            <w:gridSpan w:val="3"/>
            <w:shd w:val="clear" w:color="auto" w:fill="CCEEFF"/>
          </w:tcPr>
          <w:p>
            <w:pPr>
              <w:ind w:left="980"/>
              <w:spacing w:after="0" w:line="159" w:lineRule="exact"/>
              <w:rPr>
                <w:sz w:val="20"/>
                <w:szCs w:val="20"/>
                <w:color w:val="auto"/>
              </w:rPr>
            </w:pPr>
            <w:r>
              <w:rPr>
                <w:rFonts w:ascii="Arial" w:cs="Arial" w:eastAsia="Arial" w:hAnsi="Arial"/>
                <w:sz w:val="14"/>
                <w:szCs w:val="14"/>
                <w:color w:val="auto"/>
              </w:rPr>
              <w:t>par, due 12/2017)</w:t>
            </w:r>
          </w:p>
        </w:tc>
        <w:tc>
          <w:tcPr>
            <w:tcW w:w="7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8.75%</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1"/>
              </w:rPr>
              <w:t>12/28/2012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1,950</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136,183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136,953</w:t>
            </w:r>
          </w:p>
        </w:tc>
        <w:tc>
          <w:tcPr>
            <w:tcW w:w="240" w:type="dxa"/>
            <w:vAlign w:val="bottom"/>
          </w:tcPr>
          <w:p>
            <w:pPr>
              <w:spacing w:after="0"/>
              <w:rPr>
                <w:sz w:val="13"/>
                <w:szCs w:val="13"/>
                <w:color w:val="auto"/>
              </w:rPr>
            </w:pPr>
          </w:p>
        </w:tc>
        <w:tc>
          <w:tcPr>
            <w:tcW w:w="9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Amortized</w:t>
            </w: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20"/>
              <w:spacing w:after="0" w:line="163" w:lineRule="exact"/>
              <w:rPr>
                <w:sz w:val="20"/>
                <w:szCs w:val="20"/>
                <w:color w:val="auto"/>
              </w:rPr>
            </w:pPr>
            <w:r>
              <w:rPr>
                <w:rFonts w:ascii="Arial" w:cs="Arial" w:eastAsia="Arial" w:hAnsi="Arial"/>
                <w:sz w:val="12"/>
                <w:szCs w:val="12"/>
                <w:b w:val="1"/>
                <w:bCs w:val="1"/>
                <w:color w:val="auto"/>
                <w:w w:val="91"/>
              </w:rPr>
              <w:t>Cost</w:t>
            </w:r>
            <w:r>
              <w:rPr>
                <w:rFonts w:ascii="Arial" w:cs="Arial" w:eastAsia="Arial" w:hAnsi="Arial"/>
                <w:sz w:val="18"/>
                <w:szCs w:val="18"/>
                <w:b w:val="1"/>
                <w:bCs w:val="1"/>
                <w:color w:val="auto"/>
                <w:w w:val="91"/>
                <w:vertAlign w:val="superscript"/>
              </w:rPr>
              <w:t>(2)</w:t>
            </w: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6"/>
              </w:rPr>
              <w:t>Investment</w:t>
            </w: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 amount</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 amount</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2"/>
                <w:szCs w:val="22"/>
                <w:b w:val="1"/>
                <w:bCs w:val="1"/>
                <w:color w:val="auto"/>
                <w:vertAlign w:val="superscript"/>
              </w:rPr>
              <w:t>(1)</w:t>
            </w:r>
          </w:p>
        </w:tc>
        <w:tc>
          <w:tcPr>
            <w:tcW w:w="740" w:type="dxa"/>
            <w:vAlign w:val="bottom"/>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1280" w:type="dxa"/>
            <w:vAlign w:val="bottom"/>
            <w:gridSpan w:val="2"/>
          </w:tcPr>
          <w:p>
            <w:pPr>
              <w:jc w:val="right"/>
              <w:ind w:right="820"/>
              <w:spacing w:after="0" w:line="135" w:lineRule="exact"/>
              <w:rPr>
                <w:sz w:val="20"/>
                <w:szCs w:val="20"/>
                <w:color w:val="auto"/>
              </w:rPr>
            </w:pPr>
            <w:r>
              <w:rPr>
                <w:rFonts w:ascii="Arial" w:cs="Arial" w:eastAsia="Arial" w:hAnsi="Arial"/>
                <w:sz w:val="14"/>
                <w:szCs w:val="14"/>
                <w:b w:val="1"/>
                <w:bCs w:val="1"/>
                <w:color w:val="auto"/>
                <w:w w:val="86"/>
              </w:rPr>
              <w:t>Interest</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3"/>
              </w:rPr>
              <w:t>Acquisition</w:t>
            </w:r>
          </w:p>
        </w:tc>
        <w:tc>
          <w:tcPr>
            <w:tcW w:w="120" w:type="dxa"/>
            <w:vAlign w:val="bottom"/>
          </w:tcPr>
          <w:p>
            <w:pPr>
              <w:spacing w:after="0"/>
              <w:rPr>
                <w:sz w:val="11"/>
                <w:szCs w:val="11"/>
                <w:color w:val="auto"/>
              </w:rPr>
            </w:pP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79"/>
              </w:rPr>
              <w:t>in</w:t>
            </w:r>
          </w:p>
        </w:tc>
        <w:tc>
          <w:tcPr>
            <w:tcW w:w="1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79"/>
              </w:rPr>
              <w:t>in</w:t>
            </w:r>
          </w:p>
        </w:tc>
        <w:tc>
          <w:tcPr>
            <w:tcW w:w="24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81"/>
        </w:trPr>
        <w:tc>
          <w:tcPr>
            <w:tcW w:w="3680" w:type="dxa"/>
            <w:vAlign w:val="bottom"/>
            <w:gridSpan w:val="4"/>
            <w:vMerge w:val="continue"/>
          </w:tcPr>
          <w:p>
            <w:pPr>
              <w:spacing w:after="0"/>
              <w:rPr>
                <w:sz w:val="15"/>
                <w:szCs w:val="15"/>
                <w:color w:val="auto"/>
              </w:rPr>
            </w:pPr>
          </w:p>
        </w:tc>
        <w:tc>
          <w:tcPr>
            <w:tcW w:w="740" w:type="dxa"/>
            <w:vAlign w:val="bottom"/>
          </w:tcPr>
          <w:p>
            <w:pPr>
              <w:spacing w:after="0"/>
              <w:rPr>
                <w:sz w:val="15"/>
                <w:szCs w:val="15"/>
                <w:color w:val="auto"/>
              </w:rPr>
            </w:pPr>
          </w:p>
        </w:tc>
        <w:tc>
          <w:tcPr>
            <w:tcW w:w="2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(Par amounts in thousands)</w:t>
            </w:r>
          </w:p>
        </w:tc>
        <w:tc>
          <w:tcPr>
            <w:tcW w:w="12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Rate</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thousands)</w:t>
            </w:r>
          </w:p>
        </w:tc>
        <w:tc>
          <w:tcPr>
            <w:tcW w:w="1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2"/>
              </w:rPr>
              <w:t>thousands)</w:t>
            </w:r>
          </w:p>
        </w:tc>
        <w:tc>
          <w:tcPr>
            <w:tcW w:w="2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2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9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Hotel, Gaming, &amp; Leisure</w:t>
            </w:r>
          </w:p>
        </w:tc>
        <w:tc>
          <w:tcPr>
            <w:tcW w:w="7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3"/>
          </w:tcPr>
          <w:p>
            <w:pPr>
              <w:spacing w:after="0" w:line="138" w:lineRule="exact"/>
              <w:rPr>
                <w:sz w:val="20"/>
                <w:szCs w:val="20"/>
                <w:color w:val="auto"/>
              </w:rPr>
            </w:pPr>
            <w:r>
              <w:rPr>
                <w:rFonts w:ascii="Arial" w:cs="Arial" w:eastAsia="Arial" w:hAnsi="Arial"/>
                <w:sz w:val="10"/>
                <w:szCs w:val="10"/>
                <w:color w:val="auto"/>
              </w:rPr>
              <w:t>AMF Bowling Worldwide, Inc.</w:t>
            </w:r>
            <w:r>
              <w:rPr>
                <w:rFonts w:ascii="Arial" w:cs="Arial" w:eastAsia="Arial" w:hAnsi="Arial"/>
                <w:sz w:val="15"/>
                <w:szCs w:val="15"/>
                <w:color w:val="auto"/>
                <w:vertAlign w:val="superscript"/>
              </w:rPr>
              <w:t>(3)(5)</w:t>
            </w:r>
          </w:p>
        </w:tc>
        <w:tc>
          <w:tcPr>
            <w:tcW w:w="2860" w:type="dxa"/>
            <w:vAlign w:val="bottom"/>
            <w:gridSpan w:val="3"/>
          </w:tcPr>
          <w:p>
            <w:pPr>
              <w:ind w:left="740"/>
              <w:spacing w:after="0" w:line="138" w:lineRule="exact"/>
              <w:rPr>
                <w:sz w:val="20"/>
                <w:szCs w:val="20"/>
                <w:color w:val="auto"/>
              </w:rPr>
            </w:pPr>
            <w:r>
              <w:rPr>
                <w:rFonts w:ascii="Arial" w:cs="Arial" w:eastAsia="Arial" w:hAnsi="Arial"/>
                <w:sz w:val="14"/>
                <w:szCs w:val="14"/>
                <w:color w:val="auto"/>
              </w:rPr>
              <w:t>First-lien loan ($14,906 par, due</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680" w:type="dxa"/>
            <w:vAlign w:val="bottom"/>
            <w:gridSpan w:val="2"/>
          </w:tcPr>
          <w:p>
            <w:pPr>
              <w:ind w:left="740"/>
              <w:spacing w:after="0" w:line="159" w:lineRule="exact"/>
              <w:rPr>
                <w:sz w:val="20"/>
                <w:szCs w:val="20"/>
                <w:color w:val="auto"/>
              </w:rPr>
            </w:pPr>
            <w:r>
              <w:rPr>
                <w:rFonts w:ascii="Arial" w:cs="Arial" w:eastAsia="Arial" w:hAnsi="Arial"/>
                <w:sz w:val="14"/>
                <w:szCs w:val="14"/>
                <w:color w:val="auto"/>
              </w:rPr>
              <w:t>6/2018)</w:t>
            </w:r>
          </w:p>
        </w:tc>
        <w:tc>
          <w:tcPr>
            <w:tcW w:w="180" w:type="dxa"/>
            <w:vAlign w:val="bottom"/>
          </w:tcPr>
          <w:p>
            <w:pPr>
              <w:spacing w:after="0"/>
              <w:rPr>
                <w:sz w:val="13"/>
                <w:szCs w:val="13"/>
                <w:color w:val="auto"/>
              </w:rPr>
            </w:pPr>
          </w:p>
        </w:tc>
        <w:tc>
          <w:tcPr>
            <w:tcW w:w="128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8.75%</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7/2/2013</w:t>
            </w:r>
          </w:p>
        </w:tc>
        <w:tc>
          <w:tcPr>
            <w:tcW w:w="86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13,716</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14,666</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3"/>
            <w:shd w:val="clear" w:color="auto" w:fill="CCEEFF"/>
          </w:tcPr>
          <w:p>
            <w:pPr>
              <w:spacing w:after="0" w:line="138" w:lineRule="exact"/>
              <w:rPr>
                <w:sz w:val="20"/>
                <w:szCs w:val="20"/>
                <w:color w:val="auto"/>
              </w:rPr>
            </w:pPr>
            <w:r>
              <w:rPr>
                <w:rFonts w:ascii="Arial" w:cs="Arial" w:eastAsia="Arial" w:hAnsi="Arial"/>
                <w:sz w:val="10"/>
                <w:szCs w:val="10"/>
                <w:color w:val="auto"/>
              </w:rPr>
              <w:t>Centaur, LLC</w:t>
            </w:r>
            <w:r>
              <w:rPr>
                <w:rFonts w:ascii="Arial" w:cs="Arial" w:eastAsia="Arial" w:hAnsi="Arial"/>
                <w:sz w:val="15"/>
                <w:szCs w:val="15"/>
                <w:color w:val="auto"/>
                <w:vertAlign w:val="superscript"/>
              </w:rPr>
              <w:t>(3)</w:t>
            </w:r>
          </w:p>
        </w:tc>
        <w:tc>
          <w:tcPr>
            <w:tcW w:w="2860" w:type="dxa"/>
            <w:vAlign w:val="bottom"/>
            <w:gridSpan w:val="3"/>
            <w:shd w:val="clear" w:color="auto" w:fill="CCEEFF"/>
          </w:tcPr>
          <w:p>
            <w:pPr>
              <w:ind w:left="740"/>
              <w:spacing w:after="0" w:line="138" w:lineRule="exact"/>
              <w:rPr>
                <w:sz w:val="20"/>
                <w:szCs w:val="20"/>
                <w:color w:val="auto"/>
              </w:rPr>
            </w:pPr>
            <w:r>
              <w:rPr>
                <w:rFonts w:ascii="Arial" w:cs="Arial" w:eastAsia="Arial" w:hAnsi="Arial"/>
                <w:sz w:val="14"/>
                <w:szCs w:val="14"/>
                <w:color w:val="auto"/>
                <w:w w:val="96"/>
              </w:rPr>
              <w:t>Second-lien loan ($10,000 par, due</w:t>
            </w:r>
          </w:p>
        </w:tc>
        <w:tc>
          <w:tcPr>
            <w:tcW w:w="4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680" w:type="dxa"/>
            <w:vAlign w:val="bottom"/>
            <w:gridSpan w:val="2"/>
            <w:shd w:val="clear" w:color="auto" w:fill="CCEEFF"/>
          </w:tcPr>
          <w:p>
            <w:pPr>
              <w:ind w:left="740"/>
              <w:spacing w:after="0" w:line="159" w:lineRule="exact"/>
              <w:rPr>
                <w:sz w:val="20"/>
                <w:szCs w:val="20"/>
                <w:color w:val="auto"/>
              </w:rPr>
            </w:pPr>
            <w:r>
              <w:rPr>
                <w:rFonts w:ascii="Arial" w:cs="Arial" w:eastAsia="Arial" w:hAnsi="Arial"/>
                <w:sz w:val="14"/>
                <w:szCs w:val="14"/>
                <w:color w:val="auto"/>
              </w:rPr>
              <w:t>2/2020)</w:t>
            </w: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8.00%</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2/15/2013</w:t>
            </w:r>
          </w:p>
        </w:tc>
        <w:tc>
          <w:tcPr>
            <w:tcW w:w="8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9,920</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10,050</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3"/>
          </w:tcPr>
          <w:p>
            <w:pPr>
              <w:spacing w:after="0" w:line="138" w:lineRule="exact"/>
              <w:rPr>
                <w:sz w:val="20"/>
                <w:szCs w:val="20"/>
                <w:color w:val="auto"/>
              </w:rPr>
            </w:pPr>
            <w:r>
              <w:rPr>
                <w:rFonts w:ascii="Arial" w:cs="Arial" w:eastAsia="Arial" w:hAnsi="Arial"/>
                <w:sz w:val="10"/>
                <w:szCs w:val="10"/>
                <w:color w:val="auto"/>
              </w:rPr>
              <w:t>Mandalay Baseball Properties, LLC</w:t>
            </w:r>
            <w:r>
              <w:rPr>
                <w:rFonts w:ascii="Arial" w:cs="Arial" w:eastAsia="Arial" w:hAnsi="Arial"/>
                <w:sz w:val="15"/>
                <w:szCs w:val="15"/>
                <w:color w:val="auto"/>
                <w:vertAlign w:val="superscript"/>
              </w:rPr>
              <w:t>(3)(5)</w:t>
            </w:r>
          </w:p>
        </w:tc>
        <w:tc>
          <w:tcPr>
            <w:tcW w:w="2860" w:type="dxa"/>
            <w:vAlign w:val="bottom"/>
            <w:gridSpan w:val="3"/>
          </w:tcPr>
          <w:p>
            <w:pPr>
              <w:ind w:left="740"/>
              <w:spacing w:after="0" w:line="138" w:lineRule="exact"/>
              <w:rPr>
                <w:sz w:val="20"/>
                <w:szCs w:val="20"/>
                <w:color w:val="auto"/>
              </w:rPr>
            </w:pPr>
            <w:r>
              <w:rPr>
                <w:rFonts w:ascii="Arial" w:cs="Arial" w:eastAsia="Arial" w:hAnsi="Arial"/>
                <w:sz w:val="14"/>
                <w:szCs w:val="14"/>
                <w:color w:val="auto"/>
              </w:rPr>
              <w:t>First-lien loan ($34,489 par, due</w:t>
            </w:r>
          </w:p>
        </w:tc>
        <w:tc>
          <w:tcPr>
            <w:tcW w:w="1280" w:type="dxa"/>
            <w:vAlign w:val="bottom"/>
            <w:gridSpan w:val="2"/>
          </w:tcPr>
          <w:p>
            <w:pPr>
              <w:jc w:val="right"/>
              <w:ind w:right="700"/>
              <w:spacing w:after="0" w:line="138" w:lineRule="exact"/>
              <w:rPr>
                <w:sz w:val="20"/>
                <w:szCs w:val="20"/>
                <w:color w:val="auto"/>
              </w:rPr>
            </w:pPr>
            <w:r>
              <w:rPr>
                <w:rFonts w:ascii="Arial" w:cs="Arial" w:eastAsia="Arial" w:hAnsi="Arial"/>
                <w:sz w:val="14"/>
                <w:szCs w:val="14"/>
                <w:color w:val="auto"/>
              </w:rPr>
              <w:t>12.00%</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68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3/2017)</w:t>
            </w:r>
          </w:p>
        </w:tc>
        <w:tc>
          <w:tcPr>
            <w:tcW w:w="180" w:type="dxa"/>
            <w:vAlign w:val="bottom"/>
          </w:tcPr>
          <w:p>
            <w:pPr>
              <w:spacing w:after="0"/>
              <w:rPr>
                <w:sz w:val="12"/>
                <w:szCs w:val="12"/>
                <w:color w:val="auto"/>
              </w:rPr>
            </w:pPr>
          </w:p>
        </w:tc>
        <w:tc>
          <w:tcPr>
            <w:tcW w:w="12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(incl.</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4.50%</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4"/>
                <w:szCs w:val="14"/>
                <w:color w:val="auto"/>
              </w:rPr>
              <w:t>PIK)</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4/12/2012</w:t>
            </w: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33,869</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35,362</w:t>
            </w:r>
          </w:p>
        </w:tc>
        <w:tc>
          <w:tcPr>
            <w:tcW w:w="1180" w:type="dxa"/>
            <w:vAlign w:val="bottom"/>
            <w:gridSpan w:val="3"/>
          </w:tcPr>
          <w:p>
            <w:pPr>
              <w:jc w:val="right"/>
              <w:ind w:right="4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3"/>
            <w:shd w:val="clear" w:color="auto" w:fill="CCEEFF"/>
          </w:tcPr>
          <w:p>
            <w:pPr>
              <w:spacing w:after="0" w:line="138" w:lineRule="exact"/>
              <w:rPr>
                <w:sz w:val="20"/>
                <w:szCs w:val="20"/>
                <w:color w:val="auto"/>
              </w:rPr>
            </w:pPr>
            <w:r>
              <w:rPr>
                <w:rFonts w:ascii="Arial" w:cs="Arial" w:eastAsia="Arial" w:hAnsi="Arial"/>
                <w:sz w:val="10"/>
                <w:szCs w:val="10"/>
                <w:color w:val="auto"/>
              </w:rPr>
              <w:t>Soho House</w:t>
            </w:r>
            <w:r>
              <w:rPr>
                <w:rFonts w:ascii="Arial" w:cs="Arial" w:eastAsia="Arial" w:hAnsi="Arial"/>
                <w:sz w:val="15"/>
                <w:szCs w:val="15"/>
                <w:color w:val="auto"/>
                <w:vertAlign w:val="superscript"/>
              </w:rPr>
              <w:t>(6)</w:t>
            </w:r>
          </w:p>
        </w:tc>
        <w:tc>
          <w:tcPr>
            <w:tcW w:w="2860" w:type="dxa"/>
            <w:vAlign w:val="bottom"/>
            <w:gridSpan w:val="3"/>
            <w:shd w:val="clear" w:color="auto" w:fill="CCEEFF"/>
          </w:tcPr>
          <w:p>
            <w:pPr>
              <w:ind w:left="740"/>
              <w:spacing w:after="0" w:line="138" w:lineRule="exact"/>
              <w:rPr>
                <w:sz w:val="20"/>
                <w:szCs w:val="20"/>
                <w:color w:val="auto"/>
              </w:rPr>
            </w:pPr>
            <w:r>
              <w:rPr>
                <w:rFonts w:ascii="Arial" w:cs="Arial" w:eastAsia="Arial" w:hAnsi="Arial"/>
                <w:sz w:val="14"/>
                <w:szCs w:val="14"/>
                <w:color w:val="auto"/>
                <w:w w:val="98"/>
              </w:rPr>
              <w:t>Second-lien bond (GBP 7,000 par,</w:t>
            </w:r>
          </w:p>
        </w:tc>
        <w:tc>
          <w:tcPr>
            <w:tcW w:w="4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860" w:type="dxa"/>
            <w:vAlign w:val="bottom"/>
            <w:gridSpan w:val="3"/>
            <w:shd w:val="clear" w:color="auto" w:fill="CCEEFF"/>
          </w:tcPr>
          <w:p>
            <w:pPr>
              <w:ind w:left="740"/>
              <w:spacing w:after="0" w:line="159" w:lineRule="exact"/>
              <w:rPr>
                <w:sz w:val="20"/>
                <w:szCs w:val="20"/>
                <w:color w:val="auto"/>
              </w:rPr>
            </w:pPr>
            <w:r>
              <w:rPr>
                <w:rFonts w:ascii="Arial" w:cs="Arial" w:eastAsia="Arial" w:hAnsi="Arial"/>
                <w:sz w:val="14"/>
                <w:szCs w:val="14"/>
                <w:color w:val="auto"/>
              </w:rPr>
              <w:t>due 10/2018)</w:t>
            </w:r>
          </w:p>
        </w:tc>
        <w:tc>
          <w:tcPr>
            <w:tcW w:w="128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9.13%</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9/20/2013</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11,200</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11,455</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68,705</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71,533</w:t>
            </w:r>
          </w:p>
        </w:tc>
        <w:tc>
          <w:tcPr>
            <w:tcW w:w="118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Human resource support services</w:t>
            </w:r>
          </w:p>
        </w:tc>
        <w:tc>
          <w:tcPr>
            <w:tcW w:w="7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3"/>
          </w:tcPr>
          <w:p>
            <w:pPr>
              <w:spacing w:after="0" w:line="138" w:lineRule="exact"/>
              <w:rPr>
                <w:sz w:val="20"/>
                <w:szCs w:val="20"/>
                <w:color w:val="auto"/>
              </w:rPr>
            </w:pPr>
            <w:r>
              <w:rPr>
                <w:rFonts w:ascii="Arial" w:cs="Arial" w:eastAsia="Arial" w:hAnsi="Arial"/>
                <w:sz w:val="10"/>
                <w:szCs w:val="10"/>
                <w:color w:val="auto"/>
              </w:rPr>
              <w:t>Pai Group, Inc.</w:t>
            </w:r>
            <w:r>
              <w:rPr>
                <w:rFonts w:ascii="Arial" w:cs="Arial" w:eastAsia="Arial" w:hAnsi="Arial"/>
                <w:sz w:val="15"/>
                <w:szCs w:val="15"/>
                <w:color w:val="auto"/>
                <w:vertAlign w:val="superscript"/>
              </w:rPr>
              <w:t>(3)(5)</w:t>
            </w:r>
          </w:p>
        </w:tc>
        <w:tc>
          <w:tcPr>
            <w:tcW w:w="2860" w:type="dxa"/>
            <w:vAlign w:val="bottom"/>
            <w:gridSpan w:val="3"/>
          </w:tcPr>
          <w:p>
            <w:pPr>
              <w:ind w:left="740"/>
              <w:spacing w:after="0" w:line="138" w:lineRule="exact"/>
              <w:rPr>
                <w:sz w:val="20"/>
                <w:szCs w:val="20"/>
                <w:color w:val="auto"/>
              </w:rPr>
            </w:pPr>
            <w:r>
              <w:rPr>
                <w:rFonts w:ascii="Arial" w:cs="Arial" w:eastAsia="Arial" w:hAnsi="Arial"/>
                <w:sz w:val="14"/>
                <w:szCs w:val="14"/>
                <w:color w:val="auto"/>
              </w:rPr>
              <w:t>First-lien loan ($34,825 par, due</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680" w:type="dxa"/>
            <w:vAlign w:val="bottom"/>
            <w:gridSpan w:val="2"/>
          </w:tcPr>
          <w:p>
            <w:pPr>
              <w:ind w:left="740"/>
              <w:spacing w:after="0" w:line="159" w:lineRule="exact"/>
              <w:rPr>
                <w:sz w:val="20"/>
                <w:szCs w:val="20"/>
                <w:color w:val="auto"/>
              </w:rPr>
            </w:pPr>
            <w:r>
              <w:rPr>
                <w:rFonts w:ascii="Arial" w:cs="Arial" w:eastAsia="Arial" w:hAnsi="Arial"/>
                <w:sz w:val="14"/>
                <w:szCs w:val="14"/>
                <w:color w:val="auto"/>
              </w:rPr>
              <w:t>5/2018)</w:t>
            </w:r>
          </w:p>
        </w:tc>
        <w:tc>
          <w:tcPr>
            <w:tcW w:w="180" w:type="dxa"/>
            <w:vAlign w:val="bottom"/>
          </w:tcPr>
          <w:p>
            <w:pPr>
              <w:spacing w:after="0"/>
              <w:rPr>
                <w:sz w:val="13"/>
                <w:szCs w:val="13"/>
                <w:color w:val="auto"/>
              </w:rPr>
            </w:pPr>
          </w:p>
        </w:tc>
        <w:tc>
          <w:tcPr>
            <w:tcW w:w="128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10.50%</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5/8/2013</w:t>
            </w:r>
          </w:p>
        </w:tc>
        <w:tc>
          <w:tcPr>
            <w:tcW w:w="86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34,031</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34,029</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3"/>
            <w:shd w:val="clear" w:color="auto" w:fill="CCEEFF"/>
          </w:tcPr>
          <w:p>
            <w:pPr>
              <w:spacing w:after="0" w:line="138" w:lineRule="exact"/>
              <w:rPr>
                <w:sz w:val="20"/>
                <w:szCs w:val="20"/>
                <w:color w:val="auto"/>
              </w:rPr>
            </w:pPr>
            <w:r>
              <w:rPr>
                <w:rFonts w:ascii="Arial" w:cs="Arial" w:eastAsia="Arial" w:hAnsi="Arial"/>
                <w:sz w:val="10"/>
                <w:szCs w:val="10"/>
                <w:color w:val="auto"/>
              </w:rPr>
              <w:t>SumTotal Systems, LLC</w:t>
            </w:r>
            <w:r>
              <w:rPr>
                <w:rFonts w:ascii="Arial" w:cs="Arial" w:eastAsia="Arial" w:hAnsi="Arial"/>
                <w:sz w:val="15"/>
                <w:szCs w:val="15"/>
                <w:color w:val="auto"/>
                <w:vertAlign w:val="superscript"/>
              </w:rPr>
              <w:t>(3)</w:t>
            </w:r>
          </w:p>
        </w:tc>
        <w:tc>
          <w:tcPr>
            <w:tcW w:w="2860" w:type="dxa"/>
            <w:vAlign w:val="bottom"/>
            <w:gridSpan w:val="3"/>
            <w:shd w:val="clear" w:color="auto" w:fill="CCEEFF"/>
          </w:tcPr>
          <w:p>
            <w:pPr>
              <w:ind w:left="740"/>
              <w:spacing w:after="0" w:line="138" w:lineRule="exact"/>
              <w:rPr>
                <w:sz w:val="20"/>
                <w:szCs w:val="20"/>
                <w:color w:val="auto"/>
              </w:rPr>
            </w:pPr>
            <w:r>
              <w:rPr>
                <w:rFonts w:ascii="Arial" w:cs="Arial" w:eastAsia="Arial" w:hAnsi="Arial"/>
                <w:sz w:val="14"/>
                <w:szCs w:val="14"/>
                <w:color w:val="auto"/>
              </w:rPr>
              <w:t>First-lien loan</w:t>
            </w:r>
          </w:p>
        </w:tc>
        <w:tc>
          <w:tcPr>
            <w:tcW w:w="4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860" w:type="dxa"/>
            <w:vAlign w:val="bottom"/>
            <w:gridSpan w:val="3"/>
            <w:shd w:val="clear" w:color="auto" w:fill="CCEEFF"/>
          </w:tcPr>
          <w:p>
            <w:pPr>
              <w:ind w:left="740"/>
              <w:spacing w:after="0"/>
              <w:rPr>
                <w:sz w:val="20"/>
                <w:szCs w:val="20"/>
                <w:color w:val="auto"/>
              </w:rPr>
            </w:pPr>
            <w:r>
              <w:rPr>
                <w:rFonts w:ascii="Arial" w:cs="Arial" w:eastAsia="Arial" w:hAnsi="Arial"/>
                <w:sz w:val="14"/>
                <w:szCs w:val="14"/>
                <w:color w:val="auto"/>
              </w:rPr>
              <w:t>($7,503 par, due 11/2018)</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4"/>
                <w:szCs w:val="14"/>
                <w:color w:val="auto"/>
              </w:rPr>
              <w:t>6.25%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1"/>
              </w:rPr>
              <w:t>11/16/2012</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7,422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7,463</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860" w:type="dxa"/>
            <w:vAlign w:val="bottom"/>
            <w:gridSpan w:val="3"/>
          </w:tcPr>
          <w:p>
            <w:pPr>
              <w:ind w:left="740"/>
              <w:spacing w:after="0" w:line="138" w:lineRule="exact"/>
              <w:rPr>
                <w:sz w:val="20"/>
                <w:szCs w:val="20"/>
                <w:color w:val="auto"/>
              </w:rPr>
            </w:pPr>
            <w:r>
              <w:rPr>
                <w:rFonts w:ascii="Arial" w:cs="Arial" w:eastAsia="Arial" w:hAnsi="Arial"/>
                <w:sz w:val="14"/>
                <w:szCs w:val="14"/>
                <w:color w:val="auto"/>
                <w:w w:val="96"/>
              </w:rPr>
              <w:t>Second-lien loan ($10,000 par, due</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680" w:type="dxa"/>
            <w:vAlign w:val="bottom"/>
            <w:gridSpan w:val="2"/>
          </w:tcPr>
          <w:p>
            <w:pPr>
              <w:ind w:left="740"/>
              <w:spacing w:after="0" w:line="159" w:lineRule="exact"/>
              <w:rPr>
                <w:sz w:val="20"/>
                <w:szCs w:val="20"/>
                <w:color w:val="auto"/>
              </w:rPr>
            </w:pPr>
            <w:r>
              <w:rPr>
                <w:rFonts w:ascii="Arial" w:cs="Arial" w:eastAsia="Arial" w:hAnsi="Arial"/>
                <w:sz w:val="14"/>
                <w:szCs w:val="14"/>
                <w:color w:val="auto"/>
              </w:rPr>
              <w:t>5/2019)</w:t>
            </w:r>
          </w:p>
        </w:tc>
        <w:tc>
          <w:tcPr>
            <w:tcW w:w="180" w:type="dxa"/>
            <w:vAlign w:val="bottom"/>
          </w:tcPr>
          <w:p>
            <w:pPr>
              <w:spacing w:after="0"/>
              <w:rPr>
                <w:sz w:val="13"/>
                <w:szCs w:val="13"/>
                <w:color w:val="auto"/>
              </w:rPr>
            </w:pPr>
          </w:p>
        </w:tc>
        <w:tc>
          <w:tcPr>
            <w:tcW w:w="128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10.25%</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1"/>
              </w:rPr>
              <w:t>11/16/2012</w:t>
            </w:r>
          </w:p>
        </w:tc>
        <w:tc>
          <w:tcPr>
            <w:tcW w:w="12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9,945</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9,925</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51,398</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51,417</w:t>
            </w:r>
          </w:p>
        </w:tc>
        <w:tc>
          <w:tcPr>
            <w:tcW w:w="11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60" w:type="dxa"/>
            <w:vAlign w:val="bottom"/>
            <w:gridSpan w:val="2"/>
          </w:tcPr>
          <w:p>
            <w:pPr>
              <w:ind w:left="380"/>
              <w:spacing w:after="0"/>
              <w:rPr>
                <w:sz w:val="20"/>
                <w:szCs w:val="20"/>
                <w:color w:val="auto"/>
              </w:rPr>
            </w:pPr>
            <w:r>
              <w:rPr>
                <w:rFonts w:ascii="Arial" w:cs="Arial" w:eastAsia="Arial" w:hAnsi="Arial"/>
                <w:sz w:val="14"/>
                <w:szCs w:val="14"/>
                <w:b w:val="1"/>
                <w:bCs w:val="1"/>
                <w:color w:val="auto"/>
              </w:rPr>
              <w:t>Insurance</w:t>
            </w: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60" w:type="dxa"/>
            <w:vAlign w:val="bottom"/>
            <w:gridSpan w:val="3"/>
            <w:shd w:val="clear" w:color="auto" w:fill="CCEEFF"/>
          </w:tcPr>
          <w:p>
            <w:pPr>
              <w:spacing w:after="0" w:line="138" w:lineRule="exact"/>
              <w:rPr>
                <w:sz w:val="20"/>
                <w:szCs w:val="20"/>
                <w:color w:val="auto"/>
              </w:rPr>
            </w:pPr>
            <w:r>
              <w:rPr>
                <w:rFonts w:ascii="Arial" w:cs="Arial" w:eastAsia="Arial" w:hAnsi="Arial"/>
                <w:sz w:val="11"/>
                <w:szCs w:val="11"/>
                <w:color w:val="auto"/>
              </w:rPr>
              <w:t>Infogix, Inc.</w:t>
            </w:r>
            <w:r>
              <w:rPr>
                <w:rFonts w:ascii="Arial" w:cs="Arial" w:eastAsia="Arial" w:hAnsi="Arial"/>
                <w:sz w:val="16"/>
                <w:szCs w:val="16"/>
                <w:color w:val="auto"/>
                <w:vertAlign w:val="superscript"/>
              </w:rPr>
              <w:t>(3)(5)</w:t>
            </w:r>
          </w:p>
        </w:tc>
        <w:tc>
          <w:tcPr>
            <w:tcW w:w="2860" w:type="dxa"/>
            <w:vAlign w:val="bottom"/>
            <w:gridSpan w:val="3"/>
            <w:shd w:val="clear" w:color="auto" w:fill="CCEEFF"/>
          </w:tcPr>
          <w:p>
            <w:pPr>
              <w:ind w:left="740"/>
              <w:spacing w:after="0" w:line="139" w:lineRule="exact"/>
              <w:rPr>
                <w:sz w:val="20"/>
                <w:szCs w:val="20"/>
                <w:color w:val="auto"/>
              </w:rPr>
            </w:pPr>
            <w:r>
              <w:rPr>
                <w:rFonts w:ascii="Arial" w:cs="Arial" w:eastAsia="Arial" w:hAnsi="Arial"/>
                <w:sz w:val="14"/>
                <w:szCs w:val="14"/>
                <w:color w:val="auto"/>
              </w:rPr>
              <w:t>First-lien loan ($32,306 par, due</w:t>
            </w: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680" w:type="dxa"/>
            <w:vAlign w:val="bottom"/>
            <w:gridSpan w:val="2"/>
            <w:shd w:val="clear" w:color="auto" w:fill="CCEEFF"/>
          </w:tcPr>
          <w:p>
            <w:pPr>
              <w:ind w:left="740"/>
              <w:spacing w:after="0" w:line="159" w:lineRule="exact"/>
              <w:rPr>
                <w:sz w:val="20"/>
                <w:szCs w:val="20"/>
                <w:color w:val="auto"/>
              </w:rPr>
            </w:pPr>
            <w:r>
              <w:rPr>
                <w:rFonts w:ascii="Arial" w:cs="Arial" w:eastAsia="Arial" w:hAnsi="Arial"/>
                <w:sz w:val="14"/>
                <w:szCs w:val="14"/>
                <w:color w:val="auto"/>
              </w:rPr>
              <w:t>6/2017)</w:t>
            </w: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10.00%</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6/1/2012</w:t>
            </w:r>
          </w:p>
        </w:tc>
        <w:tc>
          <w:tcPr>
            <w:tcW w:w="8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31,815</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32,225</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860" w:type="dxa"/>
            <w:vAlign w:val="bottom"/>
            <w:gridSpan w:val="3"/>
          </w:tcPr>
          <w:p>
            <w:pPr>
              <w:ind w:left="740"/>
              <w:spacing w:after="0" w:line="138" w:lineRule="exact"/>
              <w:rPr>
                <w:sz w:val="20"/>
                <w:szCs w:val="20"/>
                <w:color w:val="auto"/>
              </w:rPr>
            </w:pPr>
            <w:r>
              <w:rPr>
                <w:rFonts w:ascii="Arial" w:cs="Arial" w:eastAsia="Arial" w:hAnsi="Arial"/>
                <w:sz w:val="14"/>
                <w:szCs w:val="14"/>
                <w:color w:val="auto"/>
              </w:rPr>
              <w:t>First-lien revolving loan ($3,300</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860" w:type="dxa"/>
            <w:vAlign w:val="bottom"/>
            <w:gridSpan w:val="3"/>
          </w:tcPr>
          <w:p>
            <w:pPr>
              <w:ind w:left="740"/>
              <w:spacing w:after="0" w:line="159" w:lineRule="exact"/>
              <w:rPr>
                <w:sz w:val="20"/>
                <w:szCs w:val="20"/>
                <w:color w:val="auto"/>
              </w:rPr>
            </w:pPr>
            <w:r>
              <w:rPr>
                <w:rFonts w:ascii="Arial" w:cs="Arial" w:eastAsia="Arial" w:hAnsi="Arial"/>
                <w:sz w:val="14"/>
                <w:szCs w:val="14"/>
                <w:color w:val="auto"/>
              </w:rPr>
              <w:t>par, due 6/2017)</w:t>
            </w:r>
          </w:p>
        </w:tc>
        <w:tc>
          <w:tcPr>
            <w:tcW w:w="128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10.00%</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6/1/2012</w:t>
            </w:r>
          </w:p>
        </w:tc>
        <w:tc>
          <w:tcPr>
            <w:tcW w:w="12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3,227</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3,288</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35,042</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35,513</w:t>
            </w:r>
          </w:p>
        </w:tc>
        <w:tc>
          <w:tcPr>
            <w:tcW w:w="11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60" w:type="dxa"/>
            <w:vAlign w:val="bottom"/>
            <w:gridSpan w:val="2"/>
          </w:tcPr>
          <w:p>
            <w:pPr>
              <w:ind w:left="380"/>
              <w:spacing w:after="0"/>
              <w:rPr>
                <w:sz w:val="20"/>
                <w:szCs w:val="20"/>
                <w:color w:val="auto"/>
              </w:rPr>
            </w:pPr>
            <w:r>
              <w:rPr>
                <w:rFonts w:ascii="Arial" w:cs="Arial" w:eastAsia="Arial" w:hAnsi="Arial"/>
                <w:sz w:val="14"/>
                <w:szCs w:val="14"/>
                <w:b w:val="1"/>
                <w:bCs w:val="1"/>
                <w:color w:val="auto"/>
              </w:rPr>
              <w:t>Manufacturing</w:t>
            </w: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60" w:type="dxa"/>
            <w:vAlign w:val="bottom"/>
            <w:gridSpan w:val="3"/>
            <w:shd w:val="clear" w:color="auto" w:fill="CCEEFF"/>
          </w:tcPr>
          <w:p>
            <w:pPr>
              <w:spacing w:after="0" w:line="138" w:lineRule="exact"/>
              <w:rPr>
                <w:sz w:val="20"/>
                <w:szCs w:val="20"/>
                <w:color w:val="auto"/>
              </w:rPr>
            </w:pPr>
            <w:r>
              <w:rPr>
                <w:rFonts w:ascii="Arial" w:cs="Arial" w:eastAsia="Arial" w:hAnsi="Arial"/>
                <w:sz w:val="11"/>
                <w:szCs w:val="11"/>
                <w:color w:val="auto"/>
              </w:rPr>
              <w:t>Jeeves Information Systems AB</w:t>
            </w:r>
            <w:r>
              <w:rPr>
                <w:rFonts w:ascii="Arial" w:cs="Arial" w:eastAsia="Arial" w:hAnsi="Arial"/>
                <w:sz w:val="16"/>
                <w:szCs w:val="16"/>
                <w:color w:val="auto"/>
                <w:vertAlign w:val="superscript"/>
              </w:rPr>
              <w:t>(3)(6)</w:t>
            </w:r>
          </w:p>
        </w:tc>
        <w:tc>
          <w:tcPr>
            <w:tcW w:w="2860" w:type="dxa"/>
            <w:vAlign w:val="bottom"/>
            <w:gridSpan w:val="3"/>
            <w:shd w:val="clear" w:color="auto" w:fill="CCEEFF"/>
          </w:tcPr>
          <w:p>
            <w:pPr>
              <w:ind w:left="740"/>
              <w:spacing w:after="0" w:line="139" w:lineRule="exact"/>
              <w:rPr>
                <w:sz w:val="20"/>
                <w:szCs w:val="20"/>
                <w:color w:val="auto"/>
              </w:rPr>
            </w:pPr>
            <w:r>
              <w:rPr>
                <w:rFonts w:ascii="Arial" w:cs="Arial" w:eastAsia="Arial" w:hAnsi="Arial"/>
                <w:sz w:val="14"/>
                <w:szCs w:val="14"/>
                <w:color w:val="auto"/>
              </w:rPr>
              <w:t>First-lien loan (SEK 177,608 par,</w:t>
            </w: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860" w:type="dxa"/>
            <w:vAlign w:val="bottom"/>
            <w:gridSpan w:val="3"/>
            <w:shd w:val="clear" w:color="auto" w:fill="CCEEFF"/>
          </w:tcPr>
          <w:p>
            <w:pPr>
              <w:ind w:left="740"/>
              <w:spacing w:after="0" w:line="159" w:lineRule="exact"/>
              <w:rPr>
                <w:sz w:val="20"/>
                <w:szCs w:val="20"/>
                <w:color w:val="auto"/>
              </w:rPr>
            </w:pPr>
            <w:r>
              <w:rPr>
                <w:rFonts w:ascii="Arial" w:cs="Arial" w:eastAsia="Arial" w:hAnsi="Arial"/>
                <w:sz w:val="14"/>
                <w:szCs w:val="14"/>
                <w:color w:val="auto"/>
              </w:rPr>
              <w:t>due 6/2018)</w:t>
            </w:r>
          </w:p>
        </w:tc>
        <w:tc>
          <w:tcPr>
            <w:tcW w:w="128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9.25%</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6/5/2013</w:t>
            </w:r>
          </w:p>
        </w:tc>
        <w:tc>
          <w:tcPr>
            <w:tcW w:w="8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26,446</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27,061</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60" w:type="dxa"/>
            <w:vAlign w:val="bottom"/>
            <w:gridSpan w:val="2"/>
          </w:tcPr>
          <w:p>
            <w:pPr>
              <w:ind w:left="380"/>
              <w:spacing w:after="0"/>
              <w:rPr>
                <w:sz w:val="20"/>
                <w:szCs w:val="20"/>
                <w:color w:val="auto"/>
              </w:rPr>
            </w:pPr>
            <w:r>
              <w:rPr>
                <w:rFonts w:ascii="Arial" w:cs="Arial" w:eastAsia="Arial" w:hAnsi="Arial"/>
                <w:sz w:val="14"/>
                <w:szCs w:val="14"/>
                <w:b w:val="1"/>
                <w:bCs w:val="1"/>
                <w:color w:val="auto"/>
              </w:rPr>
              <w:t>Office Products</w:t>
            </w: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3"/>
            <w:shd w:val="clear" w:color="auto" w:fill="CCEEFF"/>
          </w:tcPr>
          <w:p>
            <w:pPr>
              <w:spacing w:after="0" w:line="138" w:lineRule="exact"/>
              <w:rPr>
                <w:sz w:val="20"/>
                <w:szCs w:val="20"/>
                <w:color w:val="auto"/>
              </w:rPr>
            </w:pPr>
            <w:r>
              <w:rPr>
                <w:rFonts w:ascii="Arial" w:cs="Arial" w:eastAsia="Arial" w:hAnsi="Arial"/>
                <w:sz w:val="10"/>
                <w:szCs w:val="10"/>
                <w:color w:val="auto"/>
              </w:rPr>
              <w:t>Ecommerce Industries, Inc.</w:t>
            </w:r>
            <w:r>
              <w:rPr>
                <w:rFonts w:ascii="Arial" w:cs="Arial" w:eastAsia="Arial" w:hAnsi="Arial"/>
                <w:sz w:val="15"/>
                <w:szCs w:val="15"/>
                <w:color w:val="auto"/>
                <w:vertAlign w:val="superscript"/>
              </w:rPr>
              <w:t>(3)(4)(5)</w:t>
            </w:r>
          </w:p>
        </w:tc>
        <w:tc>
          <w:tcPr>
            <w:tcW w:w="2860" w:type="dxa"/>
            <w:vAlign w:val="bottom"/>
            <w:gridSpan w:val="3"/>
            <w:shd w:val="clear" w:color="auto" w:fill="CCEEFF"/>
          </w:tcPr>
          <w:p>
            <w:pPr>
              <w:ind w:left="740"/>
              <w:spacing w:after="0" w:line="138" w:lineRule="exact"/>
              <w:rPr>
                <w:sz w:val="20"/>
                <w:szCs w:val="20"/>
                <w:color w:val="auto"/>
              </w:rPr>
            </w:pPr>
            <w:r>
              <w:rPr>
                <w:rFonts w:ascii="Arial" w:cs="Arial" w:eastAsia="Arial" w:hAnsi="Arial"/>
                <w:sz w:val="14"/>
                <w:szCs w:val="14"/>
                <w:color w:val="auto"/>
              </w:rPr>
              <w:t>First-lien loan ($20,217 par, due</w:t>
            </w:r>
          </w:p>
        </w:tc>
        <w:tc>
          <w:tcPr>
            <w:tcW w:w="4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680" w:type="dxa"/>
            <w:vAlign w:val="bottom"/>
            <w:gridSpan w:val="2"/>
            <w:shd w:val="clear" w:color="auto" w:fill="CCEEFF"/>
          </w:tcPr>
          <w:p>
            <w:pPr>
              <w:ind w:left="740"/>
              <w:spacing w:after="0" w:line="159" w:lineRule="exact"/>
              <w:rPr>
                <w:sz w:val="20"/>
                <w:szCs w:val="20"/>
                <w:color w:val="auto"/>
              </w:rPr>
            </w:pPr>
            <w:r>
              <w:rPr>
                <w:rFonts w:ascii="Arial" w:cs="Arial" w:eastAsia="Arial" w:hAnsi="Arial"/>
                <w:sz w:val="14"/>
                <w:szCs w:val="14"/>
                <w:color w:val="auto"/>
              </w:rPr>
              <w:t>10/2016)</w:t>
            </w: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8.00%</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1"/>
              </w:rPr>
              <w:t>10/17/2011</w:t>
            </w:r>
          </w:p>
        </w:tc>
        <w:tc>
          <w:tcPr>
            <w:tcW w:w="8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20,001</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20,419</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60" w:type="dxa"/>
            <w:vAlign w:val="bottom"/>
            <w:gridSpan w:val="2"/>
          </w:tcPr>
          <w:p>
            <w:pPr>
              <w:ind w:left="380"/>
              <w:spacing w:after="0"/>
              <w:rPr>
                <w:sz w:val="20"/>
                <w:szCs w:val="20"/>
                <w:color w:val="auto"/>
              </w:rPr>
            </w:pPr>
            <w:r>
              <w:rPr>
                <w:rFonts w:ascii="Arial" w:cs="Arial" w:eastAsia="Arial" w:hAnsi="Arial"/>
                <w:sz w:val="14"/>
                <w:szCs w:val="14"/>
                <w:b w:val="1"/>
                <w:bCs w:val="1"/>
                <w:color w:val="auto"/>
              </w:rPr>
              <w:t>Oil, Gas &amp; Consumable Fuels</w:t>
            </w: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3"/>
            <w:shd w:val="clear" w:color="auto" w:fill="CCEEFF"/>
          </w:tcPr>
          <w:p>
            <w:pPr>
              <w:spacing w:after="0" w:line="138" w:lineRule="exact"/>
              <w:rPr>
                <w:sz w:val="20"/>
                <w:szCs w:val="20"/>
                <w:color w:val="auto"/>
              </w:rPr>
            </w:pPr>
            <w:r>
              <w:rPr>
                <w:rFonts w:ascii="Arial" w:cs="Arial" w:eastAsia="Arial" w:hAnsi="Arial"/>
                <w:sz w:val="10"/>
                <w:szCs w:val="10"/>
                <w:color w:val="auto"/>
              </w:rPr>
              <w:t>Global Geophysical</w:t>
            </w:r>
            <w:r>
              <w:rPr>
                <w:rFonts w:ascii="Arial" w:cs="Arial" w:eastAsia="Arial" w:hAnsi="Arial"/>
                <w:sz w:val="15"/>
                <w:szCs w:val="15"/>
                <w:color w:val="auto"/>
                <w:vertAlign w:val="superscript"/>
              </w:rPr>
              <w:t>(3)(5)</w:t>
            </w:r>
          </w:p>
        </w:tc>
        <w:tc>
          <w:tcPr>
            <w:tcW w:w="2860" w:type="dxa"/>
            <w:vAlign w:val="bottom"/>
            <w:gridSpan w:val="3"/>
            <w:shd w:val="clear" w:color="auto" w:fill="CCEEFF"/>
          </w:tcPr>
          <w:p>
            <w:pPr>
              <w:ind w:left="740"/>
              <w:spacing w:after="0" w:line="138" w:lineRule="exact"/>
              <w:rPr>
                <w:sz w:val="20"/>
                <w:szCs w:val="20"/>
                <w:color w:val="auto"/>
              </w:rPr>
            </w:pPr>
            <w:r>
              <w:rPr>
                <w:rFonts w:ascii="Arial" w:cs="Arial" w:eastAsia="Arial" w:hAnsi="Arial"/>
                <w:sz w:val="14"/>
                <w:szCs w:val="14"/>
                <w:color w:val="auto"/>
              </w:rPr>
              <w:t>First-lien loan ($41,000 par, due</w:t>
            </w:r>
          </w:p>
        </w:tc>
        <w:tc>
          <w:tcPr>
            <w:tcW w:w="4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680" w:type="dxa"/>
            <w:vAlign w:val="bottom"/>
            <w:gridSpan w:val="2"/>
            <w:shd w:val="clear" w:color="auto" w:fill="CCEEFF"/>
          </w:tcPr>
          <w:p>
            <w:pPr>
              <w:ind w:left="740"/>
              <w:spacing w:after="0" w:line="159" w:lineRule="exact"/>
              <w:rPr>
                <w:sz w:val="20"/>
                <w:szCs w:val="20"/>
                <w:color w:val="auto"/>
              </w:rPr>
            </w:pPr>
            <w:r>
              <w:rPr>
                <w:rFonts w:ascii="Arial" w:cs="Arial" w:eastAsia="Arial" w:hAnsi="Arial"/>
                <w:sz w:val="14"/>
                <w:szCs w:val="14"/>
                <w:color w:val="auto"/>
              </w:rPr>
              <w:t>9/2016)</w:t>
            </w: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10.75%</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9/30/2013</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40,262</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40,262</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Total Debt Investments</w:t>
            </w: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66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871,800</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887,610</w:t>
            </w:r>
          </w:p>
        </w:tc>
        <w:tc>
          <w:tcPr>
            <w:tcW w:w="118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7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60" w:type="dxa"/>
            <w:vAlign w:val="bottom"/>
            <w:gridSpan w:val="2"/>
          </w:tcPr>
          <w:p>
            <w:pPr>
              <w:ind w:left="380"/>
              <w:spacing w:after="0"/>
              <w:rPr>
                <w:sz w:val="20"/>
                <w:szCs w:val="20"/>
                <w:color w:val="auto"/>
              </w:rPr>
            </w:pPr>
            <w:r>
              <w:rPr>
                <w:rFonts w:ascii="Arial" w:cs="Arial" w:eastAsia="Arial" w:hAnsi="Arial"/>
                <w:sz w:val="14"/>
                <w:szCs w:val="14"/>
                <w:b w:val="1"/>
                <w:bCs w:val="1"/>
                <w:color w:val="auto"/>
              </w:rPr>
              <w:t>Business Services</w:t>
            </w:r>
          </w:p>
        </w:tc>
        <w:tc>
          <w:tcPr>
            <w:tcW w:w="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6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Network Merchants, Inc</w:t>
            </w:r>
          </w:p>
        </w:tc>
        <w:tc>
          <w:tcPr>
            <w:tcW w:w="2860" w:type="dxa"/>
            <w:vAlign w:val="bottom"/>
            <w:gridSpan w:val="3"/>
            <w:shd w:val="clear" w:color="auto" w:fill="CCEEFF"/>
          </w:tcPr>
          <w:p>
            <w:pPr>
              <w:ind w:left="740"/>
              <w:spacing w:after="0" w:line="139" w:lineRule="exact"/>
              <w:rPr>
                <w:sz w:val="20"/>
                <w:szCs w:val="20"/>
                <w:color w:val="auto"/>
              </w:rPr>
            </w:pPr>
            <w:r>
              <w:rPr>
                <w:rFonts w:ascii="Arial" w:cs="Arial" w:eastAsia="Arial" w:hAnsi="Arial"/>
                <w:sz w:val="14"/>
                <w:szCs w:val="14"/>
                <w:color w:val="auto"/>
              </w:rPr>
              <w:t>Non-Voting Preferred Units</w:t>
            </w: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860" w:type="dxa"/>
            <w:vAlign w:val="bottom"/>
            <w:gridSpan w:val="3"/>
            <w:shd w:val="clear" w:color="auto" w:fill="CCEEFF"/>
          </w:tcPr>
          <w:p>
            <w:pPr>
              <w:ind w:left="740"/>
              <w:spacing w:after="0" w:line="159" w:lineRule="exact"/>
              <w:rPr>
                <w:sz w:val="20"/>
                <w:szCs w:val="20"/>
                <w:color w:val="auto"/>
              </w:rPr>
            </w:pPr>
            <w:r>
              <w:rPr>
                <w:rFonts w:ascii="Arial" w:cs="Arial" w:eastAsia="Arial" w:hAnsi="Arial"/>
                <w:sz w:val="14"/>
                <w:szCs w:val="14"/>
                <w:color w:val="auto"/>
              </w:rPr>
              <w:t>(774,099 units)</w:t>
            </w: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9/12/2013</w:t>
            </w:r>
          </w:p>
        </w:tc>
        <w:tc>
          <w:tcPr>
            <w:tcW w:w="8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780</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780</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60" w:type="dxa"/>
            <w:vAlign w:val="bottom"/>
            <w:gridSpan w:val="2"/>
          </w:tcPr>
          <w:p>
            <w:pPr>
              <w:ind w:left="380"/>
              <w:spacing w:after="0"/>
              <w:rPr>
                <w:sz w:val="20"/>
                <w:szCs w:val="20"/>
                <w:color w:val="auto"/>
              </w:rPr>
            </w:pPr>
            <w:r>
              <w:rPr>
                <w:rFonts w:ascii="Arial" w:cs="Arial" w:eastAsia="Arial" w:hAnsi="Arial"/>
                <w:sz w:val="14"/>
                <w:szCs w:val="14"/>
                <w:b w:val="1"/>
                <w:bCs w:val="1"/>
                <w:color w:val="auto"/>
              </w:rPr>
              <w:t>Healthcare and pharmaceuticals</w:t>
            </w: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SRS Parent Corp.</w:t>
            </w:r>
          </w:p>
        </w:tc>
        <w:tc>
          <w:tcPr>
            <w:tcW w:w="2860" w:type="dxa"/>
            <w:vAlign w:val="bottom"/>
            <w:gridSpan w:val="3"/>
            <w:shd w:val="clear" w:color="auto" w:fill="CCEEFF"/>
          </w:tcPr>
          <w:p>
            <w:pPr>
              <w:ind w:left="740"/>
              <w:spacing w:after="0" w:line="138" w:lineRule="exact"/>
              <w:rPr>
                <w:sz w:val="20"/>
                <w:szCs w:val="20"/>
                <w:color w:val="auto"/>
              </w:rPr>
            </w:pPr>
            <w:r>
              <w:rPr>
                <w:rFonts w:ascii="Arial" w:cs="Arial" w:eastAsia="Arial" w:hAnsi="Arial"/>
                <w:sz w:val="14"/>
                <w:szCs w:val="14"/>
                <w:color w:val="auto"/>
              </w:rPr>
              <w:t>Common Shares Class A</w:t>
            </w:r>
          </w:p>
        </w:tc>
        <w:tc>
          <w:tcPr>
            <w:tcW w:w="4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860" w:type="dxa"/>
            <w:vAlign w:val="bottom"/>
            <w:gridSpan w:val="3"/>
            <w:shd w:val="clear" w:color="auto" w:fill="CCEEFF"/>
          </w:tcPr>
          <w:p>
            <w:pPr>
              <w:ind w:left="740"/>
              <w:spacing w:after="0" w:line="159" w:lineRule="exact"/>
              <w:rPr>
                <w:sz w:val="20"/>
                <w:szCs w:val="20"/>
                <w:color w:val="auto"/>
              </w:rPr>
            </w:pPr>
            <w:r>
              <w:rPr>
                <w:rFonts w:ascii="Arial" w:cs="Arial" w:eastAsia="Arial" w:hAnsi="Arial"/>
                <w:sz w:val="14"/>
                <w:szCs w:val="14"/>
                <w:color w:val="auto"/>
              </w:rPr>
              <w:t>(1,980 shares)</w:t>
            </w: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1"/>
              </w:rPr>
              <w:t>12/28/2012</w:t>
            </w:r>
          </w:p>
        </w:tc>
        <w:tc>
          <w:tcPr>
            <w:tcW w:w="8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1,980</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931</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860" w:type="dxa"/>
            <w:vAlign w:val="bottom"/>
            <w:gridSpan w:val="3"/>
          </w:tcPr>
          <w:p>
            <w:pPr>
              <w:ind w:left="740"/>
              <w:spacing w:after="0" w:line="138" w:lineRule="exact"/>
              <w:rPr>
                <w:sz w:val="20"/>
                <w:szCs w:val="20"/>
                <w:color w:val="auto"/>
              </w:rPr>
            </w:pPr>
            <w:r>
              <w:rPr>
                <w:rFonts w:ascii="Arial" w:cs="Arial" w:eastAsia="Arial" w:hAnsi="Arial"/>
                <w:sz w:val="14"/>
                <w:szCs w:val="14"/>
                <w:color w:val="auto"/>
              </w:rPr>
              <w:t>Common Shares Class B</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860" w:type="dxa"/>
            <w:vAlign w:val="bottom"/>
            <w:gridSpan w:val="3"/>
          </w:tcPr>
          <w:p>
            <w:pPr>
              <w:ind w:left="740"/>
              <w:spacing w:after="0" w:line="159" w:lineRule="exact"/>
              <w:rPr>
                <w:sz w:val="20"/>
                <w:szCs w:val="20"/>
                <w:color w:val="auto"/>
              </w:rPr>
            </w:pPr>
            <w:r>
              <w:rPr>
                <w:rFonts w:ascii="Arial" w:cs="Arial" w:eastAsia="Arial" w:hAnsi="Arial"/>
                <w:sz w:val="14"/>
                <w:szCs w:val="14"/>
                <w:color w:val="auto"/>
              </w:rPr>
              <w:t>(2,953,020 shares)</w:t>
            </w: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1"/>
              </w:rPr>
              <w:t>12/28/2012</w:t>
            </w:r>
          </w:p>
        </w:tc>
        <w:tc>
          <w:tcPr>
            <w:tcW w:w="12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20</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940</w:t>
            </w:r>
          </w:p>
        </w:tc>
        <w:tc>
          <w:tcPr>
            <w:tcW w:w="11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Total Equity Investments</w:t>
            </w: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2,780</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1,720</w:t>
            </w:r>
          </w:p>
        </w:tc>
        <w:tc>
          <w:tcPr>
            <w:tcW w:w="118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7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  874,580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889,330</w:t>
            </w:r>
          </w:p>
        </w:tc>
        <w:tc>
          <w:tcPr>
            <w:tcW w:w="11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right="440" w:hanging="332"/>
        <w:spacing w:after="0" w:line="268" w:lineRule="auto"/>
        <w:tabs>
          <w:tab w:leader="none" w:pos="3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Unless otherwise indicated, our portfolio companies are domiciled in the United States. As of September 30, 2013, we do not “control” any of the portfolio companies nor are any of our portfolio companies considered to be “affiliates.” See Note 4 to the unaudited consolidated interim financial statements. Certain portfolio company investments are subject to contractual restrictions on sales.</w:t>
      </w:r>
    </w:p>
    <w:p>
      <w:pPr>
        <w:ind w:left="340" w:hanging="332"/>
        <w:spacing w:after="0" w:line="22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ind w:left="340" w:right="480" w:hanging="332"/>
        <w:spacing w:after="0" w:line="258" w:lineRule="auto"/>
        <w:tabs>
          <w:tab w:leader="none" w:pos="3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ind w:left="340" w:hanging="332"/>
        <w:spacing w:after="0"/>
        <w:tabs>
          <w:tab w:leader="none" w:pos="3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In addition to the interest earned based on the stated interest rate of this loan, we may be entitled to receive additional interest as a result of our arrangement with other lenders in a syndication.</w:t>
      </w:r>
    </w:p>
    <w:p>
      <w:pPr>
        <w:spacing w:after="0" w:line="10" w:lineRule="exact"/>
        <w:rPr>
          <w:rFonts w:ascii="Arial" w:cs="Arial" w:eastAsia="Arial" w:hAnsi="Arial"/>
          <w:sz w:val="12"/>
          <w:szCs w:val="12"/>
          <w:color w:val="auto"/>
        </w:rPr>
      </w:pPr>
    </w:p>
    <w:p>
      <w:pPr>
        <w:ind w:left="340" w:right="20" w:hanging="332"/>
        <w:spacing w:after="0" w:line="22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investment, or a portion thereof, is held within TPG SL SPV, LLC, a wholly-owned subsidiary of our, and is pledged as collateral supporting the amounts outstanding under the revolving credit facility with Natixis Bank. See Note 7 to the unaudited consolidated interim financial statements.</w:t>
      </w:r>
    </w:p>
    <w:p>
      <w:pPr>
        <w:ind w:left="340" w:right="80" w:hanging="332"/>
        <w:spacing w:after="0" w:line="230"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This portfolio company is a non-U.S. corporation and, as a result, is not a qualifying asset under Section 55(a) of the 1940 Act. Under the 1940 Act, we may not acquire any non-qualifying asset unless, at the time such acquisition is made, qualifying assets represent at least 70% of total assets.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business and affairs are managed under the direction of our Board. Our Board consists of five members, three of whom are not “interested persons” of us, our Adviser or our or its respective affiliates as defined in Section 2(a)(19) of the 1940 Act and who are considered independent under the applicable NYSE listing standards. We refer to these individuals as our Independent Directors. Our Board elects our officers and our officers serve until their resignation or termination or until their successors are duly elected and qualified. The responsibilities of our Board include, among other things, oversight of our investment activities, quarterly valuation of our assets, oversight of our financing arrangements and corporate governance activities. Our Board has an audit committee and an IPO Committee and may establish additional committees from time to time as necessary. In anticipation of this IPO, we will form a nominating and corporate governance committee and a compensation committee.</w:t>
      </w:r>
    </w:p>
    <w:p>
      <w:pPr>
        <w:spacing w:after="0" w:line="118"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Pursuant to our certificate of incorporation, our Board consists of five members. The Board is divided into three classes, with the members of each class each serving staggered, three-year terms. The terms of our Class I directors will expire at the 2015 annual meeting of stockholders; the term of our Class II director will expire at the 2016 annual meeting of stockholders; and the terms of our Class III directors will expire at the 2014 annual meeting of stockholders.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Messrs. Higginbotham and Tanemura serve as Class I directors (with a term expiring in 2015). Mr. Ross serves as a Class II director (with a term expiring in 2016). Messrs. Easterly and Fishman serve as Class III directors (with a term expiring in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Brief biographies of the members of the Board are set forth below.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0" w:type="dxa"/>
            <w:vAlign w:val="bottom"/>
            <w:gridSpan w:val="2"/>
            <w:vMerge w:val="restart"/>
          </w:tcPr>
          <w:p>
            <w:pPr>
              <w:ind w:left="1920"/>
              <w:spacing w:after="0"/>
              <w:rPr>
                <w:sz w:val="20"/>
                <w:szCs w:val="20"/>
                <w:color w:val="auto"/>
              </w:rPr>
            </w:pPr>
            <w:r>
              <w:rPr>
                <w:rFonts w:ascii="Arial" w:cs="Arial" w:eastAsia="Arial" w:hAnsi="Arial"/>
                <w:sz w:val="14"/>
                <w:szCs w:val="14"/>
                <w:b w:val="1"/>
                <w:bCs w:val="1"/>
                <w:color w:val="auto"/>
              </w:rPr>
              <w:t>Position</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Expiration</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Director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80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75"/>
              </w:rPr>
              <w:t>Age</w:t>
            </w:r>
          </w:p>
        </w:tc>
        <w:tc>
          <w:tcPr>
            <w:tcW w:w="4800" w:type="dxa"/>
            <w:vAlign w:val="bottom"/>
            <w:gridSpan w:val="2"/>
            <w:vMerge w:val="continue"/>
          </w:tcPr>
          <w:p>
            <w:pPr>
              <w:spacing w:after="0"/>
              <w:rPr>
                <w:sz w:val="14"/>
                <w:szCs w:val="14"/>
                <w:color w:val="auto"/>
              </w:rPr>
            </w:pPr>
          </w:p>
        </w:tc>
        <w:tc>
          <w:tcPr>
            <w:tcW w:w="12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of Term</w:t>
            </w: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190"/>
        </w:trPr>
        <w:tc>
          <w:tcPr>
            <w:tcW w:w="31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Independent Directors</w:t>
            </w: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3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66</w:t>
            </w: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2015</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50</w:t>
            </w: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2015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69</w:t>
            </w: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2016</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Interested Directors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Joshua Easterly</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37</w:t>
            </w:r>
          </w:p>
        </w:tc>
        <w:tc>
          <w:tcPr>
            <w:tcW w:w="4800" w:type="dxa"/>
            <w:vAlign w:val="bottom"/>
            <w:gridSpan w:val="2"/>
          </w:tcPr>
          <w:p>
            <w:pPr>
              <w:spacing w:after="0"/>
              <w:rPr>
                <w:sz w:val="20"/>
                <w:szCs w:val="20"/>
                <w:color w:val="auto"/>
              </w:rPr>
            </w:pPr>
            <w:r>
              <w:rPr>
                <w:rFonts w:ascii="Arial" w:cs="Arial" w:eastAsia="Arial" w:hAnsi="Arial"/>
                <w:sz w:val="18"/>
                <w:szCs w:val="18"/>
                <w:color w:val="auto"/>
              </w:rPr>
              <w:t>Chairman, Director and Co-Chief Executive Officer</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2014</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Fishman</w:t>
            </w:r>
          </w:p>
        </w:tc>
        <w:tc>
          <w:tcPr>
            <w:tcW w:w="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51</w:t>
            </w: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and Co-Chief Executive Officer</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2014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84"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b w:val="1"/>
          <w:bCs w:val="1"/>
          <w:color w:val="auto"/>
        </w:rPr>
        <w:t xml:space="preserve">Richard Higginbotham </w:t>
      </w:r>
      <w:r>
        <w:rPr>
          <w:rFonts w:ascii="Arial" w:cs="Arial" w:eastAsia="Arial" w:hAnsi="Arial"/>
          <w:sz w:val="16"/>
          <w:szCs w:val="16"/>
          <w:color w:val="auto"/>
        </w:rPr>
        <w:t>was elected a director of TSL in March 2011. From 2010 to 2013, he was a director of Healthcare Finance Group LLC.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July 2008 and March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color w:val="auto"/>
        </w:rPr>
        <w:t xml:space="preserve">Ronald Tanemura </w:t>
      </w:r>
      <w:r>
        <w:rPr>
          <w:rFonts w:ascii="Arial" w:cs="Arial" w:eastAsia="Arial" w:hAnsi="Arial"/>
          <w:sz w:val="16"/>
          <w:szCs w:val="16"/>
          <w:color w:val="auto"/>
        </w:rPr>
        <w:t>was elected a director of TSL in March 2011. Since 2012, Mr. Tanemura has served as a director of Lehman Brothers Holdings Inc., or</w:t>
      </w:r>
      <w:r>
        <w:rPr>
          <w:rFonts w:ascii="Arial" w:cs="Arial" w:eastAsia="Arial" w:hAnsi="Arial"/>
          <w:sz w:val="16"/>
          <w:szCs w:val="16"/>
          <w:b w:val="1"/>
          <w:bCs w:val="1"/>
          <w:color w:val="auto"/>
        </w:rPr>
        <w:t xml:space="preserve"> </w:t>
      </w:r>
      <w:r>
        <w:rPr>
          <w:rFonts w:ascii="Arial" w:cs="Arial" w:eastAsia="Arial" w:hAnsi="Arial"/>
          <w:sz w:val="16"/>
          <w:szCs w:val="16"/>
          <w:color w:val="auto"/>
        </w:rPr>
        <w:t>LBHI, in New York and is a member of the Derivatives, Non-Controlled Affiliates and Finance committees of LBHI, and has also served on the Banks and Loans committee. In addition, he serves as a board member of several companies currently managed by LBHI under its plan of reorganization. Also, since November 2012, he has served as a non-executive director of ICE Clear Credit in Chicago and, since 2009, he has served as a non-executive director of ICE Clear Europe in London, both wholly owned subsidiaries of IntercontinentalExchange, Inc. From 2008 to 2010, he served as an independent advisor to the ICE Trust U.S. LLC. Between 2004 and 2006, Mr. Tanemura served as an Advisory Director to Goldman, Sachs &amp; Co. Prior to that, Mr. Tanemura was a Partner at Goldman, Sachs &amp; Co. from 2000 to 2004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11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John Ross </w:t>
      </w:r>
      <w:r>
        <w:rPr>
          <w:rFonts w:ascii="Arial" w:cs="Arial" w:eastAsia="Arial" w:hAnsi="Arial"/>
          <w:sz w:val="16"/>
          <w:szCs w:val="16"/>
          <w:color w:val="auto"/>
        </w:rPr>
        <w:t>was elected a director of TSL in March 2011. From 2003 to 2011, Mr. Ross was a director and member of the board risk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w:t>
      </w:r>
    </w:p>
    <w:p>
      <w:pPr>
        <w:jc w:val="both"/>
        <w:ind w:right="20"/>
        <w:spacing w:after="0" w:line="361" w:lineRule="auto"/>
        <w:rPr>
          <w:sz w:val="20"/>
          <w:szCs w:val="20"/>
          <w:color w:val="auto"/>
        </w:rPr>
      </w:pPr>
      <w:r>
        <w:rPr>
          <w:rFonts w:ascii="Arial" w:cs="Arial" w:eastAsia="Arial" w:hAnsi="Arial"/>
          <w:sz w:val="15"/>
          <w:szCs w:val="15"/>
          <w:color w:val="auto"/>
        </w:rPr>
        <w:t>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8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5"/>
          <w:szCs w:val="15"/>
          <w:b w:val="1"/>
          <w:bCs w:val="1"/>
          <w:color w:val="auto"/>
        </w:rPr>
        <w:t xml:space="preserve">Joshua Easterly </w:t>
      </w:r>
      <w:r>
        <w:rPr>
          <w:rFonts w:ascii="Arial" w:cs="Arial" w:eastAsia="Arial" w:hAnsi="Arial"/>
          <w:sz w:val="15"/>
          <w:szCs w:val="15"/>
          <w:color w:val="auto"/>
        </w:rPr>
        <w:t>was appointed Co-Chief Executive Officer in December 2013 and elected a director and Chairman of TSL in March 2011. Mr. Easterly is</w:t>
      </w:r>
      <w:r>
        <w:rPr>
          <w:rFonts w:ascii="Arial" w:cs="Arial" w:eastAsia="Arial" w:hAnsi="Arial"/>
          <w:sz w:val="15"/>
          <w:szCs w:val="15"/>
          <w:b w:val="1"/>
          <w:bCs w:val="1"/>
          <w:color w:val="auto"/>
        </w:rPr>
        <w:t xml:space="preserve"> </w:t>
      </w:r>
      <w:r>
        <w:rPr>
          <w:rFonts w:ascii="Arial" w:cs="Arial" w:eastAsia="Arial" w:hAnsi="Arial"/>
          <w:sz w:val="15"/>
          <w:szCs w:val="15"/>
          <w:color w:val="auto"/>
        </w:rPr>
        <w:t>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TSSP, provides the Board with valuable insight and expertise.</w:t>
      </w:r>
    </w:p>
    <w:p>
      <w:pPr>
        <w:spacing w:after="0" w:line="13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 xml:space="preserve">Michael Fishman </w:t>
      </w:r>
      <w:r>
        <w:rPr>
          <w:rFonts w:ascii="Arial" w:cs="Arial" w:eastAsia="Arial" w:hAnsi="Arial"/>
          <w:sz w:val="16"/>
          <w:szCs w:val="16"/>
          <w:color w:val="auto"/>
        </w:rPr>
        <w:t>was appointed director and Chief Executive Officer of TSL in April 2011 and became Co-Chief Executive Officer in December 2013.</w:t>
      </w:r>
      <w:r>
        <w:rPr>
          <w:rFonts w:ascii="Arial" w:cs="Arial" w:eastAsia="Arial" w:hAnsi="Arial"/>
          <w:sz w:val="16"/>
          <w:szCs w:val="16"/>
          <w:b w:val="1"/>
          <w:bCs w:val="1"/>
          <w:color w:val="auto"/>
        </w:rPr>
        <w:t xml:space="preserve"> </w:t>
      </w:r>
      <w:r>
        <w:rPr>
          <w:rFonts w:ascii="Arial" w:cs="Arial" w:eastAsia="Arial" w:hAnsi="Arial"/>
          <w:sz w:val="16"/>
          <w:szCs w:val="16"/>
          <w:color w:val="auto"/>
        </w:rPr>
        <w:t>Mr. Fishman has been an executive in corporate lending for more than 20 years with senior management experience in credit, portfolio management and primary loan originations. Prior to joining TSL,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contributed to various industry publications and panel discussions, and has sat on the board of the American Bankruptcy Institute. He holds a degree in Finance from Rochester Institute of Technology. Mr. Fishman’s extensive experience in the credit markets provides the Board with valuable industry-specific knowledge.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Regarding Executive Officers Who Are Not Directors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3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3"/>
              </w:rPr>
              <w:t>Position</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Officer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500" w:type="dxa"/>
            <w:vAlign w:val="bottom"/>
            <w:vMerge w:val="continue"/>
          </w:tcPr>
          <w:p>
            <w:pPr>
              <w:spacing w:after="0"/>
              <w:rPr>
                <w:sz w:val="14"/>
                <w:szCs w:val="14"/>
                <w:color w:val="auto"/>
              </w:rPr>
            </w:pPr>
          </w:p>
        </w:tc>
        <w:tc>
          <w:tcPr>
            <w:tcW w:w="74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w w:val="83"/>
              </w:rPr>
              <w:t>Age</w:t>
            </w:r>
          </w:p>
        </w:tc>
        <w:tc>
          <w:tcPr>
            <w:tcW w:w="4360" w:type="dxa"/>
            <w:vAlign w:val="bottom"/>
            <w:gridSpan w:val="2"/>
            <w:vMerge w:val="continue"/>
          </w:tcPr>
          <w:p>
            <w:pPr>
              <w:spacing w:after="0"/>
              <w:rPr>
                <w:sz w:val="14"/>
                <w:szCs w:val="14"/>
                <w:color w:val="auto"/>
              </w:rPr>
            </w:pPr>
          </w:p>
        </w:tc>
        <w:tc>
          <w:tcPr>
            <w:tcW w:w="52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w w:val="96"/>
              </w:rPr>
              <w:t>Since</w:t>
            </w: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Ronald Cami</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w:t>
            </w:r>
          </w:p>
        </w:tc>
        <w:tc>
          <w:tcPr>
            <w:tcW w:w="500" w:type="dxa"/>
            <w:vAlign w:val="bottom"/>
            <w:tcBorders>
              <w:top w:val="single" w:sz="8" w:color="CCEEFF"/>
            </w:tcBorders>
            <w:shd w:val="clear" w:color="auto" w:fill="CCEEFF"/>
          </w:tcPr>
          <w:p>
            <w:pPr>
              <w:spacing w:after="0"/>
              <w:rPr>
                <w:sz w:val="17"/>
                <w:szCs w:val="17"/>
                <w:color w:val="auto"/>
              </w:rPr>
            </w:pPr>
          </w:p>
        </w:tc>
        <w:tc>
          <w:tcPr>
            <w:tcW w:w="39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Vice President</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2011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Alan Kirshenbaum</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42</w:t>
            </w:r>
          </w:p>
        </w:tc>
        <w:tc>
          <w:tcPr>
            <w:tcW w:w="43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Chief Financial Officer</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Mello</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w:t>
            </w:r>
          </w:p>
        </w:tc>
        <w:tc>
          <w:tcPr>
            <w:tcW w:w="43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7"/>
              </w:rPr>
              <w:t>Vice President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Steven Pluss</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51</w:t>
            </w:r>
          </w:p>
        </w:tc>
        <w:tc>
          <w:tcPr>
            <w:tcW w:w="436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Vice President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Reintjes</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w:t>
            </w:r>
          </w:p>
        </w:tc>
        <w:tc>
          <w:tcPr>
            <w:tcW w:w="43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9"/>
              </w:rPr>
              <w:t>Chief Compliance Officer and Secretary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42</w:t>
            </w:r>
          </w:p>
        </w:tc>
        <w:tc>
          <w:tcPr>
            <w:tcW w:w="436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Vice President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Waxman</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w:t>
            </w:r>
          </w:p>
        </w:tc>
        <w:tc>
          <w:tcPr>
            <w:tcW w:w="43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7"/>
              </w:rPr>
              <w:t>Vice President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of our executive officers is c/o TPG Specialty Lending, 301 Commerce Street, Suite 3300, Fort Worth, TX 76102.</w:t>
      </w:r>
    </w:p>
    <w:p>
      <w:pPr>
        <w:spacing w:after="0" w:line="165"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b w:val="1"/>
          <w:bCs w:val="1"/>
          <w:color w:val="auto"/>
        </w:rPr>
        <w:t xml:space="preserve">Ronald Cami </w:t>
      </w:r>
      <w:r>
        <w:rPr>
          <w:rFonts w:ascii="Arial" w:cs="Arial" w:eastAsia="Arial" w:hAnsi="Arial"/>
          <w:sz w:val="16"/>
          <w:szCs w:val="16"/>
          <w:color w:val="auto"/>
        </w:rPr>
        <w:t>is a Vice President of TSL. Mr. Cami joined TPG as Partner and General Counsel in June 2010. From 2000 until he joined TPG in 2010,</w:t>
      </w:r>
      <w:r>
        <w:rPr>
          <w:rFonts w:ascii="Arial" w:cs="Arial" w:eastAsia="Arial" w:hAnsi="Arial"/>
          <w:sz w:val="16"/>
          <w:szCs w:val="16"/>
          <w:b w:val="1"/>
          <w:bCs w:val="1"/>
          <w:color w:val="auto"/>
        </w:rPr>
        <w:t xml:space="preserve"> </w:t>
      </w:r>
      <w:r>
        <w:rPr>
          <w:rFonts w:ascii="Arial" w:cs="Arial" w:eastAsia="Arial" w:hAnsi="Arial"/>
          <w:sz w:val="16"/>
          <w:szCs w:val="16"/>
          <w:color w:val="auto"/>
        </w:rPr>
        <w:t>Mr. Cami was a partner at the law firm Cravath, Swaine &amp; Moore LLP, in New York, where his practice focused on mergers and acquisitions, leveraged transactions and general corporate and board advice. From 1994 through 2000, Mr. Cami was an associate in the New York and London offices of Cravath, Swaine &amp; Moore LLP. Prior to that, Mr. Cami served as a law clerk to the Honorable Kevin Thomas Duffy of the Southern District of New York, during which time Judge Duffy presided over the World Trade Center bombing case. Mr. Cami has also served as a director of Blount International Inc. since December 2010. Mr. Cami received his B.A. from Harvard University and his J.D. from Rutgers Law School.</w:t>
      </w:r>
    </w:p>
    <w:p>
      <w:pPr>
        <w:spacing w:after="0" w:line="11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Alan Kirshenbaum </w:t>
      </w:r>
      <w:r>
        <w:rPr>
          <w:rFonts w:ascii="Arial" w:cs="Arial" w:eastAsia="Arial" w:hAnsi="Arial"/>
          <w:sz w:val="18"/>
          <w:szCs w:val="18"/>
          <w:color w:val="auto"/>
        </w:rPr>
        <w:t>is Chief Financial Officer of TSL. Prior to being named Chief Financial Officer, Mr. Kirshenbaum was a Vice President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since 2011. From 2011 to 2013, Mr. Kirshenbaum was Chief Financial Officer and Executive Director of TSSP. From 2007 to 2011, Mr. Kirshenbaum was the Chief Financial Officer of Natsource, a private investment firm. Mr. Kirshenbaum was a Managing Director, Chief Operating Officer and Chief Financial Officer of MainStay Investments from 2006 to 2007. Mr. Kirshenbaum joined Bear Stearns Asset Management, or BSAM, in 1999 and was BSAM’s Chief Financial Officer from 2003 to 2006. Prior to working at BSAM, Mr. Kirshenbaum worked in public accounting at KPMG from 1996 to 1999 and J.H. Cohn from 1994 to 1996. Mr. Kirshenbaum is a Certified Public Accountant and received a B.S. from Rutgers University in 1994 and an M.B.A. from New York University’s Stern School of Business in 2003.</w:t>
      </w:r>
    </w:p>
    <w:p>
      <w:pPr>
        <w:spacing w:after="0" w:line="141"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Jennifer Mello </w:t>
      </w:r>
      <w:r>
        <w:rPr>
          <w:rFonts w:ascii="Arial" w:cs="Arial" w:eastAsia="Arial" w:hAnsi="Arial"/>
          <w:sz w:val="16"/>
          <w:szCs w:val="16"/>
          <w:color w:val="auto"/>
        </w:rPr>
        <w:t>is a Vice President of TSL. Since 2012, Ms. Mello has been the General Counsel and Principal of TSSP and, prior to joining TSSP, she was</w:t>
      </w:r>
      <w:r>
        <w:rPr>
          <w:rFonts w:ascii="Arial" w:cs="Arial" w:eastAsia="Arial" w:hAnsi="Arial"/>
          <w:sz w:val="16"/>
          <w:szCs w:val="16"/>
          <w:b w:val="1"/>
          <w:bCs w:val="1"/>
          <w:color w:val="auto"/>
        </w:rPr>
        <w:t xml:space="preserve"> </w:t>
      </w:r>
      <w:r>
        <w:rPr>
          <w:rFonts w:ascii="Arial" w:cs="Arial" w:eastAsia="Arial" w:hAnsi="Arial"/>
          <w:sz w:val="16"/>
          <w:szCs w:val="16"/>
          <w:color w:val="auto"/>
        </w:rPr>
        <w:t>Deputy General Counsel of TPG. Prior to joining TPG, she was a senior attorney at the law firm of Cleary Gottlieb Steen &amp; Hamilton LLP. Ms. Mello received her J.D. from Northwestern University School of Law and her B.S. from the Edmund A. Walsh School of Foreign Service at Georgetown University.</w:t>
      </w:r>
    </w:p>
    <w:p>
      <w:pPr>
        <w:spacing w:after="0" w:line="97" w:lineRule="exact"/>
        <w:rPr>
          <w:sz w:val="20"/>
          <w:szCs w:val="20"/>
          <w:color w:val="auto"/>
        </w:rPr>
      </w:pPr>
    </w:p>
    <w:p>
      <w:pPr>
        <w:ind w:right="200" w:firstLine="456"/>
        <w:spacing w:after="0" w:line="326" w:lineRule="auto"/>
        <w:rPr>
          <w:sz w:val="20"/>
          <w:szCs w:val="20"/>
          <w:color w:val="auto"/>
        </w:rPr>
      </w:pPr>
      <w:r>
        <w:rPr>
          <w:rFonts w:ascii="Arial" w:cs="Arial" w:eastAsia="Arial" w:hAnsi="Arial"/>
          <w:sz w:val="15"/>
          <w:szCs w:val="15"/>
          <w:b w:val="1"/>
          <w:bCs w:val="1"/>
          <w:color w:val="auto"/>
        </w:rPr>
        <w:t xml:space="preserve">Steven Pluss </w:t>
      </w:r>
      <w:r>
        <w:rPr>
          <w:rFonts w:ascii="Arial" w:cs="Arial" w:eastAsia="Arial" w:hAnsi="Arial"/>
          <w:sz w:val="15"/>
          <w:szCs w:val="15"/>
          <w:color w:val="auto"/>
        </w:rPr>
        <w:t>is a Vice President of TSL. He is also a TPG and TSSP Partner and has been the Global Chief Financial Officer and Chief Risk Officer of</w:t>
      </w:r>
      <w:r>
        <w:rPr>
          <w:rFonts w:ascii="Arial" w:cs="Arial" w:eastAsia="Arial" w:hAnsi="Arial"/>
          <w:sz w:val="15"/>
          <w:szCs w:val="15"/>
          <w:b w:val="1"/>
          <w:bCs w:val="1"/>
          <w:color w:val="auto"/>
        </w:rPr>
        <w:t xml:space="preserve"> </w:t>
      </w:r>
      <w:r>
        <w:rPr>
          <w:rFonts w:ascii="Arial" w:cs="Arial" w:eastAsia="Arial" w:hAnsi="Arial"/>
          <w:sz w:val="15"/>
          <w:szCs w:val="15"/>
          <w:color w:val="auto"/>
        </w:rPr>
        <w:t>TSSP since 2013. Prior to joining TSSP,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received a B.B.A from Texas A&amp;M University and an M.B.A from Southern Methodist University.</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 xml:space="preserve">David Reintjes </w:t>
      </w:r>
      <w:r>
        <w:rPr>
          <w:rFonts w:ascii="Arial" w:cs="Arial" w:eastAsia="Arial" w:hAnsi="Arial"/>
          <w:sz w:val="18"/>
          <w:szCs w:val="18"/>
          <w:color w:val="auto"/>
        </w:rPr>
        <w:t>is the Chief Compliance Officer and Secretary of TSL. Since 2007, he has been TPG’s Chief Compliance Officer and Deputy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Prior to joining TPG, Mr. Reintjes was a member of the corporate practice group at Sonnenschein Nath &amp; Rosenthal LLP (now Dentons), and, from 1997 to 2005, he was a member of the corporate and securities practice group at Kelly, Hart &amp; Hallman LLP. Mr. Reintjes received a J.D. from the University of Kansas and a B.A. from the University of Notre Dame.</w:t>
      </w:r>
    </w:p>
    <w:p>
      <w:pPr>
        <w:spacing w:after="0" w:line="13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 He is also a TPG and TSSP Partner and has served as TSSP’s Chief Operating Officer since 2010. From</w:t>
      </w:r>
      <w:r>
        <w:rPr>
          <w:rFonts w:ascii="Arial" w:cs="Arial" w:eastAsia="Arial" w:hAnsi="Arial"/>
          <w:sz w:val="18"/>
          <w:szCs w:val="18"/>
          <w:b w:val="1"/>
          <w:bCs w:val="1"/>
          <w:color w:val="auto"/>
        </w:rPr>
        <w:t xml:space="preserve"> </w:t>
      </w:r>
      <w:r>
        <w:rPr>
          <w:rFonts w:ascii="Arial" w:cs="Arial" w:eastAsia="Arial" w:hAnsi="Arial"/>
          <w:sz w:val="18"/>
          <w:szCs w:val="18"/>
          <w:color w:val="auto"/>
        </w:rPr>
        <w:t>2007 to 2010, Mr. Stiepleman was a Managing Director and the Deputy General Counsel of Fortress Investment Group LLC, where he was the lead lawyer responsible for that firm’s new business initiatives. Prior to that, from 2003 to 2007, he was lead counsel to the Americas Special Situations Group and the Mortgages Department at Goldman, Sachs &amp; Co. Mr. Stiepleman received a B.A. in French and Political Science from Amherst College and a J.D. from Columbia University.</w:t>
      </w:r>
    </w:p>
    <w:p>
      <w:pPr>
        <w:spacing w:after="0" w:line="139"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Alan Waxman </w:t>
      </w:r>
      <w:r>
        <w:rPr>
          <w:rFonts w:ascii="Arial" w:cs="Arial" w:eastAsia="Arial" w:hAnsi="Arial"/>
          <w:sz w:val="16"/>
          <w:szCs w:val="16"/>
          <w:color w:val="auto"/>
        </w:rPr>
        <w:t>is a Vice President of TSL. Mr. Waxman is a TPG Partner and is a member of the TPG’s Executive Committee. He has been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Officer and TSSP Partner and Co-Chief Investment 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and where he currently serves on their board of the School of Arts and Sciences.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BDC is considered to be independent if he or she is not an “interested person” of ours, as defined in Section 2(a)(19) of the 1940 Act.</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Exchange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Messrs. Easterly and Fishman are considered “interested persons” (as defined in the 1940 Act) of ours. See “—Biographical Information—Interested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Rights and Observers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Prior to this IPO, under the terms of an agreement between TSL and Universities Superannuation Scheme Ltd., or USS, USS had the right to nominate one director to our Board. This right to nominate was not exercised by USS and terminates in connection with this IPO.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In addition, prior to this IPO, under the terms of agreements between TSL and Oregon Public Employees Retirement Fund, State Teachers Retirement System of Ohio, State of New Jersey Common Pension Fund B, and USS, TSL was required to invite a representative from each to attend the meetings of the Board (including any meeting of the IPO Committee) in a nonvoting observer capacity. The observer rights terminate in connection with this IPO.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 met four times in 2013, four times during 2012 and acted on various occasions by written consent.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 at this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 and approves the engagement, and reviews the performance of, our independent registered public accounting firm.</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an Audit Committee, consisting solely of Independent Directors for the purposes of Rule 10A-3 under the Exchange Act. In addition, our corporate governance practices include the appointment of our Chief Compliance Officer, with whom the Independent Directors meet in executive session without the presence of interested directors and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Board performs its risk oversight function primarily through its committees and monitoring by our Chief Compliance Officer in accordance with its compliance policies and procedures.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 described below in more detail under “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9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59"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compliance matter that has occurred about which the Board would reasonably need to know to oversee our compliance activities and risks.</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 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RIC under Subchapter M of the Code. As a RIC, we must, among other things, meet certain source of income, asset diversification and distribution requirements.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Secretary of the Company, David Reintjes, 301 Commerce Street, Suite 3300, Fort Worth, TX 76102. Such communications should specify the intended recipient or recipients. All such communications, other than unsolicited commercial solicitations, will be forwarded to the appropriate director, or directors, for review.</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40"/>
          </w:cols>
          <w:pgMar w:left="240" w:top="459" w:right="3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51"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listing standards and Rule 10A-3 under the Exchange Act.</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held eight meetings in 2013 and eight meetings in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Corporate Governance Committee is responsible for:</w:t>
      </w:r>
    </w:p>
    <w:p>
      <w:pPr>
        <w:spacing w:after="0" w:line="90"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Nominating and Corporate Governance Committee will consider nominees to the Board recommended by a stockholder, if that stockholder complies with the advance notice provisions of our bylaws, as described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members of the Nominating and Corporate Governance Committee are Messrs. Ross, Higginbotham and Tanemura, each of whom is independent for</w:t>
      </w:r>
    </w:p>
    <w:p>
      <w:pPr>
        <w:spacing w:after="0" w:line="38"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purposes of NYSE corporate governance rules, and serves as Chairman. The Nominating and Corporate Governance Committee will meet times each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is responsible for:</w:t>
      </w:r>
    </w:p>
    <w:p>
      <w:pPr>
        <w:spacing w:after="0" w:line="90" w:lineRule="exact"/>
        <w:rPr>
          <w:sz w:val="20"/>
          <w:szCs w:val="20"/>
          <w:color w:val="auto"/>
        </w:rPr>
      </w:pPr>
    </w:p>
    <w:p>
      <w:pPr>
        <w:ind w:left="900" w:right="680" w:hanging="325"/>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and approving the reimbursement by us of compensation paid by the Adviser or its affiliates pursuant to the Investment Advisory Agreement and the Administration Agreement;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See “—Compensation and Insider Participation— Compensation of Executive Officers.”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members of the Compensation Committee are Messrs. Ross, Higginbotham and Tanemura, each of whom is independent for purposes of NYSE</w:t>
      </w:r>
    </w:p>
    <w:p>
      <w:pPr>
        <w:spacing w:after="0" w:line="38"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color w:val="auto"/>
        </w:rPr>
        <w:t>corporate governance rules.</w:t>
      </w:r>
      <w:r>
        <w:rPr>
          <w:sz w:val="20"/>
          <w:szCs w:val="20"/>
          <w:color w:val="auto"/>
        </w:rPr>
        <w:tab/>
      </w:r>
      <w:r>
        <w:rPr>
          <w:rFonts w:ascii="Arial" w:cs="Arial" w:eastAsia="Arial" w:hAnsi="Arial"/>
          <w:sz w:val="15"/>
          <w:szCs w:val="15"/>
          <w:color w:val="auto"/>
        </w:rPr>
        <w:t>serves as Chairman. The Compensation Committee will meet one time each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Committee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bylaws also establish an IPO Committee. The IPO Committee’s primary function is to advise the Board regarding matters relating to an initial public offering of our common stock, including:</w:t>
      </w:r>
    </w:p>
    <w:p>
      <w:pPr>
        <w:spacing w:after="0" w:line="51"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preparation of this registration statement and prospectus in connection with an initial public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issuance and sale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negotiation of the terms and conditions of any underwriting agreements relating to an initial public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determination that all common stock is validly issued;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authorization of certain of our officers to execute and deliver the documents relevant to an initial public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IPO Committee acts solely in an advisory capacity to the Board and is not authorized to take any actions on behalf of the Board or us.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Messrs. Easterly and Tanemura are members of the IPO Committee, and it currently does not have a designated chairman. The IPO Committee held one meeting in 2013 and did not hold any meetings in 2012. Following this IPO, we will no longer have an IPO committee.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Upon consummation of this offering, we will maintain a corporate governance section on our website, which contains copies of the charters for the committees of our Board of Directors. The corporate governance section may be found at http://www.tpgspecialtylending.com in the “Investor Relations” section of our website. Information on our website is not incorporated into or part of this prospectus. The corporate governance section contains the following documents, which are available in print to any stockholder who requests a copy in writing at 345 California Street, Suite 3300, San Francisco, CA 94104, Attention: Investor Relations, or by emailing us at </w:t>
      </w:r>
      <w:r>
        <w:rPr>
          <w:rFonts w:ascii="Arial" w:cs="Arial" w:eastAsia="Arial" w:hAnsi="Arial"/>
          <w:sz w:val="18"/>
          <w:szCs w:val="18"/>
          <w:i w:val="1"/>
          <w:iCs w:val="1"/>
          <w:color w:val="auto"/>
        </w:rPr>
        <w:t>IRTSL@tpg.com</w:t>
      </w:r>
      <w:r>
        <w:rPr>
          <w:rFonts w:ascii="Arial" w:cs="Arial" w:eastAsia="Arial" w:hAnsi="Arial"/>
          <w:sz w:val="18"/>
          <w:szCs w:val="18"/>
          <w:color w:val="auto"/>
        </w:rPr>
        <w:t>:</w:t>
      </w:r>
    </w:p>
    <w:p>
      <w:pPr>
        <w:spacing w:after="0" w:line="62"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addition, our Code of Business Conduct and Ethics and our Corporate Governance Guidelines may be found at http://www.tpgspecialtylending.com in the “Investor Relations” section of our website and are available in print to any stockholder who requests a copy in writing.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David Reintjes, 301 Commerce Street, Suite 3300, Fort Worth, TX 76102. Please refer to the text of our bylaws (including Article II, paragraph (K)) which are on file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the Nominating and Corporate Governance Committee considers, among others, the following factors:</w:t>
      </w:r>
    </w:p>
    <w:p>
      <w:pPr>
        <w:spacing w:after="0" w:line="90"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 as defined in Section 2(a)(19) of the 1940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needs of TSL with respect to the particular talents and experience of its directors;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desire to balance the considerable benefit of continuity with the periodic injection of the fresh perspective provided by new members;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Nominating and Corporate Governance Committee’s goal is to assemble a board that brings to TSL a variety of perspectives and skills derived from high-quality business and professional experience.</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 and its stockholders. The Board also believes it appropriate for certain key members of our management to participate as members of the Board.</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 To date, we have not engaged third parties to identify or evaluate or assist in identifying potential nominees, although we reserve the right in the future to retain a third-party search firm, if necessary.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Board believes that the inclusion of diversity as one of many factors considered in selecting director nominees is consistent with the Board’s goal of creating a Board that best serves the needs of TSL and the interests of its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90"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$75,000 annual retainer, which will be $100,000 following this IPO;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additional fee of $5,000 per year for the chairman of the Audit Committee.</w:t>
      </w:r>
    </w:p>
    <w:p>
      <w:pPr>
        <w:spacing w:after="0" w:line="171"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During the year ended December 31, 2012, we also reimbursed directors for certain out-of-pocket expenses each Independent Director incurred in connection with the fulfillment of his duties as an Independent Director. In each case these amounts were under $500 in the aggregate per Independent Director.</w:t>
      </w:r>
    </w:p>
    <w:p>
      <w:pPr>
        <w:spacing w:after="0" w:line="6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2012:</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180" w:type="dxa"/>
            <w:vAlign w:val="bottom"/>
            <w:gridSpan w:val="3"/>
          </w:tcPr>
          <w:p>
            <w:pPr>
              <w:jc w:val="right"/>
              <w:spacing w:after="0"/>
              <w:rPr>
                <w:sz w:val="20"/>
                <w:szCs w:val="20"/>
                <w:color w:val="auto"/>
              </w:rPr>
            </w:pPr>
            <w:r>
              <w:rPr>
                <w:rFonts w:ascii="Arial" w:cs="Arial" w:eastAsia="Arial" w:hAnsi="Arial"/>
                <w:sz w:val="14"/>
                <w:szCs w:val="14"/>
                <w:b w:val="1"/>
                <w:bCs w:val="1"/>
                <w:color w:val="auto"/>
              </w:rPr>
              <w:t>Fees Earned</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0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or Paid</w:t>
            </w: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4"/>
                <w:szCs w:val="14"/>
                <w:b w:val="1"/>
                <w:bCs w:val="1"/>
                <w:color w:val="auto"/>
                <w:w w:val="90"/>
              </w:rPr>
              <w:t>in Cash</w:t>
            </w:r>
          </w:p>
        </w:tc>
        <w:tc>
          <w:tcPr>
            <w:tcW w:w="76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Richard Higginbotham</w:t>
            </w:r>
          </w:p>
        </w:tc>
        <w:tc>
          <w:tcPr>
            <w:tcW w:w="2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John Ross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99,000</w:t>
            </w:r>
          </w:p>
        </w:tc>
        <w:tc>
          <w:tcPr>
            <w:tcW w:w="134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$99,000</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134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9"/>
              </w:rPr>
              <w:t>$94,000</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entered into by and between us and the Adviser and the Administration Agreement entered into between us and the Adviser.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None of our executive officers receives direct compensation from us. We reimburse the Adviser the allocable portion of the compensation paid by the Adviser or its affiliates to our Chief Compliance Officer and Chief Financial Officer and their respective staffs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32"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9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TSSP, which encompasses TPG Specialty Lending, TPG Opportunities Partners and TPG Institutional Credit Partners, is TPG’s special situations and credit platform. TSSP had over $6 billion of assets under management as of September 30, 2013. TSSP has extensive experience with highly complex, global public and private investments executed through primary originations, secondary market purchases and restructurings, and has a team of 81 investment and operating professionals. Eighteen of these personnel are dedicated to our business, including 14 investment professionals. The TSSP members of the Investment Review Committee are Joshua Easterly, Michael Fishman, Alan Waxman and David Stiepleman.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TPG is a leading global private investment firm founded in 1992 with over $55 billion of assets under management as of September 30, 2013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2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September 30, 2013, our Adviser owned 6.4% of our common stock and had committed $100 million in equity capital under a subscription agreement like those entered into with our existing investors. See “Related-Party Transactions and Certain Relationships” and “Control Persons and Principal Stockholders.”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OTHER AGREEMENTS</w:t>
      </w:r>
    </w:p>
    <w:p>
      <w:pPr>
        <w:spacing w:after="0" w:line="17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description is a summary of the material terms of the Investment Advisory Agreement, Administration Agreement and License Agreement. This summary is not necessarily complete, and we refer you to these agreements as filed as exhibits for a more detailed description of the provisions summarized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 Administration Agreement; License Agreement</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amended on December 12,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90"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equityholder; and</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terms of the Investment Advisory Agreement, we pay the Adviser the Management Fee and may also pay certain Incentive Fees.</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quarterly periods ended September 30, 2011 and June 30, 2011, the Management Fee was calculated at an annual rate of 1.5% based on the value of our gross assets, which equals total assets before deduction of any liabilities, at the end of that calendar quarter, adjusted for share issuances and repurchases during that period. Beginning October 1, 2011, the Management Fee has been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Prior to the completion of this IPO, the Adviser has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the completion of this IPO, the Adviser does not intend to waive its right to receive the full Management Fee.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right="120" w:hanging="446"/>
        <w:spacing w:after="0" w:line="256"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 increase from 15% prior to this IPO and for the quarter in which this IPO is completed) and for pre-Incentive fee net investment income in excess of 1.82% quarterly,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60"/>
        <w:spacing w:after="0" w:line="318" w:lineRule="auto"/>
        <w:rPr>
          <w:sz w:val="20"/>
          <w:szCs w:val="20"/>
          <w:color w:val="auto"/>
        </w:rPr>
      </w:pPr>
      <w:r>
        <w:rPr>
          <w:rFonts w:ascii="Arial" w:cs="Arial" w:eastAsia="Arial" w:hAnsi="Arial"/>
          <w:sz w:val="15"/>
          <w:szCs w:val="15"/>
          <w:color w:val="auto"/>
        </w:rPr>
        <w:t>17.5% of all remaining pre-Incentive Fee net investment income for that quarter (an increase from 15% prior to the completion of this IPO and for the quarter in which this IPO is completed). The 100% “catch-up” provision for pre-Incentive Fee net investment income in excess of the 1.5% “hurdle rate” (6.0% annualized)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19" w:lineRule="exact"/>
        <w:rPr>
          <w:sz w:val="20"/>
          <w:szCs w:val="20"/>
          <w:color w:val="auto"/>
        </w:rPr>
      </w:pPr>
    </w:p>
    <w:p>
      <w:pPr>
        <w:ind w:left="900" w:right="180"/>
        <w:spacing w:after="0" w:line="253"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66" w:lineRule="exact"/>
        <w:rPr>
          <w:sz w:val="20"/>
          <w:szCs w:val="20"/>
          <w:color w:val="auto"/>
        </w:rPr>
      </w:pPr>
    </w:p>
    <w:p>
      <w:pPr>
        <w:ind w:left="900" w:hanging="446"/>
        <w:spacing w:after="0" w:line="286"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prior to the end of the quarter in which this IPO is completed equals 15%, and following the completion of this IPO,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 Fee for prior periods. For capital gains that accrue following the end of the quarter in which this IPO is completed, the Incentive Fee rate will be 17.5%. The weighted percentage is intended to ensure that for each fiscal year following the completion of this IPO, the portion of our realized capital gains that accrued prior to the end of the quarter in which this IPO is completed will be subject to an Incentive Fee rate of 15% and the portion of our realized capital gains that accrued following the end of the quarter in which this IPO is completed will be subject to an Incentive Fee rate of 17.5%. Although unrealized gains that occur after the quarter in which the IPO occurs will lead to a higher fee accruing for such future unrealized gains than would have accrued prior to the IPO, at the date of the IPO, no additional amounts will accrue because the increase in the Incentive Fee rate to 17.5% does not apply to any unrealized gains accrued on our books through the date of the IPO. The increase in fee rate will also cause a reduction in net asset value in the periods after the quarter in which the IPO occurs for the same reason.</w:t>
      </w:r>
    </w:p>
    <w:p>
      <w:pPr>
        <w:spacing w:after="0" w:line="12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4"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net assets as of the end of the calendar quarter immediately preceding the day; plus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our dividend reinvestment plan) from the beginning of the current quarter to the day; minus</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32"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Following this IPO, for purposes of determining whether pre-Incentive Fee net investment income exceeds the hurdle rate, pre-Incentive Fee net investment income will be expressed as a rate of return on the value of our net assets at the end of the immediately preceding calendar quarter.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Prior to the completion of this IPO, if cumulative net realized losses from our inception exceeded the aggregate dollar amount of dividends paid by us through that date, the Adviser would forgo the right to receive its quarterly Incentive Fee payments with respect to pre-Incentive Fee net investment income until the time that cumulative net realized losses were less than or equal to the aggregate amount of dividend payments. Cumulative net realized losses from our inception have not exceeded the aggregate dollar amount of dividends paid by us. The Adviser does not intend to continue forgoing its right to this fee following the completion of this IPO.</w:t>
      </w:r>
    </w:p>
    <w:p>
      <w:pPr>
        <w:spacing w:after="0" w:line="14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accrue the Incentive Fee taking into account unrealized gains and losses; however, Section 205(b)(3) of the Advisers Act, as amended, prohibits the Adviser from receiving the payment of fees until those gains are realized, if ever.</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November 5, 2013, the Board renewed the Investment Advisory Agreement. Unless earlier terminated,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 See “Risk Factors—Risks Related to Our Business and Structure—We are dependent upon management personnel of the Adviser for our future success.”</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December 12, 2011 amendment to the Investment Advisory Agreement revised the base against which the 1.5% hurdle rate is measured when calculating the Adviser’s entitlement to receive a portion of our pre-Incentive Fee net investment income in any given calendar quarter. The amendment applied retroactively to October 1, 2011, but will no longer apply following this IPO.</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“—Payment of our Expenses” below.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2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On November 5, 2013, the Board renewed the Administration Agreement. Unless earlier terminated, the Administration Agreement will remain in effect until November 5, 2014, and may be extended subject to required approvals. The Administration Agreement may be terminated by either party without penalty upon at least 60 days’ written notice to the other party. See “Risk Factors—Risks Related to Our Business and Structure—We are dependent upon management personnel of the Adviser for our future success.”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1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327" w:lineRule="exact"/>
        <w:rPr>
          <w:sz w:val="20"/>
          <w:szCs w:val="20"/>
          <w:color w:val="auto"/>
        </w:rPr>
      </w:pPr>
    </w:p>
    <w:p>
      <w:pPr>
        <w:ind w:left="460" w:right="3560" w:firstLine="3097"/>
        <w:spacing w:after="0" w:line="604" w:lineRule="auto"/>
        <w:rPr>
          <w:sz w:val="20"/>
          <w:szCs w:val="20"/>
          <w:color w:val="auto"/>
        </w:rPr>
      </w:pPr>
      <w:r>
        <w:rPr>
          <w:rFonts w:ascii="Arial" w:cs="Arial" w:eastAsia="Arial" w:hAnsi="Arial"/>
          <w:sz w:val="15"/>
          <w:szCs w:val="15"/>
          <w:b w:val="1"/>
          <w:bCs w:val="1"/>
          <w:color w:val="auto"/>
        </w:rPr>
        <w:t xml:space="preserve">Quarterly Incentive Fee Based on Net Investment Income </w:t>
      </w:r>
      <w:r>
        <w:rPr>
          <w:rFonts w:ascii="Arial" w:cs="Arial" w:eastAsia="Arial" w:hAnsi="Arial"/>
          <w:sz w:val="15"/>
          <w:szCs w:val="15"/>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-35560</wp:posOffset>
            </wp:positionV>
            <wp:extent cx="4587875" cy="814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58787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Percentage of pre-Incentive Fee net investment income allocated to income-related portion of Incentive Fee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1060" w:hanging="139"/>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0.3%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460" w:right="388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=0.32%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1060" w:hanging="139"/>
        <w:spacing w:after="0"/>
        <w:tabs>
          <w:tab w:leader="none" w:pos="10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0.513%</w:t>
      </w: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1.5% annualized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“catch-up” provision is intended to provide the Adviser with an Incentive Fee of 17.5% on all of our pre-Incentive Fee net investment income as if a hurdle rate did not apply when our net investment income exceeds 17.5% in any calendar quarter and is not applied once the Adviser has received 17.5% of 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3"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example assumes that this IPO of our common stock has occurred.</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hypothetical amount of pre-Incentive Fee net investment income shown is based on a percentage of total net assets.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right="100" w:hanging="325"/>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1: $10 million investment made in Company A (“</w:t>
      </w:r>
      <w:r>
        <w:rPr>
          <w:rFonts w:ascii="Arial" w:cs="Arial" w:eastAsia="Arial" w:hAnsi="Arial"/>
          <w:sz w:val="18"/>
          <w:szCs w:val="18"/>
          <w:u w:val="single" w:color="auto"/>
          <w:color w:val="auto"/>
        </w:rPr>
        <w:t>Investment A</w:t>
      </w:r>
      <w:r>
        <w:rPr>
          <w:rFonts w:ascii="Arial" w:cs="Arial" w:eastAsia="Arial" w:hAnsi="Arial"/>
          <w:sz w:val="18"/>
          <w:szCs w:val="18"/>
          <w:color w:val="auto"/>
        </w:rPr>
        <w:t>”), $10 million investment made in Company B (“</w:t>
      </w:r>
      <w:r>
        <w:rPr>
          <w:rFonts w:ascii="Arial" w:cs="Arial" w:eastAsia="Arial" w:hAnsi="Arial"/>
          <w:sz w:val="18"/>
          <w:szCs w:val="18"/>
          <w:u w:val="single" w:color="auto"/>
          <w:color w:val="auto"/>
        </w:rPr>
        <w:t>Investment B</w:t>
      </w:r>
      <w:r>
        <w:rPr>
          <w:rFonts w:ascii="Arial" w:cs="Arial" w:eastAsia="Arial" w:hAnsi="Arial"/>
          <w:sz w:val="18"/>
          <w:szCs w:val="18"/>
          <w:color w:val="auto"/>
        </w:rPr>
        <w:t>”), $10 million investment made in Company C (“</w:t>
      </w:r>
      <w:r>
        <w:rPr>
          <w:rFonts w:ascii="Arial" w:cs="Arial" w:eastAsia="Arial" w:hAnsi="Arial"/>
          <w:sz w:val="18"/>
          <w:szCs w:val="18"/>
          <w:u w:val="single" w:color="auto"/>
          <w:color w:val="auto"/>
        </w:rPr>
        <w:t>Investment C</w:t>
      </w:r>
      <w:r>
        <w:rPr>
          <w:rFonts w:ascii="Arial" w:cs="Arial" w:eastAsia="Arial" w:hAnsi="Arial"/>
          <w:sz w:val="18"/>
          <w:szCs w:val="18"/>
          <w:color w:val="auto"/>
        </w:rPr>
        <w:t>”), $10 million investment made in Company D (“</w:t>
      </w:r>
      <w:r>
        <w:rPr>
          <w:rFonts w:ascii="Arial" w:cs="Arial" w:eastAsia="Arial" w:hAnsi="Arial"/>
          <w:sz w:val="18"/>
          <w:szCs w:val="18"/>
          <w:u w:val="single" w:color="auto"/>
          <w:color w:val="auto"/>
        </w:rPr>
        <w:t>Investment D</w:t>
      </w:r>
      <w:r>
        <w:rPr>
          <w:rFonts w:ascii="Arial" w:cs="Arial" w:eastAsia="Arial" w:hAnsi="Arial"/>
          <w:sz w:val="18"/>
          <w:szCs w:val="18"/>
          <w:color w:val="auto"/>
        </w:rPr>
        <w:t>”) and $10 million investment made in Company E (“</w:t>
      </w:r>
      <w:r>
        <w:rPr>
          <w:rFonts w:ascii="Arial" w:cs="Arial" w:eastAsia="Arial" w:hAnsi="Arial"/>
          <w:sz w:val="18"/>
          <w:szCs w:val="18"/>
          <w:u w:val="single" w:color="auto"/>
          <w:color w:val="auto"/>
        </w:rPr>
        <w:t>Investment E</w:t>
      </w:r>
      <w:r>
        <w:rPr>
          <w:rFonts w:ascii="Arial" w:cs="Arial" w:eastAsia="Arial" w:hAnsi="Arial"/>
          <w:sz w:val="18"/>
          <w:szCs w:val="18"/>
          <w:color w:val="auto"/>
        </w:rPr>
        <w: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78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50" w:lineRule="exact"/>
        <w:rPr>
          <w:rFonts w:ascii="Arial" w:cs="Arial" w:eastAsia="Arial" w:hAnsi="Arial"/>
          <w:sz w:val="18"/>
          <w:szCs w:val="18"/>
          <w:color w:val="auto"/>
        </w:rPr>
      </w:pPr>
    </w:p>
    <w:p>
      <w:pPr>
        <w:ind w:left="900" w:right="420" w:hanging="325"/>
        <w:spacing w:after="0" w:line="332"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4" w:lineRule="exact"/>
        <w:rPr>
          <w:rFonts w:ascii="Arial" w:cs="Arial" w:eastAsia="Arial" w:hAnsi="Arial"/>
          <w:sz w:val="16"/>
          <w:szCs w:val="16"/>
          <w:color w:val="auto"/>
        </w:rPr>
      </w:pPr>
    </w:p>
    <w:p>
      <w:pPr>
        <w:ind w:left="900" w:right="280" w:hanging="325"/>
        <w:spacing w:after="0" w:line="332"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Year 4: $10 million investment made in Company F (“</w:t>
      </w:r>
      <w:r>
        <w:rPr>
          <w:rFonts w:ascii="Arial" w:cs="Arial" w:eastAsia="Arial" w:hAnsi="Arial"/>
          <w:sz w:val="16"/>
          <w:szCs w:val="16"/>
          <w:u w:val="single" w:color="auto"/>
          <w:color w:val="auto"/>
        </w:rPr>
        <w:t>Investment F</w:t>
      </w:r>
      <w:r>
        <w:rPr>
          <w:rFonts w:ascii="Arial" w:cs="Arial" w:eastAsia="Arial" w:hAnsi="Arial"/>
          <w:sz w:val="16"/>
          <w:szCs w:val="16"/>
          <w:color w:val="auto"/>
        </w:rPr>
        <w:t>”), Investment D sold for $12 million, FMV of Investment B determined to be $10 million, FMV of Investment C determined to be $16 million and FMV of Investment E determined to be $14 million.</w:t>
      </w:r>
    </w:p>
    <w:p>
      <w:pPr>
        <w:spacing w:after="0" w:line="4"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5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6: Investment B sold for $16 million, FMV of Investment E determined to be $8 million and FMV of Investment F determined to be $15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assumptions are summarized in the following chart: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1000" w:type="dxa"/>
            <w:vAlign w:val="bottom"/>
            <w:gridSpan w:val="2"/>
          </w:tcPr>
          <w:p>
            <w:pPr>
              <w:ind w:left="340"/>
              <w:spacing w:after="0"/>
              <w:rPr>
                <w:sz w:val="20"/>
                <w:szCs w:val="20"/>
                <w:color w:val="auto"/>
              </w:rPr>
            </w:pPr>
            <w:r>
              <w:rPr>
                <w:rFonts w:ascii="Arial" w:cs="Arial" w:eastAsia="Arial" w:hAnsi="Arial"/>
                <w:sz w:val="14"/>
                <w:szCs w:val="14"/>
                <w:b w:val="1"/>
                <w:bCs w:val="1"/>
                <w:color w:val="auto"/>
                <w:w w:val="84"/>
              </w:rPr>
              <w:t>Cumulative</w:t>
            </w:r>
          </w:p>
        </w:tc>
        <w:tc>
          <w:tcPr>
            <w:tcW w:w="1040" w:type="dxa"/>
            <w:vAlign w:val="bottom"/>
            <w:gridSpan w:val="3"/>
          </w:tcPr>
          <w:p>
            <w:pPr>
              <w:jc w:val="center"/>
              <w:ind w:left="233"/>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Unrealized</w:t>
            </w: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3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Investment</w:t>
            </w:r>
          </w:p>
        </w:tc>
        <w:tc>
          <w:tcPr>
            <w:tcW w:w="3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Investment</w:t>
            </w:r>
          </w:p>
        </w:tc>
        <w:tc>
          <w:tcPr>
            <w:tcW w:w="3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Investment</w:t>
            </w: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Capital</w:t>
            </w: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Capital</w:t>
            </w:r>
          </w:p>
        </w:tc>
        <w:tc>
          <w:tcPr>
            <w:tcW w:w="3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Arial" w:cs="Arial" w:eastAsia="Arial" w:hAnsi="Arial"/>
                <w:sz w:val="14"/>
                <w:szCs w:val="14"/>
                <w:b w:val="1"/>
                <w:bCs w:val="1"/>
                <w:color w:val="auto"/>
              </w:rPr>
              <w:t>A</w:t>
            </w:r>
          </w:p>
        </w:tc>
        <w:tc>
          <w:tcPr>
            <w:tcW w:w="32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B</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C</w:t>
            </w:r>
          </w:p>
        </w:tc>
        <w:tc>
          <w:tcPr>
            <w:tcW w:w="32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D</w:t>
            </w: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E</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F</w:t>
            </w:r>
          </w:p>
        </w:tc>
        <w:tc>
          <w:tcPr>
            <w:tcW w:w="32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84"/>
              </w:rPr>
              <w:t>Depreciation</w:t>
            </w:r>
          </w:p>
        </w:tc>
        <w:tc>
          <w:tcPr>
            <w:tcW w:w="3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78"/>
              </w:rPr>
              <w:t>Losses</w:t>
            </w:r>
          </w:p>
        </w:tc>
        <w:tc>
          <w:tcPr>
            <w:tcW w:w="34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million</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(cost</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(cost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basis)</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basis)</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basis)</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basis)</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basis)</w:t>
            </w: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2</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$20</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$12</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million</w:t>
            </w: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million</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(sale</w:t>
            </w: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price)</w:t>
            </w: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3 (IPO)</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at IPO</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at IPO</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IPO</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IPO</w:t>
            </w: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4</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$16</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(sale</w:t>
            </w: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(cost</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price)</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basis)</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price)</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6</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million</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(sale</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price)</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7</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w:t>
            </w: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8</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auto"/>
              </w:rPr>
              <w:t>$18</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million</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(sale</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price)</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gridSpan w:val="2"/>
          </w:tcPr>
          <w:p>
            <w:pPr>
              <w:jc w:val="right"/>
              <w:ind w:right="475"/>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capital gains portion of the Incentive Fee would be:</w:t>
      </w:r>
    </w:p>
    <w:p>
      <w:pPr>
        <w:spacing w:after="0" w:line="90"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Year 2:</w:t>
      </w:r>
    </w:p>
    <w:p>
      <w:pPr>
        <w:spacing w:after="0" w:line="171" w:lineRule="exact"/>
        <w:rPr>
          <w:sz w:val="20"/>
          <w:szCs w:val="20"/>
          <w:color w:val="auto"/>
        </w:rPr>
      </w:pPr>
    </w:p>
    <w:p>
      <w:pPr>
        <w:ind w:left="1500" w:right="420"/>
        <w:spacing w:after="0" w:line="268"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172"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Year 3:</w:t>
      </w:r>
    </w:p>
    <w:p>
      <w:pPr>
        <w:spacing w:after="0" w:line="90" w:lineRule="exact"/>
        <w:rPr>
          <w:sz w:val="20"/>
          <w:szCs w:val="20"/>
          <w:color w:val="auto"/>
        </w:rPr>
      </w:pPr>
    </w:p>
    <w:p>
      <w:pPr>
        <w:ind w:left="1500" w:right="100"/>
        <w:spacing w:after="0" w:line="332" w:lineRule="auto"/>
        <w:rPr>
          <w:sz w:val="20"/>
          <w:szCs w:val="20"/>
          <w:color w:val="auto"/>
        </w:rPr>
      </w:pPr>
      <w:r>
        <w:rPr>
          <w:rFonts w:ascii="Arial" w:cs="Arial" w:eastAsia="Arial" w:hAnsi="Arial"/>
          <w:sz w:val="16"/>
          <w:szCs w:val="16"/>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6"/>
          <w:szCs w:val="16"/>
          <w:b w:val="1"/>
          <w:bCs w:val="1"/>
          <w:color w:val="auto"/>
        </w:rPr>
        <w:t>$0.00</w:t>
      </w:r>
    </w:p>
    <w:p>
      <w:pPr>
        <w:spacing w:after="0" w:line="85" w:lineRule="exact"/>
        <w:rPr>
          <w:sz w:val="20"/>
          <w:szCs w:val="20"/>
          <w:color w:val="auto"/>
        </w:rPr>
      </w:pPr>
    </w:p>
    <w:p>
      <w:pPr>
        <w:ind w:left="1500" w:right="60"/>
        <w:spacing w:after="0" w:line="268"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172"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Year 4:</w:t>
      </w:r>
    </w:p>
    <w:p>
      <w:pPr>
        <w:spacing w:after="0" w:line="171" w:lineRule="exact"/>
        <w:rPr>
          <w:sz w:val="20"/>
          <w:szCs w:val="20"/>
          <w:color w:val="auto"/>
        </w:rPr>
      </w:pPr>
    </w:p>
    <w:p>
      <w:pPr>
        <w:ind w:left="1500" w:right="360"/>
        <w:spacing w:after="0" w:line="268"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132"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172"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Year 5:</w:t>
      </w:r>
    </w:p>
    <w:p>
      <w:pPr>
        <w:spacing w:after="0" w:line="171" w:lineRule="exact"/>
        <w:rPr>
          <w:sz w:val="20"/>
          <w:szCs w:val="20"/>
          <w:color w:val="auto"/>
        </w:rPr>
      </w:pPr>
    </w:p>
    <w:p>
      <w:pPr>
        <w:ind w:left="1500" w:right="360"/>
        <w:spacing w:after="0" w:line="268"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132"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8"/>
          <w:szCs w:val="18"/>
          <w:b w:val="1"/>
          <w:bCs w:val="1"/>
          <w:color w:val="auto"/>
        </w:rPr>
        <w:t>15.68%</w:t>
      </w:r>
    </w:p>
    <w:p>
      <w:pPr>
        <w:spacing w:after="0" w:line="51"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6:</w:t>
      </w:r>
    </w:p>
    <w:p>
      <w:pPr>
        <w:spacing w:after="0" w:line="171" w:lineRule="exact"/>
        <w:rPr>
          <w:sz w:val="20"/>
          <w:szCs w:val="20"/>
          <w:color w:val="auto"/>
        </w:rPr>
      </w:pPr>
    </w:p>
    <w:p>
      <w:pPr>
        <w:ind w:left="1500" w:right="100"/>
        <w:spacing w:after="0" w:line="33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85"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51"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Year 7:</w:t>
      </w:r>
    </w:p>
    <w:p>
      <w:pPr>
        <w:spacing w:after="0" w:line="171" w:lineRule="exact"/>
        <w:rPr>
          <w:sz w:val="20"/>
          <w:szCs w:val="20"/>
          <w:color w:val="auto"/>
        </w:rPr>
      </w:pPr>
    </w:p>
    <w:p>
      <w:pPr>
        <w:ind w:left="1500"/>
        <w:spacing w:after="0" w:line="33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6"/>
          <w:szCs w:val="16"/>
          <w:b w:val="1"/>
          <w:bCs w:val="1"/>
          <w:color w:val="auto"/>
        </w:rPr>
        <w:t>$0.00</w:t>
      </w:r>
    </w:p>
    <w:p>
      <w:pPr>
        <w:spacing w:after="0" w:line="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240" w:top="459" w:right="4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right="12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51"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Year 8:</w:t>
      </w:r>
    </w:p>
    <w:p>
      <w:pPr>
        <w:spacing w:after="0" w:line="171" w:lineRule="exact"/>
        <w:rPr>
          <w:sz w:val="20"/>
          <w:szCs w:val="20"/>
          <w:color w:val="auto"/>
        </w:rPr>
      </w:pPr>
    </w:p>
    <w:p>
      <w:pPr>
        <w:ind w:left="1500" w:right="20"/>
        <w:spacing w:after="0" w:line="332" w:lineRule="auto"/>
        <w:rPr>
          <w:sz w:val="20"/>
          <w:szCs w:val="20"/>
          <w:color w:val="auto"/>
        </w:rPr>
      </w:pPr>
      <w:r>
        <w:rPr>
          <w:rFonts w:ascii="Arial" w:cs="Arial" w:eastAsia="Arial" w:hAnsi="Arial"/>
          <w:sz w:val="16"/>
          <w:szCs w:val="16"/>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6"/>
          <w:szCs w:val="16"/>
          <w:b w:val="1"/>
          <w:bCs w:val="1"/>
          <w:color w:val="auto"/>
        </w:rPr>
        <w:t>$1.39 million</w:t>
      </w:r>
    </w:p>
    <w:p>
      <w:pPr>
        <w:spacing w:after="0" w:line="85" w:lineRule="exact"/>
        <w:rPr>
          <w:sz w:val="20"/>
          <w:szCs w:val="20"/>
          <w:color w:val="auto"/>
        </w:rPr>
      </w:pPr>
    </w:p>
    <w:p>
      <w:pPr>
        <w:ind w:left="1500" w:right="12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million Post-IPO Gain Amount divided by $36 million Total Gain Amount)) = </w:t>
      </w:r>
      <w:r>
        <w:rPr>
          <w:rFonts w:ascii="Arial" w:cs="Arial" w:eastAsia="Arial" w:hAnsi="Arial"/>
          <w:sz w:val="18"/>
          <w:szCs w:val="18"/>
          <w:b w:val="1"/>
          <w:bCs w:val="1"/>
          <w:color w:val="auto"/>
        </w:rPr>
        <w:t>16.39%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bear all other costs and expenses of our operations, administration and transactions, including those relating to:</w:t>
      </w:r>
    </w:p>
    <w:p>
      <w:pPr>
        <w:spacing w:after="0" w:line="90"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90"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9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60"/>
          </w:cols>
          <w:pgMar w:left="240" w:top="459" w:right="3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325"/>
        <w:spacing w:after="0" w:line="332"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We subsequently reimburse the Adviser for those amounts paid on our behalf.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5, 2014,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upon at least 60 days’ written notice to the other party. The holders of a majority of our outstanding voting securities may also terminate each agreement without penalty upon not less than 60 days’ written notice. See “Risk Factors— Risks Related to Our Business and Structure—We are dependent upon management personnel of the Adviser for our future success.”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this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each of whom we refer to as an Indemnitee, on the same general terms set forth in our certificate of incorporation. See “Description of our Capital Stock.”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matter has been settled, arising by reason of willful misfeasance, bad faith, gross negligence, or reckless disregard of duties) and require reasonable and fair means for determining whether indemnification will be made.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Approval of the Investment Advisory Agreement</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Board, including our Independent Directors, and holders of a majority of our outstanding securities, approved our Investment Advisory Agreement in December 2011. Our Board, including a majority of the Independent Directors, renewed it in November 2013. In its consideration of the Investment Advisory Agreement at the time of approval and renewal, the Board focused on information it had received relating to, among other things:</w:t>
      </w:r>
    </w:p>
    <w:p>
      <w:pPr>
        <w:spacing w:after="0" w:line="26"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any existing and potential sources of indirect income to the Adviser from its relationships with us and the profitability of those income sources;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information about the services to be performed and the personnel performing those services under the Investment Advisory Agreement;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TPG</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2,321,458 shares, or 6.4%, of our common stock as of September 30, 2013.</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Adviser’s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of Loan Origination Investment Opportunities</w:t>
      </w:r>
    </w:p>
    <w:p>
      <w:pPr>
        <w:spacing w:after="0" w:line="90"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Certain 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general, allocation determinations for us and funds affiliated with TSSP and TPG begin with a preliminary assessment by the legal department of TPG as to whether a particular investment opportunity is required to be allocated to a particular fund or investment vehicle, including us, or prohibited from being allocated to a particular fund or vehicle.</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TPG’s legal department makes its preliminary assessment as to whether a particular investment opportunity is required to be allocated to us or any TPG-managed fund or investment vehicle, including us, prior to, or promptly following, the initial discussion of the potential investment at a meeting of our or the relevant fund’s investment review committee when it appears that pursuit of the investment is reasonably probable. The legal department delivers its preliminary assessment to TPG’s allocation team (or a member thereof). The allocation team is comprised of five of TPG’s senior professionals (including TPG’s general counsel, who is also an executive officer of the Adviser and us) with a scope of responsibilities across all business units of TPG.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team is charged with ensuring that investment opportunities are allocated to us or the appropriate TPG fund. The legal department’s determination that an investment opportunity is required to be allocated to us or another fund is the presumptive final allocation decision.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Non-Loan Origination Investment Opportunities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TPG and the Adviser were to determine that an investment is appropriate both for us and for one or more other TSSP or TPG vehicles, we would only be able to make the investment in conjunction with another such vehicle if we receive an order from the SEC permitting us to do so or the investment is otherwise permitted under relevant SEC guidance.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Exemptive Relief Application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November 23, 2011, we, the Adviser and certain other affiliates of TPG filed an application with the SEC for exemptive relief. We most recently filed a revised application with the SEC on January 23,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prior approval by a majority of the Independent Directors. The terms and conditions of the investment applicable to any affiliates of TSSP and TPG also must be the same as those applicable to us.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believe our ability to complete co-investment transactions will increase favorable investment opportunities for us. A BDC that makes investments of the type contemplated by us typically limits its transaction sizes, which may be determined by legal or internally imposed prudential limits on exposure in a single investment. In addition, because we intend to continue to qualify as a RIC, our portfolio is subject to certain diversification requirements that similarly may limit the amount of capital that we may invest in 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single investment. Currently, in cases where the Adviser identifies larger capital commitments that otherwise would be attractive investment opportunities, the Adviser must seek the participation of non-affiliated entities with similar investment mandates. The availability of co-investments with other funds affiliated with TSSP and TPG would alleviate some of that necessity. The affiliates with which we would be able to co-invest if the SEC grants our exemptive relief request are funds that would be investment companies but for Sections 3(c)(1), 3(c)(5) or 3(c)(7) of the 1940 Act and are managed by an investment adviser registered under the Advisers Act. The investment objectives of these funds include investment in secondary distressed or special credit situations across the credit cycle and making significant investments in the equity or debt of operating companies through acquisitions, as well as other similar objectives and strategies.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we obtain the requested exemptive relief, once an origination opportunity has been allocated to us, the Adviser will make an independent determination of the appropriateness of the investment for us. If the Adviser deems our participation in the investment to be appropriate, it will then determine an appropriate size of our investment. The Adviser will consider various factors, including the nature of the investment and our existing portfolio. If the amount of the investment opportunity were to exceed the amount the Adviser determined was appropriate for us to invest, then the excess amount would be offered to one or more funds affiliated with TSSP or TPG as a potential co-investment transaction. If we did not obtain the requested exemptive relief, allocations would be determined in the same manner as described in this paragraph. Middle-market loan origination opportunities would still be required to be allocated to us and the Adviser would still make an independent determination of the appropriateness of the investment for us and, if relevant, the appropriate size. The only difference would be that we would not be permitted to co-invest with other funds affiliated with TSSP and TPG, so in cases where the origination opportunity required a larger commitment than our Adviser deemed to be an attractive investment opportunity, we would have to seek co-investment from funds not affiliated with TSSP or TPG to make the investment.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however, when or whether the SEC will grant the requested exemptive relief.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Administrator</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Business Relationships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of our current directors and officers are directors or officers of the Adviser or its affiliates. See “Management—Biographical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our Investment Advisory Agreement, Administration Agreement and License Agreement, see “Management and Other Agreements— Investment Advisory Agreement; Administration Agreement; License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Immediately prior to the completion of this offering there will be shares of common stock issued and outstanding and 56 stockholders of record. The following table sets forth certain ownership information as indicated in our books and records of each current director, our executive officers, the executive officers and directors as a group, and each person known to us to beneficially own 5% or more of the outstanding shares of our common stock. To our knowledge, except as indicated in the footnotes to the table, each of the stockholders listed below has sole voting or investment power with respect to shares beneficially owned by such stockholder. Beneficial ownership is determined in accordance with the rules and regulations of the SEC. These rules generally provide that a person is the beneficial owner of securities if the person has or shares the power to vote or direct the voting thereof, or to dispose or direct the disposition thereof or has the right to acquire these powers within 60 days. Unless otherwise indicated by footnote, the address for each listed individual is 301 Commerce Street, Suite 3300, Fort Worth, TX 76102.</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of Individual or Identity of Group</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6465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Interested Directors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Joshua Easterly</w:t>
      </w:r>
      <w:r>
        <w:rPr>
          <w:rFonts w:ascii="Arial" w:cs="Arial" w:eastAsia="Arial" w:hAnsi="Arial"/>
          <w:sz w:val="11"/>
          <w:szCs w:val="11"/>
          <w:color w:val="auto"/>
        </w:rPr>
        <w:t>(2)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Michael Fishman</w:t>
      </w:r>
      <w:r>
        <w:rPr>
          <w:rFonts w:ascii="Arial" w:cs="Arial" w:eastAsia="Arial" w:hAnsi="Arial"/>
          <w:sz w:val="11"/>
          <w:szCs w:val="11"/>
          <w:color w:val="auto"/>
        </w:rPr>
        <w:t>(3)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Richard Higginbotham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John Ross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Ronald Tanemura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Ronald Cami</w:t>
      </w:r>
      <w:r>
        <w:rPr>
          <w:rFonts w:ascii="Arial" w:cs="Arial" w:eastAsia="Arial" w:hAnsi="Arial"/>
          <w:sz w:val="11"/>
          <w:szCs w:val="11"/>
          <w:color w:val="auto"/>
        </w:rPr>
        <w:t>(4)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Alan Kirshenbaum</w:t>
      </w:r>
      <w:r>
        <w:rPr>
          <w:rFonts w:ascii="Arial" w:cs="Arial" w:eastAsia="Arial" w:hAnsi="Arial"/>
          <w:sz w:val="11"/>
          <w:szCs w:val="11"/>
          <w:color w:val="auto"/>
        </w:rPr>
        <w:t>(5)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Jennifer Mello</w:t>
      </w:r>
      <w:r>
        <w:rPr>
          <w:rFonts w:ascii="Arial" w:cs="Arial" w:eastAsia="Arial" w:hAnsi="Arial"/>
          <w:sz w:val="11"/>
          <w:szCs w:val="11"/>
          <w:color w:val="auto"/>
        </w:rPr>
        <w:t>(6)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Steven Pluss</w:t>
      </w:r>
      <w:r>
        <w:rPr>
          <w:rFonts w:ascii="Arial" w:cs="Arial" w:eastAsia="Arial" w:hAnsi="Arial"/>
          <w:sz w:val="11"/>
          <w:szCs w:val="11"/>
          <w:color w:val="auto"/>
        </w:rPr>
        <w:t>(7)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David Reintjes</w:t>
      </w:r>
      <w:r>
        <w:rPr>
          <w:rFonts w:ascii="Arial" w:cs="Arial" w:eastAsia="Arial" w:hAnsi="Arial"/>
          <w:sz w:val="11"/>
          <w:szCs w:val="11"/>
          <w:color w:val="auto"/>
        </w:rPr>
        <w:t>(8)</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David Stiepleman</w:t>
      </w:r>
      <w:r>
        <w:rPr>
          <w:rFonts w:ascii="Arial" w:cs="Arial" w:eastAsia="Arial" w:hAnsi="Arial"/>
          <w:sz w:val="11"/>
          <w:szCs w:val="11"/>
          <w:color w:val="auto"/>
        </w:rPr>
        <w:t>(9)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Alan Waxman</w:t>
      </w:r>
      <w:r>
        <w:rPr>
          <w:rFonts w:ascii="Arial" w:cs="Arial" w:eastAsia="Arial" w:hAnsi="Arial"/>
          <w:sz w:val="11"/>
          <w:szCs w:val="11"/>
          <w:color w:val="auto"/>
        </w:rPr>
        <w:t>(10)</w:t>
      </w:r>
    </w:p>
    <w:p>
      <w:pPr>
        <w:spacing w:after="0" w:line="9" w:lineRule="exact"/>
        <w:rPr>
          <w:sz w:val="20"/>
          <w:szCs w:val="20"/>
          <w:color w:val="auto"/>
        </w:rPr>
      </w:pPr>
    </w:p>
    <w:p>
      <w:pPr>
        <w:ind w:left="1080" w:right="260" w:hanging="215"/>
        <w:spacing w:after="0" w:line="250" w:lineRule="auto"/>
        <w:rPr>
          <w:sz w:val="20"/>
          <w:szCs w:val="20"/>
          <w:color w:val="auto"/>
        </w:rPr>
      </w:pPr>
      <w:r>
        <w:rPr>
          <w:rFonts w:ascii="Arial" w:cs="Arial" w:eastAsia="Arial" w:hAnsi="Arial"/>
          <w:sz w:val="18"/>
          <w:szCs w:val="18"/>
          <w:b w:val="1"/>
          <w:bCs w:val="1"/>
          <w:color w:val="auto"/>
        </w:rPr>
        <w:t>All Directors and Named Executive Officers as a Group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Five-Percent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MSSB TPG Specialty Lending Onshore Feeder Fund</w:t>
      </w:r>
      <w:r>
        <w:rPr>
          <w:rFonts w:ascii="Arial" w:cs="Arial" w:eastAsia="Arial" w:hAnsi="Arial"/>
          <w:sz w:val="11"/>
          <w:szCs w:val="11"/>
          <w:color w:val="auto"/>
        </w:rPr>
        <w:t>(11)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of New Jersey Common Pension Fund B</w:t>
      </w:r>
      <w:r>
        <w:rPr>
          <w:rFonts w:ascii="Arial" w:cs="Arial" w:eastAsia="Arial" w:hAnsi="Arial"/>
          <w:sz w:val="11"/>
          <w:szCs w:val="11"/>
          <w:color w:val="auto"/>
        </w:rPr>
        <w:t>(12)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Universities Superannuation Scheme Ltd.</w:t>
      </w:r>
      <w:r>
        <w:rPr>
          <w:rFonts w:ascii="Arial" w:cs="Arial" w:eastAsia="Arial" w:hAnsi="Arial"/>
          <w:sz w:val="11"/>
          <w:szCs w:val="11"/>
          <w:color w:val="auto"/>
        </w:rPr>
        <w:t>(13)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Funds</w:t>
      </w:r>
      <w:r>
        <w:rPr>
          <w:rFonts w:ascii="Arial" w:cs="Arial" w:eastAsia="Arial" w:hAnsi="Arial"/>
          <w:sz w:val="11"/>
          <w:szCs w:val="11"/>
          <w:color w:val="auto"/>
        </w:rPr>
        <w:t>(10)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Oregon Public Employees Retirement Fund</w:t>
      </w:r>
      <w:r>
        <w:rPr>
          <w:rFonts w:ascii="Arial" w:cs="Arial" w:eastAsia="Arial" w:hAnsi="Arial"/>
          <w:sz w:val="11"/>
          <w:szCs w:val="11"/>
          <w:color w:val="auto"/>
        </w:rPr>
        <w:t>(14)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Teachers Retirement System of Ohio</w:t>
      </w:r>
      <w:r>
        <w:rPr>
          <w:rFonts w:ascii="Arial" w:cs="Arial" w:eastAsia="Arial" w:hAnsi="Arial"/>
          <w:sz w:val="11"/>
          <w:szCs w:val="11"/>
          <w:color w:val="auto"/>
        </w:rPr>
        <w:t>(15)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Arizona State Retirement System</w:t>
      </w:r>
      <w:r>
        <w:rPr>
          <w:rFonts w:ascii="Arial" w:cs="Arial" w:eastAsia="Arial" w:hAnsi="Arial"/>
          <w:sz w:val="11"/>
          <w:szCs w:val="11"/>
          <w:color w:val="auto"/>
        </w:rPr>
        <w:t>(16)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Silver Creek Group</w:t>
      </w:r>
      <w:r>
        <w:rPr>
          <w:rFonts w:ascii="Arial" w:cs="Arial" w:eastAsia="Arial" w:hAnsi="Arial"/>
          <w:sz w:val="11"/>
          <w:szCs w:val="1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Percentage of Common Stock Outstanding</w:t>
            </w:r>
          </w:p>
        </w:tc>
        <w:tc>
          <w:tcPr>
            <w:tcW w:w="640" w:type="dxa"/>
            <w:vAlign w:val="bottom"/>
            <w:tcBorders>
              <w:bottom w:val="single" w:sz="8" w:color="auto"/>
            </w:tcBorders>
          </w:tcPr>
          <w:p>
            <w:pPr>
              <w:spacing w:after="0"/>
              <w:rPr>
                <w:sz w:val="14"/>
                <w:szCs w:val="14"/>
                <w:color w:val="auto"/>
              </w:rPr>
            </w:pPr>
          </w:p>
        </w:tc>
      </w:tr>
      <w:tr>
        <w:trPr>
          <w:trHeight w:val="115"/>
        </w:trPr>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0" w:type="dxa"/>
            <w:vAlign w:val="bottom"/>
            <w:gridSpan w:val="4"/>
          </w:tcPr>
          <w:p>
            <w:pPr>
              <w:jc w:val="center"/>
              <w:spacing w:after="0" w:line="115" w:lineRule="exact"/>
              <w:rPr>
                <w:sz w:val="20"/>
                <w:szCs w:val="20"/>
                <w:color w:val="auto"/>
              </w:rPr>
            </w:pPr>
            <w:r>
              <w:rPr>
                <w:rFonts w:ascii="Arial" w:cs="Arial" w:eastAsia="Arial" w:hAnsi="Arial"/>
                <w:sz w:val="12"/>
                <w:szCs w:val="12"/>
                <w:b w:val="1"/>
                <w:bCs w:val="1"/>
                <w:color w:val="auto"/>
              </w:rPr>
              <w:t>Immediately Prior to This</w:t>
            </w:r>
          </w:p>
        </w:tc>
        <w:tc>
          <w:tcPr>
            <w:tcW w:w="660" w:type="dxa"/>
            <w:vAlign w:val="bottom"/>
          </w:tcPr>
          <w:p>
            <w:pPr>
              <w:spacing w:after="0"/>
              <w:rPr>
                <w:sz w:val="10"/>
                <w:szCs w:val="10"/>
                <w:color w:val="auto"/>
              </w:rPr>
            </w:pPr>
          </w:p>
        </w:tc>
        <w:tc>
          <w:tcPr>
            <w:tcW w:w="1980" w:type="dxa"/>
            <w:vAlign w:val="bottom"/>
            <w:gridSpan w:val="3"/>
          </w:tcPr>
          <w:p>
            <w:pPr>
              <w:jc w:val="center"/>
              <w:spacing w:after="0" w:line="115" w:lineRule="exact"/>
              <w:rPr>
                <w:sz w:val="20"/>
                <w:szCs w:val="20"/>
                <w:color w:val="auto"/>
              </w:rPr>
            </w:pPr>
            <w:r>
              <w:rPr>
                <w:rFonts w:ascii="Arial" w:cs="Arial" w:eastAsia="Arial" w:hAnsi="Arial"/>
                <w:sz w:val="12"/>
                <w:szCs w:val="12"/>
                <w:b w:val="1"/>
                <w:bCs w:val="1"/>
                <w:color w:val="auto"/>
              </w:rPr>
              <w:t>Immediately After This</w:t>
            </w:r>
          </w:p>
        </w:tc>
      </w:tr>
      <w:tr>
        <w:trPr>
          <w:trHeight w:val="176"/>
        </w:trPr>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652"/>
              <w:spacing w:after="0"/>
              <w:rPr>
                <w:sz w:val="20"/>
                <w:szCs w:val="20"/>
                <w:color w:val="auto"/>
              </w:rPr>
            </w:pPr>
            <w:r>
              <w:rPr>
                <w:rFonts w:ascii="Arial" w:cs="Arial" w:eastAsia="Arial" w:hAnsi="Arial"/>
                <w:sz w:val="14"/>
                <w:szCs w:val="14"/>
                <w:b w:val="1"/>
                <w:bCs w:val="1"/>
                <w:color w:val="auto"/>
                <w:w w:val="88"/>
              </w:rPr>
              <w:t>Offering</w:t>
            </w:r>
          </w:p>
        </w:tc>
        <w:tc>
          <w:tcPr>
            <w:tcW w:w="6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2"/>
              </w:rPr>
              <w:t>Offering</w:t>
            </w:r>
            <w:r>
              <w:rPr>
                <w:rFonts w:ascii="Arial" w:cs="Arial" w:eastAsia="Arial" w:hAnsi="Arial"/>
                <w:sz w:val="20"/>
                <w:szCs w:val="20"/>
                <w:b w:val="1"/>
                <w:bCs w:val="1"/>
                <w:color w:val="auto"/>
                <w:w w:val="92"/>
                <w:vertAlign w:val="superscript"/>
              </w:rPr>
              <w:t>(1)</w:t>
            </w:r>
          </w:p>
        </w:tc>
        <w:tc>
          <w:tcPr>
            <w:tcW w:w="640" w:type="dxa"/>
            <w:vAlign w:val="bottom"/>
            <w:tcBorders>
              <w:bottom w:val="single" w:sz="8" w:color="auto"/>
            </w:tcBorders>
          </w:tcPr>
          <w:p>
            <w:pPr>
              <w:spacing w:after="0"/>
              <w:rPr>
                <w:sz w:val="15"/>
                <w:szCs w:val="15"/>
                <w:color w:val="auto"/>
              </w:rPr>
            </w:pPr>
          </w:p>
        </w:tc>
      </w:tr>
      <w:tr>
        <w:trPr>
          <w:trHeight w:val="129"/>
        </w:trPr>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1"/>
              </w:rPr>
              <w:t>Shares</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2"/>
          </w:tcPr>
          <w:p>
            <w:pPr>
              <w:jc w:val="center"/>
              <w:ind w:right="617"/>
              <w:spacing w:after="0" w:line="129" w:lineRule="exact"/>
              <w:rPr>
                <w:sz w:val="20"/>
                <w:szCs w:val="20"/>
                <w:color w:val="auto"/>
              </w:rPr>
            </w:pPr>
            <w:r>
              <w:rPr>
                <w:rFonts w:ascii="Arial" w:cs="Arial" w:eastAsia="Arial" w:hAnsi="Arial"/>
                <w:sz w:val="14"/>
                <w:szCs w:val="14"/>
                <w:b w:val="1"/>
                <w:bCs w:val="1"/>
                <w:color w:val="auto"/>
                <w:w w:val="81"/>
              </w:rPr>
              <w:t>Shares</w:t>
            </w:r>
          </w:p>
        </w:tc>
        <w:tc>
          <w:tcPr>
            <w:tcW w:w="640" w:type="dxa"/>
            <w:vAlign w:val="bottom"/>
          </w:tcPr>
          <w:p>
            <w:pPr>
              <w:spacing w:after="0"/>
              <w:rPr>
                <w:sz w:val="11"/>
                <w:szCs w:val="11"/>
                <w:color w:val="auto"/>
              </w:rPr>
            </w:pPr>
          </w:p>
        </w:tc>
      </w:tr>
      <w:tr>
        <w:trPr>
          <w:trHeight w:val="149"/>
        </w:trPr>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Type of</w:t>
            </w:r>
          </w:p>
        </w:tc>
        <w:tc>
          <w:tcPr>
            <w:tcW w:w="1380" w:type="dxa"/>
            <w:vAlign w:val="bottom"/>
            <w:gridSpan w:val="3"/>
          </w:tcPr>
          <w:p>
            <w:pPr>
              <w:jc w:val="center"/>
              <w:ind w:left="552"/>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40" w:type="dxa"/>
            <w:vAlign w:val="bottom"/>
          </w:tcPr>
          <w:p>
            <w:pPr>
              <w:spacing w:after="0"/>
              <w:rPr>
                <w:sz w:val="12"/>
                <w:szCs w:val="12"/>
                <w:color w:val="auto"/>
              </w:rPr>
            </w:pPr>
          </w:p>
        </w:tc>
      </w:tr>
      <w:tr>
        <w:trPr>
          <w:trHeight w:val="161"/>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Percentage</w:t>
            </w:r>
          </w:p>
        </w:tc>
        <w:tc>
          <w:tcPr>
            <w:tcW w:w="6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68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Percentage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-8255</wp:posOffset>
            </wp:positionV>
            <wp:extent cx="72466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266065</wp:posOffset>
            </wp:positionV>
            <wp:extent cx="72466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540385</wp:posOffset>
            </wp:positionV>
            <wp:extent cx="72466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814705</wp:posOffset>
            </wp:positionV>
            <wp:extent cx="72466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1089025</wp:posOffset>
            </wp:positionV>
            <wp:extent cx="72466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1363345</wp:posOffset>
            </wp:positionV>
            <wp:extent cx="72466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1637665</wp:posOffset>
            </wp:positionV>
            <wp:extent cx="724662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1912620</wp:posOffset>
            </wp:positionV>
            <wp:extent cx="72466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2186940</wp:posOffset>
            </wp:positionV>
            <wp:extent cx="7246620" cy="274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2598420</wp:posOffset>
            </wp:positionV>
            <wp:extent cx="72466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2872740</wp:posOffset>
            </wp:positionV>
            <wp:extent cx="72466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3147060</wp:posOffset>
            </wp:positionV>
            <wp:extent cx="72466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3422015</wp:posOffset>
            </wp:positionV>
            <wp:extent cx="72466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960" w:lineRule="exact"/>
        <w:rPr>
          <w:sz w:val="20"/>
          <w:szCs w:val="20"/>
          <w:color w:val="auto"/>
        </w:rPr>
      </w:pPr>
    </w:p>
    <w:p>
      <w:pPr>
        <w:sectPr>
          <w:pgSz w:w="11900" w:h="16838" w:orient="portrait"/>
          <w:cols w:equalWidth="0" w:num="2">
            <w:col w:w="4760" w:space="720"/>
            <w:col w:w="5940"/>
          </w:cols>
          <w:pgMar w:left="240" w:top="459" w:right="239" w:bottom="1440" w:gutter="0" w:footer="0" w:header="0"/>
          <w:type w:val="continuous"/>
        </w:sect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15" w:lineRule="exact"/>
        <w:rPr>
          <w:sz w:val="20"/>
          <w:szCs w:val="20"/>
          <w:color w:val="auto"/>
        </w:rPr>
      </w:pPr>
    </w:p>
    <w:p>
      <w:pPr>
        <w:spacing w:after="0"/>
        <w:tabs>
          <w:tab w:leader="none" w:pos="440" w:val="left"/>
          <w:tab w:leader="none" w:pos="2740" w:val="left"/>
        </w:tabs>
        <w:rPr>
          <w:sz w:val="20"/>
          <w:szCs w:val="20"/>
          <w:color w:val="auto"/>
        </w:rPr>
      </w:pPr>
      <w:r>
        <w:rPr>
          <w:rFonts w:ascii="Arial" w:cs="Arial" w:eastAsia="Arial" w:hAnsi="Arial"/>
          <w:sz w:val="18"/>
          <w:szCs w:val="18"/>
          <w:color w:val="auto"/>
        </w:rPr>
        <w:t>(1)</w:t>
        <w:tab/>
        <w:t>Based on the issuance of</w:t>
      </w:r>
      <w:r>
        <w:rPr>
          <w:sz w:val="20"/>
          <w:szCs w:val="20"/>
          <w:color w:val="auto"/>
        </w:rPr>
        <w:tab/>
      </w:r>
      <w:r>
        <w:rPr>
          <w:rFonts w:ascii="Arial" w:cs="Arial" w:eastAsia="Arial" w:hAnsi="Arial"/>
          <w:sz w:val="15"/>
          <w:szCs w:val="15"/>
          <w:color w:val="auto"/>
        </w:rPr>
        <w:t>shares offered by this prospectus.</w:t>
      </w:r>
    </w:p>
    <w:p>
      <w:pPr>
        <w:spacing w:after="0" w:line="9" w:lineRule="exact"/>
        <w:rPr>
          <w:sz w:val="20"/>
          <w:szCs w:val="20"/>
          <w:color w:val="auto"/>
        </w:rPr>
      </w:pPr>
    </w:p>
    <w:p>
      <w:pPr>
        <w:ind w:left="460" w:right="320" w:hanging="452"/>
        <w:spacing w:after="0" w:line="323"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Mr. Easterly is a TPG and TSSP Partner. TPG and TSSP are affiliated with Tarrant and Group Advisors (both as defined below). Mr. Easterly disclaims beneficial ownership of the shares that are or may be beneficially owned by Tarrant, Group Advisors or any of its affiliates.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hanging="452"/>
        <w:spacing w:after="0" w:line="254"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Fishman is employed by the Adviser, which is affiliated with Tarrant and Group Advisors. Mr. Fishman disclaims beneficial ownership of the shares that are or may be beneficially owned by Tarrant, Group Advisors or any of its affiliates.</w:t>
      </w:r>
    </w:p>
    <w:p>
      <w:pPr>
        <w:ind w:left="46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Cami is a TPG Partner. Mr. Cami disclaims beneficial ownership of the shares that are or may be beneficially owned by Tarrant, Group Advisors or any of its affiliates.</w:t>
      </w:r>
    </w:p>
    <w:p>
      <w:pPr>
        <w:ind w:left="460" w:right="40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Kirshenbaum is the Chief Financial Officer of TSL. Mr. Kirshenbaum disclaims beneficial ownership of the shares that are or may be beneficially owned by Tarrant, Group Advisors or any of its affiliates.</w:t>
      </w:r>
    </w:p>
    <w:p>
      <w:pPr>
        <w:ind w:left="46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Ms. Mello is the General Counsel of TSSP. Ms. Mello disclaims beneficial ownership of the shares that are or may be beneficially owned by Tarrant, Group Advisors or any of its affiliates.</w:t>
      </w:r>
    </w:p>
    <w:p>
      <w:pPr>
        <w:ind w:left="460" w:right="16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Pluss is a TPG and TSSP Partner and the Global Chief Financial Officer and Chief Risk Officer of TSSP. Mr. Pluss disclaims beneficial ownership of the shares that are or may be beneficially owned by Tarrant, Group Advisors or any of its affiliates.</w:t>
      </w:r>
    </w:p>
    <w:p>
      <w:pPr>
        <w:ind w:left="460" w:right="16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Reintjes is both TSL’s and TPG’s Chief Compliance Officer. Mr. Reintjes disclaims beneficial ownership of the shares that are or may be beneficially owned by Tarrant, Group Advisors or any of its affiliates.</w:t>
      </w:r>
    </w:p>
    <w:p>
      <w:pPr>
        <w:ind w:left="460" w:right="10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Stiepleman is a TPG and TSSP Partner. Mr. Stiepleman disclaims beneficial ownership of the shares that are or may be beneficially owned by Tarrant, Group Advisors or any of its affiliates.</w:t>
      </w:r>
    </w:p>
    <w:p>
      <w:pPr>
        <w:ind w:left="460" w:right="200" w:hanging="452"/>
        <w:spacing w:after="0" w:line="302"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common stock held by the TPG Funds (as defined below) includes (i) 2,604,620 shares of common stock, or the TSL shares, held by our Adviser; (ii) 435,346 shares of common stock, or the TSL FOF Shares, held by TSL FOF, L.P., a Delaware limited partnership, or TSL FOF; and (iii) 66 shares of common stock held by Tarrant Advisors, Inc., a Delaware corporation, or Tarrant, and, together with our Adviser and TSL FOF, the TPG Funds.</w:t>
      </w:r>
    </w:p>
    <w:p>
      <w:pPr>
        <w:spacing w:after="0" w:line="28"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color w:val="auto"/>
        </w:rPr>
        <w:t>The business and affairs of our Adviser are managed by its board of managers, whose sole members are Messrs. Bonderman, Coulter and Waxman. Any decision or determination by the board of managers requires the approval of each of Messrs. Bonderman, Coulter and Waxman.</w:t>
      </w:r>
    </w:p>
    <w:p>
      <w:pPr>
        <w:spacing w:after="0" w:line="4"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TPG Group Holdings (SBS) Advisors, Inc., a Delaware corporation, or 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or Holdings II Sub, which is a member of our Adviser. Because of the relationship between Holdings II Sub and our Adviser, Group Advisors may be deemed to beneficially own the TSL Shares. The principal business of Group Advisors is serving as the sole ultimate general partner, managing member or similar entity of related entities (including our Adviser) engaged in making or recommending investments in securities of public and private companies.</w:t>
      </w:r>
    </w:p>
    <w:p>
      <w:pPr>
        <w:spacing w:after="0" w:line="39" w:lineRule="exact"/>
        <w:rPr>
          <w:sz w:val="20"/>
          <w:szCs w:val="20"/>
          <w:color w:val="auto"/>
        </w:rPr>
      </w:pPr>
    </w:p>
    <w:p>
      <w:pPr>
        <w:ind w:left="460" w:right="120"/>
        <w:spacing w:after="0" w:line="290" w:lineRule="auto"/>
        <w:rPr>
          <w:sz w:val="20"/>
          <w:szCs w:val="20"/>
          <w:color w:val="auto"/>
        </w:rPr>
      </w:pPr>
      <w:r>
        <w:rPr>
          <w:rFonts w:ascii="Arial" w:cs="Arial" w:eastAsia="Arial" w:hAnsi="Arial"/>
          <w:sz w:val="16"/>
          <w:szCs w:val="16"/>
          <w:color w:val="auto"/>
        </w:rPr>
        <w:t>Tarrant Capital Advisors, Inc., a Delaware corporation, or Tarrant Capital, is the sole stockholder of Tarrant, which is the general partner of TSL Equity Partners, L.P., a Delaware limited partnership, or Equity Partners, which is a member of our Adviser. Because of the investment by Equity Partners in our Adviser, Tarrant Capital may be deemed to beneficially own 2,206,629 of the TSL Shares, or the Tarrant TSL Shares. Tarrant is also the general partner of TSL FOF. Because of the relationship between Tarrant and TSL FOF, Tarrant Capital may be deemed to beneficially own the TSL FOF Shares and, together with the Tarrant TSL Shares and the 66 shares of common stock held directly by Tarrant Capital, the Tarrant Shares.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37"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Our Adviser is required to solicit voting instructions from Equity Partners and Holdings II Sub in respect of the shares of common stock beneficially owned by Equity Partners and Holdings II Sub, respectively, in connection with any matter on which our Adviser is entitled to vote the TSL Shares. Our Adviser is required to vote all proxies in respect of the TSL Shares proportionately in accordance with such instructions. Equity Partners is required to solicit voting instructions from its limited partners in respect of their indirect interests in the TSL Shares. Equity Partners is required to instruct our Adviser to vote proxies in respect of its TSL Shares proportionately in accordance with such instructions.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spacing w:after="0" w:line="283" w:lineRule="auto"/>
        <w:rPr>
          <w:sz w:val="20"/>
          <w:szCs w:val="20"/>
          <w:color w:val="auto"/>
        </w:rPr>
      </w:pPr>
      <w:r>
        <w:rPr>
          <w:rFonts w:ascii="Arial" w:cs="Arial" w:eastAsia="Arial" w:hAnsi="Arial"/>
          <w:sz w:val="16"/>
          <w:szCs w:val="16"/>
          <w:color w:val="auto"/>
        </w:rPr>
        <w:t>Messrs. Bonderman and Coulter are the officers and sole stockholders of each of Tarrant Capital and Group Advisors. As the directors, officers and sole stockholders of Group Advisors, Mr. Bonderman and Mr. Coulter may indirectly issue voting instructions to our Adviser in respect of the shares of common stock beneficially owned by Holdings II Sub.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w:t>
      </w:r>
    </w:p>
    <w:p>
      <w:pPr>
        <w:spacing w:after="0" w:line="2" w:lineRule="exact"/>
        <w:rPr>
          <w:sz w:val="20"/>
          <w:szCs w:val="20"/>
          <w:color w:val="auto"/>
        </w:rPr>
      </w:pPr>
    </w:p>
    <w:p>
      <w:pPr>
        <w:ind w:left="460" w:right="180"/>
        <w:spacing w:after="0" w:line="281" w:lineRule="auto"/>
        <w:rPr>
          <w:sz w:val="20"/>
          <w:szCs w:val="20"/>
          <w:color w:val="auto"/>
        </w:rPr>
      </w:pPr>
      <w:r>
        <w:rPr>
          <w:rFonts w:ascii="Arial" w:cs="Arial" w:eastAsia="Arial" w:hAnsi="Arial"/>
          <w:sz w:val="16"/>
          <w:szCs w:val="16"/>
          <w:color w:val="auto"/>
        </w:rPr>
        <w:t>Mr. Waxman is a member of the board of managers of our Adviser, he may be deemed to beneficially own the TSL Shares. Mr. Waxman disclaims beneficial ownership of the TSL Shares except to the extent of his pecuniary interest therein. The address of Group Advisors, Tarrant Capital and Messrs. Bonderman, Coulter and Waxman is c/o TPG Global, LLC 301 Commerce Street, Suite 3300, Fort Worth, TX 76102.</w:t>
      </w:r>
    </w:p>
    <w:p>
      <w:pPr>
        <w:spacing w:after="0" w:line="2" w:lineRule="exact"/>
        <w:rPr>
          <w:sz w:val="20"/>
          <w:szCs w:val="20"/>
          <w:color w:val="auto"/>
        </w:rPr>
      </w:pPr>
    </w:p>
    <w:p>
      <w:pPr>
        <w:ind w:left="460" w:hanging="452"/>
        <w:spacing w:after="0" w:line="281" w:lineRule="auto"/>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upon a Form 4 filed by MSSB TPG Specialty Lending Onshore Feeder Fund, or the MSSB Onshore Feeder Fund, on December 12, 2012, although MSSB Onshore Feeder Fund beneficially owns 76,377 shares of common stock and would otherwise be entitled to vote such shares, MSSB Onshore Feeder Fund has contractually agreed to pass such voting rights through to its underlying investors, or MSSB Unitholders, pro rata in accordance with each MSSB Unitholder’s relative ownership of units of the MSSB Onshore Feeder Fund. Each MSSB Unitholder will make its own determination as to whether and how to vote its portion of the MSSB Onshore Feeder Fund’s shares of us, as well as whether or not to vote with respect to such shares. If MSSB Unitholders representing a certain percentage vote their interests, MSSB Onshore Feeder Fund will vote all shares in accordance with the votes received. If, however, less than the agreed upon representative vote is received, MSSB Onshore Feeder Fund will not vote any of the shares. The address of the MSSB TPG Specialty Lending Onshore Feeder Fund is 522 Fifth Avenue, 13th Floor New York, NY 10036.</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The address of the State of New Jersey Common Pension Fund B is New Jersey Division of Investment 50 West State Street, 9th Floor Trenton, NJ 08608.</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address of the Universities Superannuation Scheme Ltd. is Royal Liver Building Liverpool L3 1PY, United Kingdom.</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address of the Oregon Public Employees Retirement Fund is c/o Office of the Oregon Treasurer 6650 SW Redwood Lane, Suite 190 Tigard, Oregon 97224-7184.</w:t>
      </w: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address of the State Teachers Retirement System of Ohio is 275 East Broad Street Columbus, OH 43215-3771.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address of the Arizona State Retirement System is 3300 N. Central Avenue Phoenix, AZ 85012.</w:t>
      </w:r>
    </w:p>
    <w:p>
      <w:pPr>
        <w:spacing w:after="0" w:line="9" w:lineRule="exact"/>
        <w:rPr>
          <w:rFonts w:ascii="Arial" w:cs="Arial" w:eastAsia="Arial" w:hAnsi="Arial"/>
          <w:sz w:val="18"/>
          <w:szCs w:val="18"/>
          <w:color w:val="auto"/>
        </w:rPr>
      </w:pPr>
    </w:p>
    <w:p>
      <w:pPr>
        <w:ind w:left="460" w:right="160" w:hanging="452"/>
        <w:spacing w:after="0" w:line="255"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upon a Schedule 13G filed with the SEC on February 14, 2013 by Silver Creek Capital Management LLC, Silver Creek Advisory Partners LLC, Silver Creek Special Opportunities Fund III, L.P., Silver Creek Special Opportunities Fund Cayman III, L.P, Silver Creek Credit Opportunities II Fund A, L.P. and Silver Creek Credit Opportunities III Fund B, L.P. (collectively, the Silver Creek Group).</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in the Company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director following completion of the offering. We are not part of a “family of investment companies,” as that term is defined in the 1940 Act.</w:t>
      </w:r>
    </w:p>
    <w:p>
      <w:pPr>
        <w:spacing w:after="0" w:line="14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900" w:type="dxa"/>
            <w:vAlign w:val="bottom"/>
            <w:gridSpan w:val="2"/>
          </w:tcPr>
          <w:p>
            <w:pPr>
              <w:jc w:val="center"/>
              <w:ind w:left="1722"/>
              <w:spacing w:after="0"/>
              <w:rPr>
                <w:sz w:val="20"/>
                <w:szCs w:val="20"/>
                <w:color w:val="auto"/>
              </w:rPr>
            </w:pPr>
            <w:r>
              <w:rPr>
                <w:rFonts w:ascii="Arial" w:cs="Arial" w:eastAsia="Arial" w:hAnsi="Arial"/>
                <w:sz w:val="14"/>
                <w:szCs w:val="14"/>
                <w:b w:val="1"/>
                <w:bCs w:val="1"/>
                <w:color w:val="auto"/>
                <w:w w:val="87"/>
              </w:rPr>
              <w:t>Dollar Range of our Common Stock</w:t>
            </w:r>
          </w:p>
        </w:tc>
      </w:tr>
      <w:tr>
        <w:trPr>
          <w:trHeight w:val="176"/>
        </w:trPr>
        <w:tc>
          <w:tcPr>
            <w:tcW w:w="386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20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Beneficially Owned</w:t>
            </w:r>
            <w:r>
              <w:rPr>
                <w:rFonts w:ascii="Arial" w:cs="Arial" w:eastAsia="Arial" w:hAnsi="Arial"/>
                <w:sz w:val="20"/>
                <w:szCs w:val="20"/>
                <w:b w:val="1"/>
                <w:bCs w:val="1"/>
                <w:color w:val="auto"/>
                <w:w w:val="90"/>
                <w:vertAlign w:val="superscript"/>
              </w:rPr>
              <w:t>(1)(2)</w:t>
            </w:r>
          </w:p>
        </w:tc>
      </w:tr>
      <w:tr>
        <w:trPr>
          <w:trHeight w:val="196"/>
        </w:trPr>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18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216"/>
        </w:trPr>
        <w:tc>
          <w:tcPr>
            <w:tcW w:w="3860" w:type="dxa"/>
            <w:vAlign w:val="bottom"/>
          </w:tcPr>
          <w:p>
            <w:pPr>
              <w:ind w:left="440"/>
              <w:spacing w:after="0"/>
              <w:rPr>
                <w:sz w:val="20"/>
                <w:szCs w:val="20"/>
                <w:color w:val="auto"/>
              </w:rPr>
            </w:pPr>
            <w:r>
              <w:rPr>
                <w:rFonts w:ascii="Arial" w:cs="Arial" w:eastAsia="Arial" w:hAnsi="Arial"/>
                <w:sz w:val="18"/>
                <w:szCs w:val="18"/>
                <w:color w:val="auto"/>
              </w:rPr>
              <w:t>Joshua Easterly</w:t>
            </w:r>
          </w:p>
        </w:tc>
        <w:tc>
          <w:tcPr>
            <w:tcW w:w="3900" w:type="dxa"/>
            <w:vAlign w:val="bottom"/>
            <w:gridSpan w:val="2"/>
          </w:tcPr>
          <w:p>
            <w:pPr>
              <w:jc w:val="center"/>
              <w:ind w:left="1722"/>
              <w:spacing w:after="0"/>
              <w:rPr>
                <w:sz w:val="20"/>
                <w:szCs w:val="20"/>
                <w:color w:val="auto"/>
              </w:rPr>
            </w:pPr>
            <w:r>
              <w:rPr>
                <w:rFonts w:ascii="Arial" w:cs="Arial" w:eastAsia="Arial" w:hAnsi="Arial"/>
                <w:sz w:val="18"/>
                <w:szCs w:val="18"/>
                <w:color w:val="auto"/>
                <w:w w:val="88"/>
              </w:rPr>
              <w:t>$50,001 -$100,000</w:t>
            </w: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Michael Fishman</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over $100,000</w:t>
            </w:r>
          </w:p>
        </w:tc>
      </w:tr>
      <w:tr>
        <w:trPr>
          <w:trHeight w:val="216"/>
        </w:trPr>
        <w:tc>
          <w:tcPr>
            <w:tcW w:w="386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182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Richard Higginbotham</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tcPr>
          <w:p>
            <w:pPr>
              <w:ind w:left="440"/>
              <w:spacing w:after="0"/>
              <w:rPr>
                <w:sz w:val="20"/>
                <w:szCs w:val="20"/>
                <w:color w:val="auto"/>
              </w:rPr>
            </w:pPr>
            <w:r>
              <w:rPr>
                <w:rFonts w:ascii="Arial" w:cs="Arial" w:eastAsia="Arial" w:hAnsi="Arial"/>
                <w:sz w:val="18"/>
                <w:szCs w:val="18"/>
                <w:color w:val="auto"/>
              </w:rPr>
              <w:t>John Ross</w:t>
            </w:r>
          </w:p>
        </w:tc>
        <w:tc>
          <w:tcPr>
            <w:tcW w:w="18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8"/>
              </w:rPr>
              <w:t>over $100,000</w:t>
            </w: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Ronald Tanemura</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over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15"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September 30, 2013, multiplied by our net asset value per share as of September 30, 2013.</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connection with certain future offerings of shares of our common stock, our Board or an authorized committee thereof will be required to make the determination that we are not selling shares of our common stock at a price below the then current net asset value of our common stock at the time at which the sale is made. Our Board or an authorized committee thereof will consider the following factors, among others, in making such a determination:</w:t>
      </w:r>
    </w:p>
    <w:p>
      <w:pPr>
        <w:spacing w:after="0" w:line="26" w:lineRule="exact"/>
        <w:rPr>
          <w:sz w:val="20"/>
          <w:szCs w:val="20"/>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900" w:right="280" w:hanging="325"/>
        <w:spacing w:after="0" w:line="306" w:lineRule="auto"/>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140" w:hanging="325"/>
        <w:spacing w:after="0" w:line="255"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declared by the Board on behalf of investors who do not elect to receive their dividends in cash as provided below. As a result, if the Board authorizes, and we declare, a cash dividend or other distribution, then our stockholders who have not elected to “opt out” of our dividend reinvestment plan will have their cash dividends automatically reinvested in additional common stock as described below.</w:t>
      </w:r>
    </w:p>
    <w:p>
      <w:pPr>
        <w:spacing w:after="0" w:line="14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Following this IPO, the number of shares to be issued to a stockholder under the dividend reinvestment plan will be determined by dividing the total dollar amount of the dividend payable to such stockholder by the market price of our common stock. Market price per share on that date will be the closing price for</w:t>
      </w:r>
    </w:p>
    <w:p>
      <w:pPr>
        <w:ind w:right="20"/>
        <w:spacing w:after="0" w:line="287" w:lineRule="auto"/>
        <w:rPr>
          <w:sz w:val="20"/>
          <w:szCs w:val="20"/>
          <w:color w:val="auto"/>
        </w:rPr>
      </w:pPr>
      <w:r>
        <w:rPr>
          <w:rFonts w:ascii="Arial" w:cs="Arial" w:eastAsia="Arial" w:hAnsi="Arial"/>
          <w:sz w:val="16"/>
          <w:szCs w:val="16"/>
          <w:color w:val="auto"/>
        </w:rPr>
        <w:t>such shares on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 The number of shares to be issued to the stockholder pursuant to the foregoing shall be rounded downward to the nearest whole share to avoid the issuance of fractional shares, with any fractional shares being paid in cash. Subject to the foregoing, for non-U.S. stockholders, the number of shares to be issued to the stockholder shall be the amount equal to the total dollar amount of the dividend payable, net of applicable withholding taxes. We intend to use primarily newly issued shares to implement the plan, whether our shares are trading at a premium or at a discount to net asset value. However, we reserve the right to direct the plan administrator to purchase shares in the open market in connection with our implementation of the plan.</w:t>
      </w:r>
    </w:p>
    <w:p>
      <w:pPr>
        <w:spacing w:after="0" w:line="12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will be required on the part of a registered stockholder to have its cash dividend or other distribution reinvested in our common stock. A registered stockholder will be able to elect to receive an entire cash dividend in cash by notifying State Street Bank and Trust Company, the plan administrator and our transfer agent and registrar, in writing, so that such notice is received by the plan administrator no later than 10 days prior to the record date for dividends to the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There are no brokerage charges or other charges to stockholders who participate in the plan. The plan is terminable by us upon notice in writing mailed to each stockholder of record at least 30 days prior to any record date for the payment of any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stockholder who does not opt out of the dividend reinvestment plan will be treated for U.S. federal income tax purposes as having received a cash distribution in an amount equal to the total dollar amount of the dividend payable to such stockholder, net of applicable withholding taxes, and then reinvesting that net cash for additional shares of our stock. Such a stockholder is subject to the same U.S. federal income tax consequences as stockholders who elect to receive their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additional shares of stock equal to the total dollar amount of the distribution payable to the stockholder divided by the total numbers of shares issued to such stockholder pursuant to such distribution. The stockholder’s holding period for such stock will commence on the day following the day on which the shares are credited to the stockholder’s account.</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Participants may terminate their accounts under the plan by filling out the transaction request form located at the bottom of their statement and sending it to the plan administrator. Such termination will be effective immediately if the participant’s notice is received by the plan administrator not less than 10 days prior to any dividend or distribution record date; otherwise, such termination will be effective only with respect to any subsequent dividend or distribution.</w:t>
      </w:r>
    </w:p>
    <w:p>
      <w:pPr>
        <w:spacing w:after="0" w:line="10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All correspondence concerning the plan should be directed to the plan administrator by mail at TPG Specialty Lending Inc., c/o State Street Bank and Trust Company, 1 Lincoln Street, Boston, Massachusetts 02145.</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The following discussion is a summary of material U.S. federal income tax considerations applicable to us and to an investment in shares of our common stock. This summary does not purport to be a complete description of the income tax considerations applicable to such an investment. For example, we have not described tax consequences that may be relevant to certain types of stockholders subject to special treatment under U.S. federal income tax laws, including:</w:t>
      </w:r>
    </w:p>
    <w:p>
      <w:pPr>
        <w:spacing w:after="0" w:line="7"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entities taxed as partnerships and partners therein;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persons holding our stock as part of a “straddle”, “hedge”, “conversion transaction,” “synthetic security” or other integrated investment;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U.S. stockholders who have a “functional currency” other than the U.S. dollar.</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summary assumes that investors will hold our common stock as a capital asset, which generally means as property held for investment. The discussion is based upon the Code, U.S.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or the IRS, regarding this offering or the statements made and the conclusions reached in this summary and we cannot assure you that the IRS will agree with such statements or conclusions. This summary does not discuss any aspects of:</w:t>
      </w:r>
    </w:p>
    <w:p>
      <w:pPr>
        <w:spacing w:after="0" w:line="35"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U.S. federal estate or gift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foreign, state or local tax; and</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 does not address any aspects of the unearned income Medicare contribution tax pursuant to the Health Care and Education Reconciliation Act of 2010.</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purposes of this discussion under the heading “Material U.S. Federal Income Tax Considerations,” a “U.S. stockholder” is a beneficial owner of shares of our common stock that is for U.S. federal income tax purposes:</w:t>
      </w:r>
    </w:p>
    <w:p>
      <w:pPr>
        <w:spacing w:after="0" w:line="51" w:lineRule="exact"/>
        <w:rPr>
          <w:sz w:val="20"/>
          <w:szCs w:val="20"/>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domestic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otherwise subject to U.S. federal income tax on a net income basis in respect of our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taxable earnings that we retain and do not distribute. In addition, certain distributions that we make to our Non-U.S. stockholders may be eligible for look-through tax treatment determined by reference to the earnings from which the distribution is made, for taxable years commencing on or prior to December 31, 2013.</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90" w:lineRule="exact"/>
        <w:rPr>
          <w:sz w:val="20"/>
          <w:szCs w:val="20"/>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90" w:lineRule="exact"/>
        <w:rPr>
          <w:rFonts w:ascii="Arial" w:cs="Arial" w:eastAsia="Arial" w:hAnsi="Arial"/>
          <w:sz w:val="18"/>
          <w:szCs w:val="18"/>
          <w:color w:val="auto"/>
        </w:rPr>
      </w:pPr>
    </w:p>
    <w:p>
      <w:pPr>
        <w:ind w:left="1480" w:right="240" w:hanging="446"/>
        <w:spacing w:after="0" w:line="306" w:lineRule="auto"/>
        <w:tabs>
          <w:tab w:leader="none" w:pos="148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25" w:lineRule="exact"/>
        <w:rPr>
          <w:rFonts w:ascii="Arial" w:cs="Arial" w:eastAsia="Arial" w:hAnsi="Arial"/>
          <w:sz w:val="16"/>
          <w:szCs w:val="16"/>
          <w:color w:val="auto"/>
        </w:rPr>
      </w:pPr>
    </w:p>
    <w:p>
      <w:pPr>
        <w:ind w:left="1480" w:right="40" w:hanging="446"/>
        <w:spacing w:after="0" w:line="306" w:lineRule="auto"/>
        <w:tabs>
          <w:tab w:leader="none" w:pos="148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0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To maintain our status as a RIC, we must distribute (or be treated as distributing) in each taxable year dividends of an amount equal to at least 90% of our investment company taxable income (which includes, among other items, dividends, interest, the excess of any net short-term capital gains over net long-term capital losses, as well as other taxable income, excluding any net capital gain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39" w:lineRule="exact"/>
        <w:rPr>
          <w:sz w:val="20"/>
          <w:szCs w:val="20"/>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one-year period ending on October 31 of such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17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8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on behalf of those investors that do not elect to receive their dividends in cash. See “Distributions”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“Dividend Reinvestment Plan” for a description of our dividend policy and obligations. One or more of the considerations described below, however, could result in the deferral of dividend distributions until the end of the fiscal year:</w:t>
      </w:r>
    </w:p>
    <w:p>
      <w:pPr>
        <w:spacing w:after="0" w:line="51" w:lineRule="exact"/>
        <w:rPr>
          <w:sz w:val="20"/>
          <w:szCs w:val="20"/>
          <w:color w:val="auto"/>
        </w:rPr>
      </w:pPr>
    </w:p>
    <w:p>
      <w:pPr>
        <w:ind w:left="900" w:right="60" w:hanging="325"/>
        <w:spacing w:after="0" w:line="306"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25"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50" w:lineRule="exact"/>
        <w:rPr>
          <w:rFonts w:ascii="Arial" w:cs="Arial" w:eastAsia="Arial" w:hAnsi="Arial"/>
          <w:sz w:val="18"/>
          <w:szCs w:val="18"/>
          <w:color w:val="auto"/>
        </w:rPr>
      </w:pPr>
    </w:p>
    <w:p>
      <w:pPr>
        <w:jc w:val="both"/>
        <w:ind w:left="900" w:right="340" w:hanging="325"/>
        <w:spacing w:after="0" w:line="259"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withholding tax treatment of certain dividends payable to Non-U.S. stockholders depends on whether and when Congress extends the look-through rules applicable to “interest-related dividends” and “short-term capital gain dividends.” The look-through rules expired for taxable years beginning after December 31, 2013.</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or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years.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of 20%. In this regard, it is anticipated that our distributions generally will not be attributable to dividends received by us and, therefore, generally will not qualify for the 20% maximum rate applicable to qualified dividend income. Distributions generally will not be eligible for the dividends received deduction allowed to corporate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and, after the adjusted tax basis is reduced to zero, will constitute capital gains to such U.S. stockholder.</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Any dividends declared by us in October, November, or December of any calendar year, payable to holders of our common shares of record on a specified date in such a month, which are actually paid during January of the following calendar year, will be treated as if paid by us and received by such holders on December 31 of the previous calendar year. In addition, we may elect to relate any undistributed investment company taxable income or net capital gains eligible for distribution as a dividend back to our immediately prior taxable year if we:</w:t>
      </w:r>
    </w:p>
    <w:p>
      <w:pPr>
        <w:spacing w:after="0" w:line="62" w:lineRule="exact"/>
        <w:rPr>
          <w:sz w:val="20"/>
          <w:szCs w:val="20"/>
          <w:color w:val="auto"/>
        </w:rPr>
      </w:pPr>
    </w:p>
    <w:p>
      <w:pPr>
        <w:ind w:left="900" w:right="180" w:hanging="325"/>
        <w:spacing w:after="0" w:line="268"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but not later than our first payment of the same type of dividend following such declaration; and</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32"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Any such election will not alter the general rule that a holder of our common shares will be treated as receiving a dividend in the taxable year in which the dividend is distributed, subject to the October, November, or December dividend declaration rule discussed immediately above.</w:t>
      </w:r>
    </w:p>
    <w:p>
      <w:pPr>
        <w:spacing w:after="0" w:line="8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If a U.S. stockholder sells or otherwise disposes of shares of our common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may be disallowed if other shares of our common stock are purchased (whether through reinvestment of distributions or otherwise) within 30 days before or after the disposition.</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of such distributions on our common stock includible in such U.S. stockholder’s taxable income for such year as ordinary income and as long-term capital gain. In addition, the federal tax status of each year’s distributions generally will be reported to the IRS. Distributions may also be subject to additional state, local and foreign taxes depending on a U.S. stockholder’s particular situation.</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U.S. stockholder that is an individual or estate, or a trust that does not fall into a special class of trusts that is exempt from such tax, will generally be subject to a 3.8% U.S. federal income tax on the lesser of (i) the U.S. stockholder’s “net investment income” for a taxable year and (ii) the excess of the U.S. stockholder’s modified adjusted gross income for such taxable year over $200,000 ($250,000 in the case of joint filers). For these purposes, “net investment income” will generally include taxable distributions and deemed distributions paid with respect to stock, including our common stock, and net gain attributable to the disposition of stock, including our common stock (in each case, unless such stock is held in connection with certain trades or businesses), but will be reduced by any deductions properly allocable to such distributions or net gain.</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applicable U.S. Treasury regulations, if a U.S. stockholder recognizes a loss with respect to our common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Limitation with respect to Certain U.S. Stockholders on Deductions for Certain Fees and Expenses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expect to be treated as a “publicly offered regulated investment company” (within the meaning of Section 67 of the Code) as a result of shares of our common stock being treated as regularly traded on 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deductible by such U.S. stockholder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Section 67 of the Code.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680" w:firstLine="456"/>
        <w:spacing w:after="0" w:line="306" w:lineRule="auto"/>
        <w:rPr>
          <w:sz w:val="20"/>
          <w:szCs w:val="20"/>
          <w:color w:val="auto"/>
        </w:rPr>
      </w:pPr>
      <w:r>
        <w:rPr>
          <w:rFonts w:ascii="Arial" w:cs="Arial" w:eastAsia="Arial" w:hAnsi="Arial"/>
          <w:sz w:val="16"/>
          <w:szCs w:val="16"/>
          <w:color w:val="auto"/>
        </w:rPr>
        <w:t>Whether an investment in the shares of our common stock is appropriate for a Non-U.S. stockholder will depend upon that person’s particular circumstances. An investment in the shares of our common stock by a Non-U.S. stockholder may have adverse tax consequences as compared to a direct investment in the assets in which we will invest. Non-U.S. stockholders should consult their tax advisors before investing in our common stock.</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Distributions of our investment company taxable income that we pay to a Non-U.S. stockholder will be subject to U.S. withholding tax at a 30% rate to the extent of our current or accumulated earnings and profits unless (i) Congress enacts legislation extending pass-through treatment for dividends under the rules described below, and such holder could have received the underlying income free of tax; or (ii) such holder qualifies for, and complies with the procedures for claiming, an exemption or reduced rate under an applicable income tax treaty; or (iii) such holder qualifies, and complies with the procedures for claiming, an exemption by reason of its status as a foreign government-related entity.</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In recent years, Congress has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were paid in connection with our “qualified short-term capital gains” (generally, the excess of our net short-term capital gain over our net long-term capital loss for such taxable year) qualify for an exemption from U.S. withholding tax. The pass-through rules expired for taxable years beginning after December 31, 2013. Further legislation is required to make the exemption available with respect to taxable years that commence after December 31, 2013. Congress has not yet extended the pass-through rules for taxable years that commence after December 31, 2013. </w:t>
      </w:r>
      <w:r>
        <w:rPr>
          <w:rFonts w:ascii="Arial" w:cs="Arial" w:eastAsia="Arial" w:hAnsi="Arial"/>
          <w:sz w:val="16"/>
          <w:szCs w:val="16"/>
          <w:b w:val="1"/>
          <w:bCs w:val="1"/>
          <w:color w:val="auto"/>
        </w:rPr>
        <w:t>We cannot assure you that Congress will enact an extension or that any such extension will apply to all dividends that</w:t>
      </w:r>
      <w:r>
        <w:rPr>
          <w:rFonts w:ascii="Arial" w:cs="Arial" w:eastAsia="Arial" w:hAnsi="Arial"/>
          <w:sz w:val="16"/>
          <w:szCs w:val="16"/>
          <w:color w:val="auto"/>
        </w:rPr>
        <w:t xml:space="preserve"> </w:t>
      </w:r>
      <w:r>
        <w:rPr>
          <w:rFonts w:ascii="Arial" w:cs="Arial" w:eastAsia="Arial" w:hAnsi="Arial"/>
          <w:sz w:val="16"/>
          <w:szCs w:val="16"/>
          <w:b w:val="1"/>
          <w:bCs w:val="1"/>
          <w:color w:val="auto"/>
        </w:rPr>
        <w:t>we distribute with respect to taxable years commencing after December 31, 2013</w:t>
      </w:r>
      <w:r>
        <w:rPr>
          <w:rFonts w:ascii="Arial" w:cs="Arial" w:eastAsia="Arial" w:hAnsi="Arial"/>
          <w:sz w:val="16"/>
          <w:szCs w:val="16"/>
          <w:color w:val="auto"/>
        </w:rPr>
        <w:t>. If Congress does extend the exemption, dividends that we designate as</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“interest-related dividends” or “short-term capital gain dividends” generally will be exempt from U.S. withholding tax if the underlying income is U.S.-source and the Non-U.S. stockholder could have received the underlying income free of tax. If the exemption is not extended,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 potential implications of a failure to extend the U.S. withholding tax exemption in light of their particular circumstances, and regarding their eligibility for a reduced rate or exemption as described above.</w:t>
      </w:r>
    </w:p>
    <w:p>
      <w:pPr>
        <w:spacing w:after="0" w:line="12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 or other applicable tax certification establishing its entitlement to the exemption or reduced rate, or otherwise establishing an exemption from backup withholding.</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the case of distributions made on or after July 1, 2014, and in the case of gross proceeds from the sale or other of shares of our common stock paid on or after January 1, 2017,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has entered into an agreement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U.S. information reporting requirements will apply and backup withholding will not apply to dividends paid on our shares to a Non-U.S. stockholder, provided the non-U.S. stockholder provides to the applicable withholding agent a Form W-8BEN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following description is based on relevant portions of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terms of our certificate of incorporation, which was adopted on March 8, 2011, our authorized capital stock consists of 100,000,000 shares of</w:t>
      </w:r>
    </w:p>
    <w:p>
      <w:pPr>
        <w:spacing w:after="0" w:line="3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common stock, par value $0.01 per share, of which shares are outstanding as of the date of this offering, and 100,000,000 shares of preferred stock, par value $0.01 per share, of which no shares are outstanding as of the date of this offering.</w:t>
      </w:r>
    </w:p>
    <w:p>
      <w:pPr>
        <w:spacing w:after="0" w:line="13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 As of December 5, 2013, our issued and outstanding shares total 37,026,023, as adjusted for the stock split.</w:t>
      </w:r>
    </w:p>
    <w:p>
      <w:pPr>
        <w:spacing w:after="0" w:line="143"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We intend to apply to list our common stock on the NYSE under the symbol “TSLX.” There are no outstanding options or warrants to purchase our stock. No stock has been authorized for issuance under any equity compensation plans. Under Delaware law, our stockholders generally are not personally liable for our</w:t>
      </w:r>
    </w:p>
    <w:p>
      <w:pPr>
        <w:spacing w:after="0" w:line="261" w:lineRule="auto"/>
        <w:rPr>
          <w:sz w:val="20"/>
          <w:szCs w:val="20"/>
          <w:color w:val="auto"/>
        </w:rPr>
      </w:pPr>
      <w:r>
        <w:rPr>
          <w:rFonts w:ascii="Arial" w:cs="Arial" w:eastAsia="Arial" w:hAnsi="Arial"/>
          <w:sz w:val="18"/>
          <w:szCs w:val="18"/>
          <w:color w:val="auto"/>
        </w:rPr>
        <w:t>debts or obligations. Immediately prior to this offering, our only securities outstanding were shares of our common stock, as adjusted to reflect the stock split.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our outstanding classes of securities as of September 30, 2013:</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Amount Outstanding</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9"/>
              </w:rPr>
              <w:t>Amount Held by Us</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Exclusive of Amount</w:t>
            </w: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Class</w:t>
            </w:r>
          </w:p>
        </w:tc>
        <w:tc>
          <w:tcPr>
            <w:tcW w:w="3200" w:type="dxa"/>
            <w:vAlign w:val="bottom"/>
            <w:vMerge w:val="restart"/>
          </w:tcPr>
          <w:p>
            <w:pPr>
              <w:spacing w:after="0"/>
              <w:rPr>
                <w:sz w:val="12"/>
                <w:szCs w:val="12"/>
                <w:color w:val="auto"/>
              </w:rPr>
            </w:pPr>
          </w:p>
        </w:tc>
        <w:tc>
          <w:tcPr>
            <w:tcW w:w="19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0"/>
              </w:rPr>
              <w:t>Amount</w:t>
            </w:r>
          </w:p>
        </w:tc>
        <w:tc>
          <w:tcPr>
            <w:tcW w:w="22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5"/>
              </w:rPr>
              <w:t>or</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Held by Us or for Our</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960" w:type="dxa"/>
            <w:vAlign w:val="bottom"/>
            <w:gridSpan w:val="2"/>
          </w:tcPr>
          <w:p>
            <w:pPr>
              <w:jc w:val="center"/>
              <w:ind w:right="1040"/>
              <w:spacing w:after="0" w:line="148" w:lineRule="exact"/>
              <w:rPr>
                <w:sz w:val="20"/>
                <w:szCs w:val="20"/>
                <w:color w:val="auto"/>
              </w:rPr>
            </w:pPr>
            <w:r>
              <w:rPr>
                <w:rFonts w:ascii="Arial" w:cs="Arial" w:eastAsia="Arial" w:hAnsi="Arial"/>
                <w:sz w:val="14"/>
                <w:szCs w:val="14"/>
                <w:b w:val="1"/>
                <w:bCs w:val="1"/>
                <w:color w:val="auto"/>
                <w:w w:val="87"/>
              </w:rPr>
              <w:t>Authorized</w:t>
            </w:r>
          </w:p>
        </w:tc>
        <w:tc>
          <w:tcPr>
            <w:tcW w:w="2240" w:type="dxa"/>
            <w:vAlign w:val="bottom"/>
            <w:gridSpan w:val="2"/>
          </w:tcPr>
          <w:p>
            <w:pPr>
              <w:jc w:val="center"/>
              <w:ind w:right="1040"/>
              <w:spacing w:after="0" w:line="148" w:lineRule="exact"/>
              <w:rPr>
                <w:sz w:val="20"/>
                <w:szCs w:val="20"/>
                <w:color w:val="auto"/>
              </w:rPr>
            </w:pPr>
            <w:r>
              <w:rPr>
                <w:rFonts w:ascii="Arial" w:cs="Arial" w:eastAsia="Arial" w:hAnsi="Arial"/>
                <w:sz w:val="14"/>
                <w:szCs w:val="14"/>
                <w:b w:val="1"/>
                <w:bCs w:val="1"/>
                <w:color w:val="auto"/>
                <w:w w:val="89"/>
              </w:rPr>
              <w:t>for Our Account</w:t>
            </w:r>
          </w:p>
        </w:tc>
        <w:tc>
          <w:tcPr>
            <w:tcW w:w="13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Account</w:t>
            </w: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Common Stock</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100,000,000</w:t>
            </w:r>
          </w:p>
        </w:tc>
        <w:tc>
          <w:tcPr>
            <w:tcW w:w="10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999</w:t>
            </w:r>
          </w:p>
        </w:tc>
        <w:tc>
          <w:tcPr>
            <w:tcW w:w="10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36,546,516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date, we have conducted private offerings of our common stock to investors in reliance on certain exemptions from the registration requirements of the Securities Act. At the closing of each private offering, investors made capital commitments to purchase our common stock from time to time at net asset value. On January 31, 2013, we reached a $1.5 billion cap on private offering commitments agreed to with our investors, which includes a $100 million capital commitment by our Adviser. We have drawn $517 million of these capital commitments as of September 30, 2013, and $36 million has been invested through our dividend reinvestment program as of November 30, 2013. Our existing investors’ obligations to purchase additional shares from the undrawn portion of their capital commitments will terminate upon the completion of this IPO.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after the payment of all debts and other liabilities and will be subject to the prior rights of any outstanding preferred stock. Prior to this IPO, each share of common stock entitled the holder to a preemptive right, for a period of thirty days, to subscribe for purchase or otherwise acquire any shares of preferred stock (including rights or options to purchase shares of preferred stock or securities convertible into, or exchangeable for, shares of preferred stock) that we proposed to issue, but this provision no longer applies following this IPO.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terms of our certificate of incorporation, our Board is authorized to issue shares of preferred stock in one or more series without stockholder approval. The Board has discretion to establish the number of shares to be included in each such series and to fix the voting powers (if any), designations, powers, preferences, and relative, participating, optional or other rights, if any, of the shares of each such series, and any qualifications, limitations, or restrictions thereof.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39" w:lineRule="exact"/>
        <w:rPr>
          <w:sz w:val="20"/>
          <w:szCs w:val="20"/>
          <w:color w:val="auto"/>
        </w:rPr>
      </w:pPr>
    </w:p>
    <w:p>
      <w:pPr>
        <w:ind w:left="900" w:hanging="325"/>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5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amended and restated certification of incorporation limits our directors’ liability to the fullest extent permitted under Delaware corporate law and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1940 Act. Specifically, our directors will not be personally liable to us or our stockholders for any breach of fiduciary duty as a director, except for any liability:</w:t>
      </w:r>
    </w:p>
    <w:p>
      <w:pPr>
        <w:spacing w:after="0" w:line="107" w:lineRule="exact"/>
        <w:rPr>
          <w:sz w:val="20"/>
          <w:szCs w:val="20"/>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the DGCL is amended to permit further elimination or limitation of the personal liability of directors, then the liability of our directors will be eliminated or limited to the fullest extent permitted by the DGCL. So long 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are registered or regulated under the 1940 Act, any limitation of liability of our directors and officers as described above is limited to the extent prohibited by the 1940 Act or by any valid rule, regulation or order of the SEC.</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18"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4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Under the Investment Advisory Agreement, we have, to the extent permitted by applicable law, indemnified the Adviser and certain of its affiliates, as described under “Management and Other Agreements—Investment Advisory Agreement; Administration Agreement; License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90" w:lineRule="exact"/>
        <w:rPr>
          <w:sz w:val="20"/>
          <w:szCs w:val="20"/>
          <w:color w:val="auto"/>
        </w:rPr>
      </w:pPr>
    </w:p>
    <w:p>
      <w:pPr>
        <w:ind w:left="900" w:right="160" w:hanging="325"/>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 The Board has delegated the power to fill vacancies to the Nominating and Corporate Governance Committee.</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bylaws also provide that:</w:t>
      </w:r>
    </w:p>
    <w:p>
      <w:pPr>
        <w:spacing w:after="0" w:line="90" w:lineRule="exact"/>
        <w:rPr>
          <w:sz w:val="20"/>
          <w:szCs w:val="20"/>
          <w:color w:val="auto"/>
        </w:rPr>
      </w:pPr>
    </w:p>
    <w:p>
      <w:pPr>
        <w:ind w:left="900" w:right="300" w:hanging="325"/>
        <w:spacing w:after="0" w:line="26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following this offering, our certificate of incorporation will require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90" w:lineRule="exact"/>
        <w:rPr>
          <w:sz w:val="20"/>
          <w:szCs w:val="20"/>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90" w:lineRule="exact"/>
        <w:rPr>
          <w:rFonts w:ascii="Arial" w:cs="Arial" w:eastAsia="Arial" w:hAnsi="Arial"/>
          <w:sz w:val="18"/>
          <w:szCs w:val="18"/>
          <w:color w:val="auto"/>
        </w:rPr>
      </w:pPr>
    </w:p>
    <w:p>
      <w:pPr>
        <w:ind w:left="900" w:right="240" w:hanging="325"/>
        <w:spacing w:after="0" w:line="306" w:lineRule="auto"/>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this IPO) or pursuant to any subscription agreement by and among us, the Adviser and such principal stockholder entered into prior to this IPO;</w:t>
      </w:r>
    </w:p>
    <w:p>
      <w:pPr>
        <w:spacing w:after="0" w:line="25"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59" w:lineRule="exact"/>
        <w:rPr>
          <w:rFonts w:ascii="Arial" w:cs="Arial" w:eastAsia="Arial" w:hAnsi="Arial"/>
          <w:sz w:val="18"/>
          <w:szCs w:val="18"/>
          <w:color w:val="auto"/>
        </w:rPr>
      </w:pPr>
    </w:p>
    <w:p>
      <w:pPr>
        <w:ind w:left="900" w:right="320" w:hanging="325"/>
        <w:spacing w:after="0" w:line="259"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4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Following this offering, 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90" w:lineRule="exact"/>
        <w:rPr>
          <w:sz w:val="20"/>
          <w:szCs w:val="20"/>
          <w:color w:val="auto"/>
        </w:rPr>
      </w:pPr>
    </w:p>
    <w:p>
      <w:pPr>
        <w:ind w:left="900" w:right="60" w:hanging="325"/>
        <w:spacing w:after="0" w:line="268"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0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In addition,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such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“Risk Factors—Risks Related to Our Business and Structure—We borrow money, which magnifies the potential for gain or loss and increases the risk of investing in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2013 and December 31, 2012, our asset coverage was 265.9% and 244.6%, respectively. Following this IPO and the repayment of</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indebtedness as contemplated under “Use of Proceeds,” and based on the value of our total assets as of , we expect our asset coverage ratio to be approximately %.</w:t>
      </w:r>
    </w:p>
    <w:p>
      <w:pPr>
        <w:spacing w:after="0" w:line="138"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w:t>
      </w:r>
    </w:p>
    <w:p>
      <w:pPr>
        <w:spacing w:after="0" w:line="59" w:lineRule="exact"/>
        <w:rPr>
          <w:sz w:val="20"/>
          <w:szCs w:val="20"/>
          <w:color w:val="auto"/>
        </w:rPr>
      </w:pPr>
    </w:p>
    <w:p>
      <w:pPr>
        <w:ind w:left="900" w:right="280" w:hanging="325"/>
        <w:spacing w:after="0" w:line="268"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67% or more of such company’s voting securities present at a meeting if more than 50% of the outstanding voting securities of such company are present or represented by proxy;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more than 50% of the outstanding voting securities of such company. We do not anticipate any substantial change in the nature of our business.</w:t>
      </w:r>
    </w:p>
    <w:p>
      <w:pPr>
        <w:spacing w:after="0" w:line="194" w:lineRule="exact"/>
        <w:rPr>
          <w:sz w:val="20"/>
          <w:szCs w:val="20"/>
          <w:color w:val="auto"/>
        </w:rPr>
      </w:pPr>
    </w:p>
    <w:p>
      <w:pPr>
        <w:jc w:val="both"/>
        <w:ind w:right="140" w:firstLine="456"/>
        <w:spacing w:after="0" w:line="291" w:lineRule="auto"/>
        <w:rPr>
          <w:sz w:val="20"/>
          <w:szCs w:val="20"/>
          <w:color w:val="auto"/>
        </w:rPr>
      </w:pPr>
      <w:r>
        <w:rPr>
          <w:rFonts w:ascii="Arial" w:cs="Arial" w:eastAsia="Arial" w:hAnsi="Arial"/>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“Material U.S. Federal Income Tax Considerations—Regulated Investment Company Classification” for more information.</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time of the acquisition), unless these funds comply with an exemption under the 1940 Act. As a result, certain investors would be required to hold a smaller position in our shares than if they were not subject to these restrictions.</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are generally not able to issue and sell our common stock at a price below net asset value per share. See “Risk Factors—Risks Related to Our Business and Structure—Regulations governing our operation as a BDC affect our ability to, and the way in which we, raise additional capital.” We currently do not intend to issue and sell our common stock, or warrants, options or rights to acquire our common stock, at a price below the then-current net asset value of our common stock but we may elect to do so if our Board determines that the sale is in our best interests and the best interests of our stockholders, and our stockholders have approved our policy and practice of making these sales within the preceding 12 months.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45"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applied for an exemptive order from the SEC that would permit us to co-invest with funds or other pools of capital or persons managed by TPG or its affiliates where we believe that it will be advantageous for us to co-invest and where the investment is consistent with our investment objectives, investment positions, investment policies, investment strategies, investment restrictions, regulatory requirements and other pertinent factors. We believe that co-investment by us and funds or other pools of capital or persons managed by TPG or its affiliates may afford us additional investment opportunities and the ability to achieve more favorable asset allocation. This order, if granted, will be subject to certain terms and conditions.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are granted exemptive relief, we would undertake that, in connection with any commitment to a co-investment, a “required majority” (as defined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57(o) of the 1940 Act) of our independent directors would make certain conclusions, including that:</w:t>
      </w:r>
    </w:p>
    <w:p>
      <w:pPr>
        <w:spacing w:after="0" w:line="84" w:lineRule="exact"/>
        <w:rPr>
          <w:sz w:val="20"/>
          <w:szCs w:val="20"/>
          <w:color w:val="auto"/>
        </w:rPr>
      </w:pPr>
    </w:p>
    <w:p>
      <w:pPr>
        <w:ind w:left="900" w:right="60" w:hanging="325"/>
        <w:spacing w:after="0" w:line="268"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terms of the proposed transaction are reasonable and fair to us and our stockholders and do not involve overreaching of us or our stockholders on the part of any person concerned;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is consistent with our investment strategies and policies.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cannot assure you that this application for exemptive relief will be granted by the SEC or that, if granted, it will be on the terms set forth above. Accordingly, we cannot assure that we will be permitted to co-invest with funds managed by TPG, other than in the limited circumstances currently permitted by regulatory guidance. See “Related-Party Transactions and Certain Relationships.”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are also subject to certain risks and uncertainties. See “Risk Factors—Risks Related to Our Business and Structure.”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59" w:lineRule="exact"/>
        <w:rPr>
          <w:sz w:val="20"/>
          <w:szCs w:val="20"/>
          <w:color w:val="auto"/>
        </w:rPr>
      </w:pPr>
    </w:p>
    <w:p>
      <w:pPr>
        <w:ind w:left="900" w:right="460" w:hanging="325"/>
        <w:spacing w:after="0" w:line="256"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264" w:lineRule="exact"/>
        <w:rPr>
          <w:rFonts w:ascii="Arial" w:cs="Arial" w:eastAsia="Arial" w:hAnsi="Arial"/>
          <w:sz w:val="18"/>
          <w:szCs w:val="18"/>
          <w:color w:val="auto"/>
        </w:rPr>
      </w:pPr>
    </w:p>
    <w:p>
      <w:pPr>
        <w:ind w:left="1480" w:hanging="446"/>
        <w:spacing w:after="0"/>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620" w:hanging="446"/>
        <w:spacing w:after="0" w:line="268"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90" w:lineRule="exact"/>
        <w:rPr>
          <w:rFonts w:ascii="Arial" w:cs="Arial" w:eastAsia="Arial" w:hAnsi="Arial"/>
          <w:sz w:val="18"/>
          <w:szCs w:val="18"/>
          <w:color w:val="auto"/>
        </w:rPr>
      </w:pPr>
    </w:p>
    <w:p>
      <w:pPr>
        <w:ind w:left="1920" w:right="400" w:hanging="318"/>
        <w:spacing w:after="0" w:line="268" w:lineRule="auto"/>
        <w:tabs>
          <w:tab w:leader="none" w:pos="192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w:t>
      </w:r>
    </w:p>
    <w:p>
      <w:pPr>
        <w:spacing w:after="0" w:line="50" w:lineRule="exact"/>
        <w:rPr>
          <w:rFonts w:ascii="Arial" w:cs="Arial" w:eastAsia="Arial" w:hAnsi="Arial"/>
          <w:sz w:val="18"/>
          <w:szCs w:val="18"/>
          <w:color w:val="auto"/>
        </w:rPr>
      </w:pPr>
    </w:p>
    <w:p>
      <w:pPr>
        <w:ind w:left="1920" w:hanging="318"/>
        <w:spacing w:after="0" w:line="259" w:lineRule="auto"/>
        <w:tabs>
          <w:tab w:leader="none" w:pos="192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59" w:lineRule="exact"/>
        <w:rPr>
          <w:rFonts w:ascii="Arial" w:cs="Arial" w:eastAsia="Arial" w:hAnsi="Arial"/>
          <w:sz w:val="18"/>
          <w:szCs w:val="18"/>
          <w:color w:val="auto"/>
        </w:rPr>
      </w:pPr>
    </w:p>
    <w:p>
      <w:pPr>
        <w:ind w:left="1920" w:hanging="318"/>
        <w:spacing w:after="0"/>
        <w:tabs>
          <w:tab w:leader="none" w:pos="1920" w:val="left"/>
        </w:tabs>
        <w:numPr>
          <w:ilvl w:val="2"/>
          <w:numId w:val="119"/>
        </w:numPr>
        <w:rPr>
          <w:rFonts w:ascii="Arial" w:cs="Arial" w:eastAsia="Arial" w:hAnsi="Arial"/>
          <w:sz w:val="16"/>
          <w:szCs w:val="16"/>
          <w:color w:val="auto"/>
        </w:rPr>
      </w:pPr>
      <w:r>
        <w:rPr>
          <w:rFonts w:ascii="Arial" w:cs="Arial" w:eastAsia="Arial" w:hAnsi="Arial"/>
          <w:sz w:val="16"/>
          <w:szCs w:val="16"/>
          <w:color w:val="auto"/>
        </w:rPr>
        <w:t>is a small and solvent company having total assets of not more than $4 million and capital and surplus of not less than $2 million.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90" w:lineRule="exact"/>
        <w:rPr>
          <w:rFonts w:ascii="Arial" w:cs="Arial" w:eastAsia="Arial" w:hAnsi="Arial"/>
          <w:sz w:val="18"/>
          <w:szCs w:val="18"/>
          <w:color w:val="auto"/>
        </w:rPr>
      </w:pPr>
    </w:p>
    <w:p>
      <w:pPr>
        <w:ind w:left="900" w:right="40" w:hanging="325"/>
        <w:spacing w:after="0" w:line="335" w:lineRule="auto"/>
        <w:tabs>
          <w:tab w:leader="none" w:pos="90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 w:lineRule="exact"/>
        <w:rPr>
          <w:rFonts w:ascii="Arial" w:cs="Arial" w:eastAsia="Arial" w:hAnsi="Arial"/>
          <w:sz w:val="15"/>
          <w:szCs w:val="15"/>
          <w:color w:val="auto"/>
        </w:rPr>
      </w:pPr>
    </w:p>
    <w:p>
      <w:pPr>
        <w:ind w:left="900" w:right="160" w:hanging="325"/>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Pending investment in the asset types described above, our investments may consist of other qualifying assets, such as cash, cash equivalents, U.S. Government securities or high-quality debt securities maturing in one year or less from the time of investment, which we refer to, collectively, as temporary investments, where at least 70% of our assets are qualifying assets. Our Adviser will monitor the creditworthiness of the counterparties with which we enter into repurchase agreement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BDC must be operated for the purpose of making investments in the types of securities described under “Qualifying Assets” above. However, to count portfolio securities as qualifying assets for the purpose of the 70% test, the BDC must either control the issuer of the securities or must offer to make available to the issuer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may make available such managerial assistance. Making available significant managerial assistance means, among other things,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As required by the Advisers Act and the 1940 Act, we and the Adviser have adopted a Code of Business Conduct and Ethics which applies to, among others, our and our Adviser’s executive officers, including our Chief Executive Officer and Chief Financial Officer, as well as our and our Adviser’s officers, directors and employees. The code of ethics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w:t>
      </w:r>
    </w:p>
    <w:p>
      <w:pPr>
        <w:spacing w:after="0" w:line="1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You may read and copy the code of ethics at the SEC’s Public Reference Room in Washington, D.C. You may obtain information on the operation of the Public Reference Room by calling the SEC at 1-800-SEC-0330. In addition, the code of ethics is attached as an exhibit to the registration statement of which this prospectus is a part, and is available on the SEC’s Internet site at http://www.sec.gov. In addition, the code may be found at http://www.tpgspecialtylending.com in the “Investor Relations” section of our website. You may also obtain copies of the code of ethics, after paying a duplicating fee, by electronic request at the following e-mail address: publicinfo@sec.gov, or by writing the SEC’s Public Reference Section at 100 F Street, Room 1580 N.E. Washington, D.C. 20549. We also hereby undertake to provide a copy of the code to any person, without charge, upon request. Requests for a copy of the code may be made in writing addressed to our Secretary, David Reintjes, 345 California Street, Suite 3300 San Francisco, CA 94104, Attention: Investor Relations, or by emailing us at </w:t>
      </w:r>
      <w:r>
        <w:rPr>
          <w:rFonts w:ascii="Arial" w:cs="Arial" w:eastAsia="Arial" w:hAnsi="Arial"/>
          <w:sz w:val="18"/>
          <w:szCs w:val="18"/>
          <w:i w:val="1"/>
          <w:iCs w:val="1"/>
          <w:color w:val="auto"/>
        </w:rPr>
        <w:t>IRTSL</w:t>
      </w:r>
      <w:r>
        <w:rPr>
          <w:rFonts w:ascii="Arial" w:cs="Arial" w:eastAsia="Arial" w:hAnsi="Arial"/>
          <w:sz w:val="18"/>
          <w:szCs w:val="18"/>
          <w:color w:val="auto"/>
        </w:rPr>
        <w:t xml:space="preserve"> </w:t>
      </w:r>
      <w:r>
        <w:rPr>
          <w:sz w:val="1"/>
          <w:szCs w:val="1"/>
          <w:color w:val="auto"/>
        </w:rPr>
        <w:drawing>
          <wp:inline distT="0" distB="0" distL="0" distR="0">
            <wp:extent cx="77470" cy="7747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8"/>
          <w:szCs w:val="18"/>
          <w:i w:val="1"/>
          <w:iCs w:val="1"/>
          <w:color w:val="auto"/>
        </w:rPr>
        <w:t xml:space="preserve"> tpg.com.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to designate a Chief Compliance Officer to be responsible for administering the policies and procedures. The Chief Compliance Officer of TPG serves as our Chief Compliance Officer.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Sarbanes-Oxley Act imposes a wide variety of regulatory requirements on certain publicly held companies and their insiders. Assuming certain requirements are met, many of these requirements affect us. For example:</w:t>
      </w:r>
    </w:p>
    <w:p>
      <w:pPr>
        <w:spacing w:after="0" w:line="51" w:lineRule="exact"/>
        <w:rPr>
          <w:sz w:val="20"/>
          <w:szCs w:val="20"/>
          <w:color w:val="auto"/>
        </w:rPr>
      </w:pPr>
    </w:p>
    <w:p>
      <w:pPr>
        <w:ind w:left="900" w:right="420" w:hanging="325"/>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pursuant to Rule 13a-14 of the Exchange Act, our Co-Chief Executive Officers and Chief Financial Officer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50" w:lineRule="exact"/>
        <w:rPr>
          <w:rFonts w:ascii="Arial" w:cs="Arial" w:eastAsia="Arial" w:hAnsi="Arial"/>
          <w:sz w:val="18"/>
          <w:szCs w:val="18"/>
          <w:color w:val="auto"/>
        </w:rPr>
      </w:pPr>
    </w:p>
    <w:p>
      <w:pPr>
        <w:jc w:val="both"/>
        <w:ind w:left="900" w:right="200" w:hanging="325"/>
        <w:spacing w:after="0" w:line="306"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pursuant to Rule 13a-15 of the Exchange Act, subject to certain assumptions, our management is required to prepare an annual report regarding its assessment of our internal control over financial reporting and, depending on our accelerated filer or loss of emerging growth company status, this report may be required to be audited by our independent registered public accounting firm;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325"/>
        <w:spacing w:after="0" w:line="306"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qualify as an emerging growth company, as that term is used in the JOBS Act. An emerging growth company may take advantage of specified reduced reporting and other burdens that are otherwise applicable generally to public companies. These provisions include:</w:t>
      </w:r>
    </w:p>
    <w:p>
      <w:pPr>
        <w:spacing w:after="0" w:line="51" w:lineRule="exact"/>
        <w:rPr>
          <w:sz w:val="20"/>
          <w:szCs w:val="20"/>
          <w:color w:val="auto"/>
        </w:rPr>
      </w:pPr>
    </w:p>
    <w:p>
      <w:pPr>
        <w:ind w:left="900" w:right="100" w:hanging="325"/>
        <w:spacing w:after="0" w:line="268"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the emerging growth company’s internal control over financial reporting under Section 404 of the Sarbanes-Oxley Act;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non-binding advisory votes on executive compensation or golden parachute arrangements;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reduced financial statement and executive compensation disclosure requirements.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“non-accelerated filer” under the Exchange Act, and as a non-accelerated filer, we are currently exempt from compliance with auditor attestation requirements under Section 404 of the Sarbanes-Oxley Act. In addition, we do not have any direct executive compensation or golden parachute payments to report in our periodic reports or proxy statements because we have no employees. We do not know if some investors will find our common stock less attractive as a result of our taking advantage of exemptions available to emerging growth companies. The result may be a less active trading market for our common stock and our stock price may be more volatile.</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and Section 13(a) of the Exchange Act for complying with new or revised accounting standards.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90" w:lineRule="exact"/>
        <w:rPr>
          <w:sz w:val="20"/>
          <w:szCs w:val="20"/>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exceed $1 billion;</w:t>
      </w:r>
    </w:p>
    <w:p>
      <w:pPr>
        <w:spacing w:after="0" w:line="9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NYSE Corporate Governance Rules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NYSE has adopted corporate governance rules that listed companies must comply with. We are in compliance with these regulations.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0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123"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 xml:space="preserve">You may obtain information about how the Adviser voted proxies, free of charge, by making a written request for proxy voting information to: TSL Adviser, 345 California Street, Suite 3300 San Francisco, CA 94104, Attention: Investor Relations, or by emailing us at </w:t>
      </w:r>
      <w:r>
        <w:rPr>
          <w:rFonts w:ascii="Arial" w:cs="Arial" w:eastAsia="Arial" w:hAnsi="Arial"/>
          <w:sz w:val="18"/>
          <w:szCs w:val="18"/>
          <w:i w:val="1"/>
          <w:iCs w:val="1"/>
          <w:color w:val="auto"/>
        </w:rPr>
        <w:t xml:space="preserve">IRTSL </w:t>
      </w:r>
      <w:r>
        <w:rPr>
          <w:sz w:val="1"/>
          <w:szCs w:val="1"/>
          <w:color w:val="auto"/>
        </w:rPr>
        <w:drawing>
          <wp:inline distT="0" distB="0" distL="0" distR="0">
            <wp:extent cx="77470" cy="7747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8"/>
          <w:szCs w:val="18"/>
          <w:i w:val="1"/>
          <w:iCs w:val="1"/>
          <w:color w:val="auto"/>
        </w:rPr>
        <w:t xml:space="preserve"> tpg.com. </w:t>
      </w:r>
      <w:r>
        <w:rPr>
          <w:rFonts w:ascii="Arial" w:cs="Arial" w:eastAsia="Arial" w:hAnsi="Arial"/>
          <w:sz w:val="18"/>
          <w:szCs w:val="18"/>
          <w:color w:val="auto"/>
        </w:rPr>
        <w:t>The SEC also</w:t>
      </w:r>
      <w:r>
        <w:rPr>
          <w:rFonts w:ascii="Arial" w:cs="Arial" w:eastAsia="Arial" w:hAnsi="Arial"/>
          <w:sz w:val="18"/>
          <w:szCs w:val="18"/>
          <w:i w:val="1"/>
          <w:iCs w:val="1"/>
          <w:color w:val="auto"/>
        </w:rPr>
        <w:t xml:space="preserve"> maintains a website at http://www.sec.gov that contains such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generally will not receive any nonpublic personal information relating to stockholders who purchase common stock in this IPO. We may collect nonpublic personal information regarding our existing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for officers, employees and agents of ours and our affiliates, access to such information is restricted to those who need such access to provide services to us and investors. We maintain physical, electronic and procedural safeguards to seek to guard investor nonpublic personal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Obligations</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345 California Street, Suite 3300, San Francisco, CA 94104, Attention: Investor Relations, or by emailing us at </w:t>
      </w:r>
      <w:r>
        <w:rPr>
          <w:rFonts w:ascii="Arial" w:cs="Arial" w:eastAsia="Arial" w:hAnsi="Arial"/>
          <w:sz w:val="16"/>
          <w:szCs w:val="16"/>
          <w:i w:val="1"/>
          <w:iCs w:val="1"/>
          <w:color w:val="auto"/>
        </w:rPr>
        <w:t xml:space="preserve">IRTSL </w:t>
      </w:r>
      <w:r>
        <w:rPr>
          <w:sz w:val="1"/>
          <w:szCs w:val="1"/>
          <w:color w:val="auto"/>
        </w:rPr>
        <w:drawing>
          <wp:inline distT="0" distB="0" distL="0" distR="0">
            <wp:extent cx="77470" cy="7747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6"/>
          <w:szCs w:val="16"/>
          <w:i w:val="1"/>
          <w:iCs w:val="1"/>
          <w:color w:val="auto"/>
        </w:rPr>
        <w:t xml:space="preserve"> tpg.com</w:t>
      </w:r>
      <w:r>
        <w:rPr>
          <w:rFonts w:ascii="Arial" w:cs="Arial" w:eastAsia="Arial" w:hAnsi="Arial"/>
          <w:sz w:val="16"/>
          <w:szCs w:val="16"/>
          <w:color w:val="auto"/>
        </w:rPr>
        <w:t>.</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Stockholders and the public may also read and copy any materials we file with the SEC at the SEC’s Public Reference Room at 100 F Street, Room 1580 Washington, DC 20549. The public may also obtain information on the operation of the Public Reference Room by calling the SEC at 1-800-SEC-0330. The SEC also maintains a website (www.sec.gov) that contains this information.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Prior to this offering, there has been no public market for our common stock. We cannot predict the effect, if any, that sales of shares or the availability of shares for sale will have on the market price of our common stock prevailing from time to time. Sales of substantial amounts of our common stock in the public market, or the perception that such sales could occur, could adversely affect the prevailing market price of our common stock.</w:t>
      </w:r>
    </w:p>
    <w:p>
      <w:pPr>
        <w:sectPr>
          <w:pgSz w:w="11900" w:h="16838" w:orient="portrait"/>
          <w:cols w:equalWidth="0" w:num="1">
            <w:col w:w="11400"/>
          </w:cols>
          <w:pgMar w:left="240" w:top="459" w:right="259" w:bottom="1440" w:gutter="0" w:footer="0" w:header="0"/>
        </w:sectPr>
      </w:pP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this offering, we had shares of our common stock outstanding. Upon completion of this offering issued and outstanding. If the underwriters exercise their over-allotment option to purchase additional shares in full, issued and outstanding immediately after the completion of this offering.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20" w:firstLine="166"/>
        <w:spacing w:after="0" w:line="370" w:lineRule="auto"/>
        <w:rPr>
          <w:sz w:val="20"/>
          <w:szCs w:val="20"/>
          <w:color w:val="auto"/>
        </w:rPr>
      </w:pPr>
      <w:r>
        <w:rPr>
          <w:rFonts w:ascii="Arial" w:cs="Arial" w:eastAsia="Arial" w:hAnsi="Arial"/>
          <w:sz w:val="15"/>
          <w:szCs w:val="15"/>
          <w:color w:val="auto"/>
        </w:rPr>
        <w:t>shares of our common stock will be shares of our common stock will be</w:t>
      </w:r>
    </w:p>
    <w:p>
      <w:pPr>
        <w:spacing w:after="0" w:line="656" w:lineRule="exact"/>
        <w:rPr>
          <w:sz w:val="20"/>
          <w:szCs w:val="20"/>
          <w:color w:val="auto"/>
        </w:rPr>
      </w:pPr>
    </w:p>
    <w:p>
      <w:pPr>
        <w:sectPr>
          <w:pgSz w:w="11900" w:h="16838" w:orient="portrait"/>
          <w:cols w:equalWidth="0" w:num="2">
            <w:col w:w="8300" w:space="420"/>
            <w:col w:w="2680"/>
          </w:cols>
          <w:pgMar w:left="240" w:top="459" w:right="259" w:bottom="1440" w:gutter="0" w:footer="0" w:header="0"/>
          <w:type w:val="continuous"/>
        </w:sectPr>
      </w:pPr>
    </w:p>
    <w:p>
      <w:pPr>
        <w:ind w:left="460"/>
        <w:spacing w:after="0"/>
        <w:tabs>
          <w:tab w:leader="none" w:pos="4460" w:val="left"/>
        </w:tabs>
        <w:rPr>
          <w:sz w:val="20"/>
          <w:szCs w:val="20"/>
          <w:color w:val="auto"/>
        </w:rPr>
      </w:pPr>
      <w:r>
        <w:rPr>
          <w:rFonts w:ascii="Arial" w:cs="Arial" w:eastAsia="Arial" w:hAnsi="Arial"/>
          <w:sz w:val="18"/>
          <w:szCs w:val="18"/>
          <w:color w:val="auto"/>
        </w:rPr>
        <w:t>Prior to the consummation of this offering, up to</w:t>
      </w:r>
      <w:r>
        <w:rPr>
          <w:sz w:val="20"/>
          <w:szCs w:val="20"/>
          <w:color w:val="auto"/>
        </w:rPr>
        <w:tab/>
      </w:r>
      <w:r>
        <w:rPr>
          <w:rFonts w:ascii="Arial" w:cs="Arial" w:eastAsia="Arial" w:hAnsi="Arial"/>
          <w:sz w:val="15"/>
          <w:szCs w:val="15"/>
          <w:color w:val="auto"/>
        </w:rPr>
        <w:t>shares of our common stock outstanding will not be considered “restricted” securities under the</w:t>
      </w:r>
    </w:p>
    <w:p>
      <w:pPr>
        <w:spacing w:after="0" w:line="15" w:lineRule="exact"/>
        <w:rPr>
          <w:sz w:val="20"/>
          <w:szCs w:val="20"/>
          <w:color w:val="auto"/>
        </w:rPr>
      </w:pPr>
    </w:p>
    <w:p>
      <w:pPr>
        <w:spacing w:after="0"/>
        <w:tabs>
          <w:tab w:leader="none" w:pos="5980" w:val="left"/>
        </w:tabs>
        <w:rPr>
          <w:sz w:val="20"/>
          <w:szCs w:val="20"/>
          <w:color w:val="auto"/>
        </w:rPr>
      </w:pPr>
      <w:r>
        <w:rPr>
          <w:rFonts w:ascii="Arial" w:cs="Arial" w:eastAsia="Arial" w:hAnsi="Arial"/>
          <w:sz w:val="18"/>
          <w:szCs w:val="18"/>
          <w:color w:val="auto"/>
        </w:rPr>
        <w:t>meaning of Rule 144 and will be eligible for resale pursuant to Rule 144 and</w:t>
      </w:r>
      <w:r>
        <w:rPr>
          <w:sz w:val="20"/>
          <w:szCs w:val="20"/>
          <w:color w:val="auto"/>
        </w:rPr>
        <w:tab/>
      </w:r>
      <w:r>
        <w:rPr>
          <w:rFonts w:ascii="Arial" w:cs="Arial" w:eastAsia="Arial" w:hAnsi="Arial"/>
          <w:sz w:val="16"/>
          <w:szCs w:val="16"/>
          <w:color w:val="auto"/>
        </w:rPr>
        <w:t>shares of our common stock outstanding will be “restricted” securities under</w:t>
      </w:r>
    </w:p>
    <w:p>
      <w:pPr>
        <w:spacing w:after="0" w:line="9"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the meaning of Rule 144 under the Securities Act, and may not be sold in the absence of registration under the Securities Act unless an exemption from registration is available, including the exemption provided by Rule 144. Additionally, any shares purchased in this offering by our affiliates, as that term is defined in Rule 144 under the Securities Act, would only be able to be sold in compliance with the Rule 144 limitations described below. See “Risk Factors— Risks Related to this Offering—Prior to this offering, there has been no public market for our common stock, and we cannot assure you that a market for our common stock will develop or that the market price of shares of our common stock will not decline following the offering.”</w:t>
      </w:r>
    </w:p>
    <w:p>
      <w:pPr>
        <w:spacing w:after="0" w:line="11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our directors, executive officers and all of our existing stockholders have agreed with the underwriters that, without the prior written consent of J.P. Morgan Securities LLC, Merrill Lynch, Pierce, Fenner &amp; Smith Incorporated and Goldman, Sachs &amp; Co., we and they will not, subject to certain exceptions and extensions, during the period ending days after the date of this prospectus, offer, pledge, announce the intention to sell, sell, contract to sell, sell any option or contract to purchase, purchase any option or contract to sell, grant any option, right or warrant to purchase or otherwise dispose of, directly or indirectly, any shares of our common stock or securities convertible into or exchangeable or exercisable for any shares of our common stock, or publicly disclose the intention to make any offer, sale, pledge or disposition, or (ii) enter into any swap or other arrangement that transfers all or a portion of the economic consequences associated with the ownership of 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shares of common stock or any such other securities (regardless of whether any of these transactions are to be settled by the delivery of shares of common stock or such other securities, in cash or otherwise). See “Underwriting.”</w:t>
      </w:r>
    </w:p>
    <w:p>
      <w:pPr>
        <w:sectPr>
          <w:pgSz w:w="11900" w:h="16838" w:orient="portrait"/>
          <w:cols w:equalWidth="0" w:num="1">
            <w:col w:w="11240"/>
          </w:cols>
          <w:pgMar w:left="240" w:top="459" w:right="419" w:bottom="1440" w:gutter="0" w:footer="0" w:header="0"/>
        </w:sectPr>
      </w:pP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Immediately upon the expiration of the lock-up period, an aggregate of the public market in accordance with Rule 144.</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subject to the lock-up will be eligible for sale in</w:t>
      </w:r>
    </w:p>
    <w:p>
      <w:pPr>
        <w:spacing w:after="0" w:line="396" w:lineRule="exact"/>
        <w:rPr>
          <w:sz w:val="20"/>
          <w:szCs w:val="20"/>
          <w:color w:val="auto"/>
        </w:rPr>
      </w:pPr>
    </w:p>
    <w:p>
      <w:pPr>
        <w:sectPr>
          <w:pgSz w:w="11900" w:h="16838" w:orient="portrait"/>
          <w:cols w:equalWidth="0" w:num="2">
            <w:col w:w="5460" w:space="600"/>
            <w:col w:w="5180"/>
          </w:cols>
          <w:pgMar w:left="240" w:top="459" w:right="419" w:bottom="1440" w:gutter="0" w:footer="0" w:header="0"/>
          <w:type w:val="continuous"/>
        </w:sectPr>
      </w:pPr>
    </w:p>
    <w:p>
      <w:pPr>
        <w:jc w:val="center"/>
        <w:ind w:right="-179"/>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1240"/>
          </w:cols>
          <w:pgMar w:left="240" w:top="459" w:right="419" w:bottom="1440" w:gutter="0" w:footer="0" w:header="0"/>
          <w:type w:val="continuous"/>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left="460"/>
        <w:spacing w:after="0"/>
        <w:tabs>
          <w:tab w:leader="none" w:pos="7760" w:val="left"/>
        </w:tabs>
        <w:rPr>
          <w:sz w:val="20"/>
          <w:szCs w:val="20"/>
          <w:color w:val="auto"/>
        </w:rPr>
      </w:pPr>
      <w:r>
        <w:rPr>
          <w:rFonts w:ascii="Arial" w:cs="Arial" w:eastAsia="Arial" w:hAnsi="Arial"/>
          <w:sz w:val="18"/>
          <w:szCs w:val="18"/>
          <w:color w:val="auto"/>
        </w:rPr>
        <w:t>We are offering the shares of common stock described in this prospectus through a number of</w:t>
      </w:r>
      <w:r>
        <w:rPr>
          <w:sz w:val="20"/>
          <w:szCs w:val="20"/>
          <w:color w:val="auto"/>
        </w:rPr>
        <w:tab/>
      </w:r>
      <w:r>
        <w:rPr>
          <w:rFonts w:ascii="Arial" w:cs="Arial" w:eastAsia="Arial" w:hAnsi="Arial"/>
          <w:sz w:val="16"/>
          <w:szCs w:val="16"/>
          <w:color w:val="auto"/>
        </w:rPr>
        <w:t>underwriters. J.P. Morgan Securities LLC, Merrill</w:t>
      </w:r>
    </w:p>
    <w:p>
      <w:pPr>
        <w:spacing w:after="0" w:line="1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Lynch, Pierce, Fenner &amp; Smith Incorporated, Goldman, Sachs &amp; Co., Citigroup Global Markets Inc., Wells Fargo Securities, LLC and Barclays Capital Inc.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ind w:left="100"/>
              <w:spacing w:after="0"/>
              <w:rPr>
                <w:sz w:val="20"/>
                <w:szCs w:val="20"/>
                <w:color w:val="auto"/>
              </w:rPr>
            </w:pPr>
            <w:r>
              <w:rPr>
                <w:rFonts w:ascii="Arial" w:cs="Arial" w:eastAsia="Arial" w:hAnsi="Arial"/>
                <w:sz w:val="14"/>
                <w:szCs w:val="14"/>
                <w:b w:val="1"/>
                <w:bCs w:val="1"/>
                <w:color w:val="auto"/>
                <w:w w:val="94"/>
              </w:rPr>
              <w:t>Number of Shares</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J.P. Morgan Securities LLC</w:t>
            </w:r>
          </w:p>
        </w:tc>
        <w:tc>
          <w:tcPr>
            <w:tcW w:w="1260" w:type="dxa"/>
            <w:vAlign w:val="bottom"/>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12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140" w:type="dxa"/>
            <w:vAlign w:val="bottom"/>
          </w:tcPr>
          <w:p>
            <w:pPr>
              <w:ind w:left="560"/>
              <w:spacing w:after="0"/>
              <w:rPr>
                <w:sz w:val="20"/>
                <w:szCs w:val="20"/>
                <w:color w:val="auto"/>
              </w:rPr>
            </w:pPr>
            <w:r>
              <w:rPr>
                <w:rFonts w:ascii="Arial" w:cs="Arial" w:eastAsia="Arial" w:hAnsi="Arial"/>
                <w:sz w:val="18"/>
                <w:szCs w:val="18"/>
                <w:color w:val="auto"/>
              </w:rPr>
              <w:t>Incorporated</w:t>
            </w:r>
          </w:p>
        </w:tc>
        <w:tc>
          <w:tcPr>
            <w:tcW w:w="1260" w:type="dxa"/>
            <w:vAlign w:val="bottom"/>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12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12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2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common shares directly to the public at the initial public offering price set forth on the cover page of this prospectus</w:t>
      </w:r>
    </w:p>
    <w:p>
      <w:pPr>
        <w:spacing w:after="0" w:line="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and to certain dealers at that price less a concession not in excess of $ per share. Any such dealers may resell shares to certain other brokers or dealers at a discount of up to $ per share from the initial public offering price. After the initial public offering of the shares, the offering price and other selling terms may be changed by the underwriters.</w:t>
      </w:r>
    </w:p>
    <w:p>
      <w:pPr>
        <w:spacing w:after="0" w:line="144" w:lineRule="exact"/>
        <w:rPr>
          <w:sz w:val="20"/>
          <w:szCs w:val="20"/>
          <w:color w:val="auto"/>
        </w:rPr>
      </w:pPr>
    </w:p>
    <w:p>
      <w:pPr>
        <w:ind w:left="460"/>
        <w:spacing w:after="0"/>
        <w:tabs>
          <w:tab w:leader="none" w:pos="4360" w:val="left"/>
        </w:tabs>
        <w:rPr>
          <w:sz w:val="20"/>
          <w:szCs w:val="20"/>
          <w:color w:val="auto"/>
        </w:rPr>
      </w:pPr>
      <w:r>
        <w:rPr>
          <w:rFonts w:ascii="Arial" w:cs="Arial" w:eastAsia="Arial" w:hAnsi="Arial"/>
          <w:sz w:val="18"/>
          <w:szCs w:val="18"/>
          <w:color w:val="auto"/>
        </w:rPr>
        <w:t>The underwriters have an option to buy up to</w:t>
      </w:r>
      <w:r>
        <w:rPr>
          <w:sz w:val="20"/>
          <w:szCs w:val="20"/>
          <w:color w:val="auto"/>
        </w:rPr>
        <w:tab/>
      </w:r>
      <w:r>
        <w:rPr>
          <w:rFonts w:ascii="Arial" w:cs="Arial" w:eastAsia="Arial" w:hAnsi="Arial"/>
          <w:sz w:val="15"/>
          <w:szCs w:val="15"/>
          <w:color w:val="auto"/>
        </w:rPr>
        <w:t>additional shares of common stock from us to cover sales of shares by the underwriters which</w:t>
      </w:r>
    </w:p>
    <w:p>
      <w:pPr>
        <w:spacing w:after="0" w:line="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exceed the number of shares specified in the table above. The underwriters have 30 days from the date of this prospectus to exercise this over-allotment option. If any shares are purchased with this over-allotment option,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 of common</w:t>
      </w:r>
    </w:p>
    <w:p>
      <w:pPr>
        <w:spacing w:after="0" w:line="3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6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Without</w:t>
            </w:r>
          </w:p>
        </w:tc>
        <w:tc>
          <w:tcPr>
            <w:tcW w:w="13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With full</w:t>
            </w:r>
          </w:p>
        </w:tc>
      </w:tr>
      <w:tr>
        <w:trPr>
          <w:trHeight w:val="149"/>
        </w:trPr>
        <w:tc>
          <w:tcPr>
            <w:tcW w:w="3120" w:type="dxa"/>
            <w:vAlign w:val="bottom"/>
          </w:tcPr>
          <w:p>
            <w:pPr>
              <w:spacing w:after="0"/>
              <w:rPr>
                <w:sz w:val="12"/>
                <w:szCs w:val="12"/>
                <w:color w:val="auto"/>
              </w:rPr>
            </w:pPr>
          </w:p>
        </w:tc>
        <w:tc>
          <w:tcPr>
            <w:tcW w:w="3280" w:type="dxa"/>
            <w:vAlign w:val="bottom"/>
            <w:gridSpan w:val="2"/>
          </w:tcPr>
          <w:p>
            <w:pPr>
              <w:jc w:val="center"/>
              <w:ind w:left="2362"/>
              <w:spacing w:after="0" w:line="149" w:lineRule="exact"/>
              <w:rPr>
                <w:sz w:val="20"/>
                <w:szCs w:val="20"/>
                <w:color w:val="auto"/>
              </w:rPr>
            </w:pPr>
            <w:r>
              <w:rPr>
                <w:rFonts w:ascii="Arial" w:cs="Arial" w:eastAsia="Arial" w:hAnsi="Arial"/>
                <w:sz w:val="14"/>
                <w:szCs w:val="14"/>
                <w:b w:val="1"/>
                <w:bCs w:val="1"/>
                <w:color w:val="auto"/>
                <w:w w:val="87"/>
              </w:rPr>
              <w:t>over-allotment</w:t>
            </w:r>
          </w:p>
        </w:tc>
        <w:tc>
          <w:tcPr>
            <w:tcW w:w="2280" w:type="dxa"/>
            <w:vAlign w:val="bottom"/>
            <w:gridSpan w:val="3"/>
          </w:tcPr>
          <w:p>
            <w:pPr>
              <w:jc w:val="center"/>
              <w:ind w:left="1142"/>
              <w:spacing w:after="0" w:line="149" w:lineRule="exact"/>
              <w:rPr>
                <w:sz w:val="20"/>
                <w:szCs w:val="20"/>
                <w:color w:val="auto"/>
              </w:rPr>
            </w:pPr>
            <w:r>
              <w:rPr>
                <w:rFonts w:ascii="Arial" w:cs="Arial" w:eastAsia="Arial" w:hAnsi="Arial"/>
                <w:sz w:val="14"/>
                <w:szCs w:val="14"/>
                <w:b w:val="1"/>
                <w:bCs w:val="1"/>
                <w:color w:val="auto"/>
                <w:w w:val="89"/>
              </w:rPr>
              <w:t>over-allotment</w:t>
            </w:r>
          </w:p>
        </w:tc>
      </w:tr>
      <w:tr>
        <w:trPr>
          <w:trHeight w:val="161"/>
        </w:trPr>
        <w:tc>
          <w:tcPr>
            <w:tcW w:w="31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1"/>
              </w:rPr>
              <w:t>exercise</w:t>
            </w:r>
          </w:p>
        </w:tc>
        <w:tc>
          <w:tcPr>
            <w:tcW w:w="134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exercise</w:t>
            </w:r>
          </w:p>
        </w:tc>
      </w:tr>
      <w:tr>
        <w:trPr>
          <w:trHeight w:val="210"/>
        </w:trPr>
        <w:tc>
          <w:tcPr>
            <w:tcW w:w="3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2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9"/>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9"/>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Total</w:t>
            </w:r>
          </w:p>
        </w:tc>
        <w:tc>
          <w:tcPr>
            <w:tcW w:w="3280" w:type="dxa"/>
            <w:vAlign w:val="bottom"/>
            <w:gridSpan w:val="2"/>
          </w:tcPr>
          <w:p>
            <w:pPr>
              <w:jc w:val="right"/>
              <w:ind w:right="689"/>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68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 but</w:t>
      </w:r>
    </w:p>
    <w:p>
      <w:pPr>
        <w:spacing w:after="0" w:line="38" w:lineRule="exact"/>
        <w:rPr>
          <w:sz w:val="20"/>
          <w:szCs w:val="20"/>
          <w:color w:val="auto"/>
        </w:rPr>
      </w:pPr>
    </w:p>
    <w:p>
      <w:pPr>
        <w:spacing w:after="0"/>
        <w:tabs>
          <w:tab w:leader="none" w:pos="6140" w:val="left"/>
        </w:tabs>
        <w:rPr>
          <w:sz w:val="20"/>
          <w:szCs w:val="20"/>
          <w:color w:val="auto"/>
        </w:rPr>
      </w:pPr>
      <w:r>
        <w:rPr>
          <w:rFonts w:ascii="Arial" w:cs="Arial" w:eastAsia="Arial" w:hAnsi="Arial"/>
          <w:sz w:val="16"/>
          <w:szCs w:val="16"/>
          <w:color w:val="auto"/>
        </w:rPr>
        <w:t>excluding the underwriting discounts and commissions, will be approximately $</w:t>
      </w:r>
      <w:r>
        <w:rPr>
          <w:sz w:val="20"/>
          <w:szCs w:val="20"/>
          <w:color w:val="auto"/>
        </w:rPr>
        <w:tab/>
      </w:r>
      <w:r>
        <w:rPr>
          <w:rFonts w:ascii="Arial" w:cs="Arial" w:eastAsia="Arial" w:hAnsi="Arial"/>
          <w:sz w:val="14"/>
          <w:szCs w:val="14"/>
          <w:color w:val="auto"/>
        </w:rPr>
        <w: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43"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We have agreed that we will not, subject to certain exceptions,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Merrill Lynch, Pierce, Fenner &amp; Smith Incorporated and Goldman,</w:t>
      </w:r>
    </w:p>
    <w:p>
      <w:pPr>
        <w:ind w:right="100"/>
        <w:spacing w:after="0" w:line="292" w:lineRule="auto"/>
        <w:rPr>
          <w:sz w:val="20"/>
          <w:szCs w:val="20"/>
          <w:color w:val="auto"/>
        </w:rPr>
      </w:pPr>
      <w:r>
        <w:rPr>
          <w:rFonts w:ascii="Arial" w:cs="Arial" w:eastAsia="Arial" w:hAnsi="Arial"/>
          <w:sz w:val="16"/>
          <w:szCs w:val="16"/>
          <w:color w:val="auto"/>
        </w:rPr>
        <w:t>Sachs &amp; Co. for a period of days after the date of this prospectus, other than the shares of our common stock to be sold hereunder. Notwithstanding the foregoing, to the extent we are not an emerging growth company, if (1) during the last 17 days of the day restricted period, we issue an earnings release or material news or a material event relating to our company occurs; or (2) prior to the expiration of the day restricted period, we announce that we will release earnings results during the 16-day period beginning on the last day of the day period, the restrictions described above shall continue to apply until the expiration of the 18-day period beginning on the issuance of the earnings release or the occurrence of the material news or material event.</w:t>
      </w:r>
    </w:p>
    <w:p>
      <w:pPr>
        <w:spacing w:after="0" w:line="117" w:lineRule="exact"/>
        <w:rPr>
          <w:sz w:val="20"/>
          <w:szCs w:val="20"/>
          <w:color w:val="auto"/>
        </w:rPr>
      </w:pPr>
    </w:p>
    <w:p>
      <w:pPr>
        <w:jc w:val="center"/>
        <w:ind w:right="640"/>
        <w:spacing w:after="0" w:line="286" w:lineRule="auto"/>
        <w:rPr>
          <w:sz w:val="20"/>
          <w:szCs w:val="20"/>
          <w:color w:val="auto"/>
        </w:rPr>
      </w:pPr>
      <w:r>
        <w:rPr>
          <w:rFonts w:ascii="Arial" w:cs="Arial" w:eastAsia="Arial" w:hAnsi="Arial"/>
          <w:sz w:val="16"/>
          <w:szCs w:val="16"/>
          <w:color w:val="auto"/>
        </w:rPr>
        <w:t>Our directors, executive officers and all of our existing stockholders have entered into lock-up agreements with the underwriters prior to the commencement of this offering pursuant to which each of these persons or entities, with limited exceptions, for a period of    days after the date of this</w:t>
      </w:r>
    </w:p>
    <w:p>
      <w:pPr>
        <w:spacing w:after="0" w:line="281" w:lineRule="auto"/>
        <w:rPr>
          <w:sz w:val="20"/>
          <w:szCs w:val="20"/>
          <w:color w:val="auto"/>
        </w:rPr>
      </w:pPr>
      <w:r>
        <w:rPr>
          <w:rFonts w:ascii="Arial" w:cs="Arial" w:eastAsia="Arial" w:hAnsi="Arial"/>
          <w:sz w:val="16"/>
          <w:szCs w:val="16"/>
          <w:color w:val="auto"/>
        </w:rPr>
        <w:t>prospectus, may not, subject to certain exceptions, without the prior written consent of J.P. Morgan Securities LLC, Merrill Lynch, Pierce, Fenner &amp; Smith Incorporated and Goldman, Sachs &amp; Co., (1)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w:t>
      </w:r>
    </w:p>
    <w:p>
      <w:pPr>
        <w:spacing w:after="0" w:line="6"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Notwithstanding the foregoing, to the extent we are not an emerging growth company, if (1) during the last 17 days of the day restricted period, we issue an earnings release or material news or a material event relating to our company occurs; or (2) prior to the expiration of the day restricted period, we announce that we will release earnings results during the 16-day period beginning on the last day of the day period, the restrictions described above shall continue to apply until the expiration of the 18-day period beginning on the issuance of the earnings release or the occurrence of the material news or material event.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apply to have our common stock approved for listing/quotation on the NYSE under the symbol “TSLX”.</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over-allotment option referred to above, or may be “naked” shorts, which are short positions in excess of that amount. The underwriters may close out any covered short position either by exercising their over-allotment option,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over-allotment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NYSE, in the over-the-counter market or otherwise.</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59" w:lineRule="exact"/>
        <w:rPr>
          <w:sz w:val="20"/>
          <w:szCs w:val="20"/>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shares, or that the shares will trade in the public market at or above the initial public offering price.</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60"/>
          </w:cols>
          <w:pgMar w:left="240" w:top="459" w:right="2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1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intend to use 100% of the net proceeds of this offering, together with our cash and cash equivalents, to pay down outstanding indebtedness under the Revolving Credit Facility (SunTrust). We do not, however, intend to terminate the facility and may reborrow the amount we repay, subject to certain conditions. Affiliates of certain underwriters are lenders under the Revolving Credit Facility (SunTrust). Accordingly, affiliates of certain of the underwriters may receive more than 5% of the proceeds of this offering to the extent the proceeds are used to pay down outstanding indebtedness under the Revolving Credit Facility (SunTrust).</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Addresses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principal business address of J.P. Morgan Securities LLC is 383 Madison Avenue, New York, New York 10179. The principal business address of Merrill Lynch, Pierce, Fenner &amp; Smith Incorporated is One Bryant Park, New York, New York 10036. The principal business address of Goldman, Sachs &amp; Co. is 200 West Street, New York, New York 10282. The principal business address of Citigroup Global Markets Inc. is 388 Greenwich Street, New York, New York 10013. The principal business address of Wells Fargo Securities, LLC is 550 South Tryon Street, Charlotte, North Carolina 28202. The principal business address of Barclays Capital Inc. is 745 Seventh Avenue New York, NY 10019.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Corporations Act, and does not purport to include the information required for a prospectus, product disclosure statement or other disclosure document under the Corporations Act.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offer in Australia of the common stock may only be made to persons known as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common stock without disclosure to investors under Chapter 6D of the Corporations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common stock must observe such Australian on-sale restrictions.</w:t>
      </w:r>
    </w:p>
    <w:p>
      <w:pPr>
        <w:spacing w:after="0" w:line="113"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common stock to which this prospectus relates may be illiquid or subject to restrictions on their resale. Prospective purchasers of the common stock offered should conduct their own due diligence on the common stock. If you do not understand the contents of this prospectus you should consult an authorized financial advisor.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relation to each Member State of the European Economic Area (each, a Relevant Member State), no offer of common stock may be made to the public in that Relevant Member State other than:</w:t>
      </w:r>
    </w:p>
    <w:p>
      <w:pPr>
        <w:spacing w:after="0" w:line="51" w:lineRule="exact"/>
        <w:rPr>
          <w:sz w:val="20"/>
          <w:szCs w:val="20"/>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provided that no such offer of common stock shall require us or the underwriters to publish a prospectus pursuant to Article 3 of the Prospectus Directive or supplement a prospectus pursuant to Article 16 of the Prospectus Directive.</w:t>
      </w:r>
    </w:p>
    <w:p>
      <w:pPr>
        <w:spacing w:after="0" w:line="132"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Each person in a Relevant Member State who initially acquires any common stock or to whom any offer is made will be deemed to have represented, acknowledged and agreed that it is a “qualified investor” within the meaning of the law in that Relevant Member State implementing Article 2(1)(e) of the Prospectus Directive. In the case of any common stock being offered to a financial intermediary, as that term is used in Article 3(2) of the Prospectus Directive,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of any common stock to the public other than their offer or resale in a Relevant Member State to qualified investors as so defined or in circumstances in which the prior consent of the underwriters has been obtained to each such proposed offer or resale.</w:t>
      </w:r>
    </w:p>
    <w:p>
      <w:pPr>
        <w:spacing w:after="0" w:line="118"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We, the underwriters and our respective affiliates will rely upon the truth and accuracy of the foregoing representations, acknowledgements and agreements.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91" w:lineRule="auto"/>
        <w:rPr>
          <w:sz w:val="20"/>
          <w:szCs w:val="20"/>
          <w:color w:val="auto"/>
        </w:rPr>
      </w:pPr>
      <w:r>
        <w:rPr>
          <w:rFonts w:ascii="Arial" w:cs="Arial" w:eastAsia="Arial" w:hAnsi="Arial"/>
          <w:sz w:val="16"/>
          <w:szCs w:val="16"/>
          <w:color w:val="auto"/>
        </w:rPr>
        <w:t>This prospectus has been prepared on the basis that any offer of common stock in any Relevant Member State will be made pursuant to an exemption under the Prospectus Directive from the requirement to publish a prospectus for offers of common stock. Accordingly any person making or intending to make an offer in that Relevant Member State of common stock which is the subject of the offering contemplated in this prospectus may only do so in circumstances in which no obligation arises for the us or any of the underwriters to publish a prospectus pursuant to Article 3 of the Prospectus Directive in relation to such offer. Neither we nor the underwriters have authorized, nor do they authorize, the making of any offer of common stock in circumstances in which an obligation arises for us or the underwriters to publish a prospectus for such offer.</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 purpose of the above provisions, the expression “an offer to the public” in relation to any common stock in any Relevant Member State means the communication in any form and by any means of sufficient information on the terms of the offer and the common stock to be offered so as to enable an investor to decide to purchase or subscribe the common stock,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common stock has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not and will not register with the Swiss Financial Market Supervisory Authority, or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w:t>
      </w:r>
    </w:p>
    <w:p>
      <w:pPr>
        <w:spacing w:after="0" w:line="118"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This prospectus and any other materials relating to the common stock are strictly personal and confidential to each offeree and do not constitute an offer to any other person. This prospectus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 offer and shall in particular not be copied or distributed to the public in Switzerland or from Switzerland.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prospectus does not constitute an issue prospectus as that term is understood pursuant to Article 652a 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or the Order 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360"/>
          </w:cols>
          <w:pgMar w:left="240" w:top="460" w:right="2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will serve as our transfer agent, distribution paying agent and registrar. The principal business address of State Street Bank and Trust Company is 1 Lincoln Street, Boston, Massachusetts 02111.</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will acquire and dispose of many of our investments in privately negotiated transactions, many of the transactions that we engage in will not require the use of brokers or the payment of brokerage commissions. 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validity of the common stock offered hereby will be passed upon for us by Cleary Gottlieb Steen &amp; Hamilton LLP, New York, New York. In addition, Sutherland Asbill &amp; Brennan LLP and Morris, Nichols, Arsht &amp; Tunnell LLP will pass on certain legal matters for us in connection with the offering. Cleary Gottlieb Steen &amp; Hamilton LLP also represents the Adviser. Certain legal matters in connection with the offering will be passed upon for the underwriters by Fried, Frank, Harris, Shriver &amp; Jacobson LLP.</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consolidated financial statements of TPG Specialty Lending, Inc. (and subsidiaries) as of December 31, 2012 and 2011, and for the years then ended and the Senior Securities table as of December 31, 2012 and 2011 under the heading “Senior Securities” have been included herein and in the registration statement in reliance upon the reports of KPMG LLP, 55 Second Street, Suite 1400, San Francisco, CA 94105, independent registered public accounting firm, appearing elsewhere herein, and upon the authority of said firm as experts in accounting and auditing.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80"/>
          </w:cols>
          <w:pgMar w:left="240" w:top="460" w:right="2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our shares of common stock offered by this prospectus. The registration statement contains additional information about us and our shares of common stock being offered by this prospectus.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also file with or submit to the SEC periodic and current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1-800-SEC-0330.</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345 California Street Suite 3300, San Francisco, CA 94104, Attention: Investor Relations, or by emailing us at </w:t>
      </w:r>
      <w:r>
        <w:rPr>
          <w:rFonts w:ascii="Arial" w:cs="Arial" w:eastAsia="Arial" w:hAnsi="Arial"/>
          <w:sz w:val="16"/>
          <w:szCs w:val="16"/>
          <w:i w:val="1"/>
          <w:iCs w:val="1"/>
          <w:color w:val="auto"/>
        </w:rPr>
        <w:t xml:space="preserve">IRTSL </w:t>
      </w:r>
      <w:r>
        <w:rPr>
          <w:sz w:val="1"/>
          <w:szCs w:val="1"/>
          <w:color w:val="auto"/>
        </w:rPr>
        <w:drawing>
          <wp:inline distT="0" distB="0" distL="0" distR="0">
            <wp:extent cx="77470" cy="7747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6"/>
          <w:szCs w:val="16"/>
          <w:i w:val="1"/>
          <w:iCs w:val="1"/>
          <w:color w:val="auto"/>
        </w:rPr>
        <w:t xml:space="preserve"> tpg.com</w:t>
      </w:r>
      <w:r>
        <w:rPr>
          <w:rFonts w:ascii="Arial" w:cs="Arial" w:eastAsia="Arial" w:hAnsi="Arial"/>
          <w:sz w:val="16"/>
          <w:szCs w:val="16"/>
          <w:color w:val="auto"/>
        </w:rPr>
        <w:t>. The SEC maintains a website that contains reports, proxy</w:t>
      </w:r>
      <w:r>
        <w:rPr>
          <w:rFonts w:ascii="Arial" w:cs="Arial" w:eastAsia="Arial" w:hAnsi="Arial"/>
          <w:sz w:val="16"/>
          <w:szCs w:val="16"/>
          <w:i w:val="1"/>
          <w:iCs w:val="1"/>
          <w:color w:val="auto"/>
        </w:rPr>
        <w:t xml:space="preserve">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180" w:type="dxa"/>
            <w:vAlign w:val="bottom"/>
            <w:gridSpan w:val="11"/>
          </w:tcPr>
          <w:p>
            <w:pPr>
              <w:jc w:val="center"/>
              <w:ind w:right="1980"/>
              <w:spacing w:after="0"/>
              <w:rPr>
                <w:sz w:val="20"/>
                <w:szCs w:val="20"/>
                <w:color w:val="auto"/>
              </w:rPr>
            </w:pPr>
            <w:r>
              <w:rPr>
                <w:rFonts w:ascii="Arial" w:cs="Arial" w:eastAsia="Arial" w:hAnsi="Arial"/>
                <w:sz w:val="18"/>
                <w:szCs w:val="18"/>
                <w:b w:val="1"/>
                <w:bCs w:val="1"/>
                <w:color w:val="auto"/>
                <w:w w:val="99"/>
              </w:rPr>
              <w:t>INDEX TO FINANCIAL STATEMENTS</w:t>
            </w:r>
          </w:p>
        </w:tc>
        <w:tc>
          <w:tcPr>
            <w:tcW w:w="2020" w:type="dxa"/>
            <w:vAlign w:val="bottom"/>
          </w:tcPr>
          <w:p>
            <w:pPr>
              <w:spacing w:after="0"/>
              <w:rPr>
                <w:sz w:val="19"/>
                <w:szCs w:val="19"/>
                <w:color w:val="auto"/>
              </w:rPr>
            </w:pPr>
          </w:p>
        </w:tc>
      </w:tr>
      <w:tr>
        <w:trPr>
          <w:trHeight w:val="366"/>
        </w:trPr>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180" w:type="dxa"/>
            <w:vAlign w:val="bottom"/>
            <w:gridSpan w:val="11"/>
          </w:tcPr>
          <w:p>
            <w:pPr>
              <w:jc w:val="center"/>
              <w:ind w:right="2000"/>
              <w:spacing w:after="0"/>
              <w:rPr>
                <w:sz w:val="20"/>
                <w:szCs w:val="20"/>
                <w:color w:val="auto"/>
              </w:rPr>
            </w:pPr>
            <w:r>
              <w:rPr>
                <w:rFonts w:ascii="Arial" w:cs="Arial" w:eastAsia="Arial" w:hAnsi="Arial"/>
                <w:sz w:val="18"/>
                <w:szCs w:val="18"/>
                <w:b w:val="1"/>
                <w:bCs w:val="1"/>
                <w:color w:val="auto"/>
                <w:w w:val="98"/>
              </w:rPr>
              <w:t>TPG SPECIALTY LENDING, INC.</w:t>
            </w:r>
          </w:p>
        </w:tc>
        <w:tc>
          <w:tcPr>
            <w:tcW w:w="2020" w:type="dxa"/>
            <w:vAlign w:val="bottom"/>
          </w:tcPr>
          <w:p>
            <w:pPr>
              <w:spacing w:after="0"/>
              <w:rPr>
                <w:sz w:val="24"/>
                <w:szCs w:val="24"/>
                <w:color w:val="auto"/>
              </w:rPr>
            </w:pPr>
          </w:p>
        </w:tc>
      </w:tr>
      <w:tr>
        <w:trPr>
          <w:trHeight w:val="222"/>
        </w:trPr>
        <w:tc>
          <w:tcPr>
            <w:tcW w:w="9300" w:type="dxa"/>
            <w:vAlign w:val="bottom"/>
            <w:gridSpan w:val="15"/>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2020" w:type="dxa"/>
            <w:vAlign w:val="bottom"/>
          </w:tcPr>
          <w:p>
            <w:pPr>
              <w:spacing w:after="0"/>
              <w:rPr>
                <w:sz w:val="19"/>
                <w:szCs w:val="19"/>
                <w:color w:val="auto"/>
              </w:rPr>
            </w:pPr>
          </w:p>
        </w:tc>
      </w:tr>
      <w:tr>
        <w:trPr>
          <w:trHeight w:val="184"/>
        </w:trPr>
        <w:tc>
          <w:tcPr>
            <w:tcW w:w="9300" w:type="dxa"/>
            <w:vAlign w:val="bottom"/>
            <w:gridSpan w:val="15"/>
          </w:tcPr>
          <w:p>
            <w:pPr>
              <w:spacing w:after="0" w:line="184" w:lineRule="exact"/>
              <w:rPr>
                <w:rFonts w:ascii="Arial" w:cs="Arial" w:eastAsia="Arial" w:hAnsi="Arial"/>
                <w:sz w:val="18"/>
                <w:szCs w:val="18"/>
                <w:color w:val="0000EE"/>
              </w:rPr>
            </w:pPr>
            <w:hyperlink w:anchor="page164">
              <w:r>
                <w:rPr>
                  <w:rFonts w:ascii="Arial" w:cs="Arial" w:eastAsia="Arial" w:hAnsi="Arial"/>
                  <w:sz w:val="18"/>
                  <w:szCs w:val="18"/>
                  <w:color w:val="0000EE"/>
                </w:rPr>
                <w:t>Report of Independent Registered Public Accounting Firm</w:t>
              </w:r>
            </w:hyperlink>
          </w:p>
        </w:tc>
        <w:tc>
          <w:tcPr>
            <w:tcW w:w="202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454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165">
              <w:r>
                <w:rPr>
                  <w:rFonts w:ascii="Arial" w:cs="Arial" w:eastAsia="Arial" w:hAnsi="Arial"/>
                  <w:sz w:val="18"/>
                  <w:szCs w:val="18"/>
                  <w:color w:val="0000EE"/>
                  <w:w w:val="86"/>
                </w:rPr>
                <w:t>Consolidated Balance Sheets as of December 31, 2012 and 2011</w:t>
              </w:r>
            </w:hyperlink>
          </w:p>
        </w:tc>
        <w:tc>
          <w:tcPr>
            <w:tcW w:w="4760" w:type="dxa"/>
            <w:vAlign w:val="bottom"/>
            <w:gridSpan w:val="10"/>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9300" w:type="dxa"/>
            <w:vAlign w:val="bottom"/>
            <w:gridSpan w:val="15"/>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Consolidated Statements of Operations for the years ended December 31, 2012 and 2011</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62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Consolidated Schedules of Investments as of December 31, 2012 and 2011</w:t>
              </w:r>
            </w:hyperlink>
          </w:p>
        </w:tc>
        <w:tc>
          <w:tcPr>
            <w:tcW w:w="3060" w:type="dxa"/>
            <w:vAlign w:val="bottom"/>
            <w:gridSpan w:val="7"/>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300" w:type="dxa"/>
            <w:vAlign w:val="bottom"/>
            <w:gridSpan w:val="15"/>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Consolidated Statements of Changes in Net Assets for the years ended December 31, 2012 and 2011</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196"/>
        </w:trPr>
        <w:tc>
          <w:tcPr>
            <w:tcW w:w="7060" w:type="dxa"/>
            <w:vAlign w:val="bottom"/>
            <w:tcBorders>
              <w:top w:val="single" w:sz="8" w:color="0000EE"/>
            </w:tcBorders>
            <w:gridSpan w:val="12"/>
          </w:tcPr>
          <w:p>
            <w:pPr>
              <w:spacing w:after="0" w:line="196" w:lineRule="exact"/>
              <w:rPr>
                <w:rFonts w:ascii="Arial" w:cs="Arial" w:eastAsia="Arial" w:hAnsi="Arial"/>
                <w:sz w:val="18"/>
                <w:szCs w:val="18"/>
                <w:color w:val="0000EE"/>
                <w:w w:val="97"/>
              </w:rPr>
            </w:pPr>
            <w:hyperlink w:anchor="page173">
              <w:r>
                <w:rPr>
                  <w:rFonts w:ascii="Arial" w:cs="Arial" w:eastAsia="Arial" w:hAnsi="Arial"/>
                  <w:sz w:val="18"/>
                  <w:szCs w:val="18"/>
                  <w:color w:val="0000EE"/>
                  <w:w w:val="97"/>
                </w:rPr>
                <w:t>Consolidated Statements of Cash Flows for the years ended December 31, 2012 and 2011</w:t>
              </w:r>
            </w:hyperlink>
          </w:p>
        </w:tc>
        <w:tc>
          <w:tcPr>
            <w:tcW w:w="2240" w:type="dxa"/>
            <w:vAlign w:val="bottom"/>
            <w:gridSpan w:val="3"/>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r>
      <w:tr>
        <w:trPr>
          <w:trHeight w:val="196"/>
        </w:trPr>
        <w:tc>
          <w:tcPr>
            <w:tcW w:w="63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Notes to Consolidated Financial Statements</w:t>
              </w:r>
            </w:hyperlink>
          </w:p>
        </w:tc>
        <w:tc>
          <w:tcPr>
            <w:tcW w:w="3000" w:type="dxa"/>
            <w:vAlign w:val="bottom"/>
            <w:gridSpan w:val="6"/>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36"/>
        </w:trPr>
        <w:tc>
          <w:tcPr>
            <w:tcW w:w="9300" w:type="dxa"/>
            <w:vAlign w:val="bottom"/>
            <w:gridSpan w:val="15"/>
          </w:tcPr>
          <w:p>
            <w:pPr>
              <w:spacing w:after="0"/>
              <w:rPr>
                <w:sz w:val="20"/>
                <w:szCs w:val="20"/>
                <w:color w:val="auto"/>
              </w:rPr>
            </w:pPr>
            <w:r>
              <w:rPr>
                <w:rFonts w:ascii="Arial" w:cs="Arial" w:eastAsia="Arial" w:hAnsi="Arial"/>
                <w:sz w:val="18"/>
                <w:szCs w:val="18"/>
                <w:b w:val="1"/>
                <w:bCs w:val="1"/>
                <w:color w:val="auto"/>
              </w:rPr>
              <w:t>Unaudited Consolidated Financial Statements</w:t>
            </w:r>
          </w:p>
        </w:tc>
        <w:tc>
          <w:tcPr>
            <w:tcW w:w="2020" w:type="dxa"/>
            <w:vAlign w:val="bottom"/>
          </w:tcPr>
          <w:p>
            <w:pPr>
              <w:spacing w:after="0"/>
              <w:rPr>
                <w:sz w:val="24"/>
                <w:szCs w:val="24"/>
                <w:color w:val="auto"/>
              </w:rPr>
            </w:pPr>
          </w:p>
        </w:tc>
      </w:tr>
      <w:tr>
        <w:trPr>
          <w:trHeight w:val="184"/>
        </w:trPr>
        <w:tc>
          <w:tcPr>
            <w:tcW w:w="9300" w:type="dxa"/>
            <w:vAlign w:val="bottom"/>
            <w:gridSpan w:val="15"/>
          </w:tcPr>
          <w:p>
            <w:pPr>
              <w:spacing w:after="0" w:line="184" w:lineRule="exact"/>
              <w:rPr>
                <w:rFonts w:ascii="Arial" w:cs="Arial" w:eastAsia="Arial" w:hAnsi="Arial"/>
                <w:sz w:val="18"/>
                <w:szCs w:val="18"/>
                <w:color w:val="0000EE"/>
              </w:rPr>
            </w:pPr>
            <w:hyperlink w:anchor="page193">
              <w:r>
                <w:rPr>
                  <w:rFonts w:ascii="Arial" w:cs="Arial" w:eastAsia="Arial" w:hAnsi="Arial"/>
                  <w:sz w:val="18"/>
                  <w:szCs w:val="18"/>
                  <w:color w:val="0000EE"/>
                </w:rPr>
                <w:t>Consolidated Balance Sheets as of September 30, 2013 and December 31, 2012</w:t>
              </w:r>
            </w:hyperlink>
          </w:p>
        </w:tc>
        <w:tc>
          <w:tcPr>
            <w:tcW w:w="2020" w:type="dxa"/>
            <w:vAlign w:val="bottom"/>
          </w:tcPr>
          <w:p>
            <w:pPr>
              <w:jc w:val="right"/>
              <w:spacing w:after="0" w:line="184" w:lineRule="exact"/>
              <w:rPr>
                <w:sz w:val="20"/>
                <w:szCs w:val="20"/>
                <w:color w:val="auto"/>
              </w:rPr>
            </w:pPr>
            <w:r>
              <w:rPr>
                <w:rFonts w:ascii="Arial" w:cs="Arial" w:eastAsia="Arial" w:hAnsi="Arial"/>
                <w:sz w:val="18"/>
                <w:szCs w:val="18"/>
                <w:color w:val="auto"/>
              </w:rPr>
              <w:t>F-31</w:t>
            </w: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300" w:type="dxa"/>
            <w:vAlign w:val="bottom"/>
            <w:gridSpan w:val="15"/>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Consolidated Statements of Operations for the three and nine months ended September 30, 2013 and</w:t>
              </w:r>
            </w:hyperlink>
          </w:p>
        </w:tc>
        <w:tc>
          <w:tcPr>
            <w:tcW w:w="202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194">
              <w:r>
                <w:rPr>
                  <w:rFonts w:ascii="Arial" w:cs="Arial" w:eastAsia="Arial" w:hAnsi="Arial"/>
                  <w:sz w:val="18"/>
                  <w:szCs w:val="18"/>
                  <w:color w:val="0000EE"/>
                  <w:w w:val="84"/>
                </w:rPr>
                <w:t>2012</w:t>
              </w:r>
            </w:hyperlink>
          </w:p>
        </w:tc>
        <w:tc>
          <w:tcPr>
            <w:tcW w:w="25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F-32</w:t>
            </w:r>
          </w:p>
        </w:tc>
      </w:tr>
      <w:tr>
        <w:trPr>
          <w:trHeight w:val="196"/>
        </w:trPr>
        <w:tc>
          <w:tcPr>
            <w:tcW w:w="9300" w:type="dxa"/>
            <w:vAlign w:val="bottom"/>
            <w:gridSpan w:val="15"/>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Consolidated Schedules of Investments as of September 30, 2013 and December 31, 2012</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F-33</w:t>
            </w:r>
          </w:p>
        </w:tc>
      </w:tr>
      <w:tr>
        <w:trPr>
          <w:trHeight w:val="20"/>
        </w:trPr>
        <w:tc>
          <w:tcPr>
            <w:tcW w:w="3080" w:type="dxa"/>
            <w:vAlign w:val="bottom"/>
            <w:gridSpan w:val="3"/>
            <w:shd w:val="clear" w:color="auto" w:fill="0000EE"/>
          </w:tcPr>
          <w:p>
            <w:pPr>
              <w:spacing w:after="0" w:line="20" w:lineRule="exact"/>
              <w:rPr>
                <w:sz w:val="1"/>
                <w:szCs w:val="1"/>
                <w:color w:val="auto"/>
              </w:rPr>
            </w:pPr>
          </w:p>
        </w:tc>
        <w:tc>
          <w:tcPr>
            <w:tcW w:w="3240" w:type="dxa"/>
            <w:vAlign w:val="bottom"/>
            <w:gridSpan w:val="7"/>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w:anchor="page201">
              <w:r>
                <w:rPr>
                  <w:rFonts w:ascii="Arial" w:cs="Arial" w:eastAsia="Arial" w:hAnsi="Arial"/>
                  <w:sz w:val="18"/>
                  <w:szCs w:val="18"/>
                  <w:color w:val="0000EE"/>
                  <w:w w:val="86"/>
                </w:rPr>
                <w:t>Consolidated Statements of Changes in Net Assets for the nine months ended September 30, 2013 and 2012</w:t>
              </w:r>
            </w:hyperlink>
          </w:p>
        </w:tc>
        <w:tc>
          <w:tcPr>
            <w:tcW w:w="1700" w:type="dxa"/>
            <w:vAlign w:val="bottom"/>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F-39</w:t>
            </w:r>
          </w:p>
        </w:tc>
      </w:tr>
      <w:tr>
        <w:trPr>
          <w:trHeight w:val="196"/>
        </w:trPr>
        <w:tc>
          <w:tcPr>
            <w:tcW w:w="9300" w:type="dxa"/>
            <w:vAlign w:val="bottom"/>
            <w:gridSpan w:val="15"/>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Consolidated Statements of Cash Flows for the nine months ended September 30, 2013 and 2012</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F-40</w:t>
            </w:r>
          </w:p>
        </w:tc>
      </w:tr>
      <w:tr>
        <w:trPr>
          <w:trHeight w:val="196"/>
        </w:trPr>
        <w:tc>
          <w:tcPr>
            <w:tcW w:w="68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Notes to Consolidated Financial Statements</w:t>
              </w:r>
            </w:hyperlink>
          </w:p>
        </w:tc>
        <w:tc>
          <w:tcPr>
            <w:tcW w:w="2480" w:type="dxa"/>
            <w:vAlign w:val="bottom"/>
            <w:gridSpan w:val="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F-41</w:t>
            </w:r>
          </w:p>
        </w:tc>
      </w:tr>
      <w:tr>
        <w:trPr>
          <w:trHeight w:val="383"/>
        </w:trPr>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50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40" w:type="dxa"/>
            <w:vAlign w:val="bottom"/>
            <w:gridSpan w:val="9"/>
          </w:tcPr>
          <w:p>
            <w:pPr>
              <w:jc w:val="center"/>
              <w:ind w:right="3120"/>
              <w:spacing w:after="0"/>
              <w:rPr>
                <w:sz w:val="20"/>
                <w:szCs w:val="20"/>
                <w:color w:val="auto"/>
              </w:rPr>
            </w:pPr>
            <w:r>
              <w:rPr>
                <w:rFonts w:ascii="Arial" w:cs="Arial" w:eastAsia="Arial" w:hAnsi="Arial"/>
                <w:sz w:val="18"/>
                <w:szCs w:val="18"/>
                <w:color w:val="auto"/>
                <w:w w:val="88"/>
              </w:rPr>
              <w:t>F-1</w:t>
            </w:r>
          </w:p>
        </w:tc>
        <w:tc>
          <w:tcPr>
            <w:tcW w:w="202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6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have audited the accompanying consolidated balance sheets of TPG Specialty Lending, Inc. (and subsidiaries) (the Company), including the consolidated schedules of investments as of December 31, 2012 and 2011, and the related consolidated statements of operations, changes in net assets, cash flows, and the financial highlights (included in Note 12) for the years then ended. These consolidated financial statements and financial highlights are the responsibility of the Company’s management. Our responsibility is to express an opinion on these consolidated financial statements and financial highlights based on our audits.</w:t>
      </w:r>
    </w:p>
    <w:p>
      <w:pPr>
        <w:spacing w:after="0" w:line="9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and financial highlights are free of material misstatement. An audit includes examining, on a test basis, evidence supporting the amounts and disclosures in the financial statements. Our procedures included confirmation of securities owned as of December 31, 2012 and 2011, by correspondence with custodians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our opinion, the consolidated financial statements and financial highlights referred to above present fairly, in all material respects, the financial position of TPG Specialty Lending, Inc. (and subsidiaries) as of December 31, 2012 and 2011, the results of their operations and their cash flows, the changes in net assets, and the financial highlights for the years then ended, in conformity with U.S. generally accepted accounting principles.</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2013, except for Note 8 and Note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which are as of December 10,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(amortized cost of $644,421 and $140,255, respectively)</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653,944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141,685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Non-controlled, affiliated investments (amortized cost of $0 and $41,781, respectively)</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investments at fair value (amortized cost of $644,421 and $182,036, respectively)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653,944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184,348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161,825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143,692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1,976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833,149</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332,249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Revolving credit facilities</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331,836</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353,346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159,157</w:t>
            </w:r>
          </w:p>
        </w:tc>
        <w:tc>
          <w:tcPr>
            <w:tcW w:w="0" w:type="dxa"/>
            <w:vAlign w:val="bottom"/>
          </w:tcPr>
          <w:p>
            <w:pPr>
              <w:spacing w:after="0"/>
              <w:rPr>
                <w:sz w:val="1"/>
                <w:szCs w:val="1"/>
                <w:color w:val="auto"/>
              </w:rPr>
            </w:pPr>
          </w:p>
        </w:tc>
      </w:tr>
      <w:tr>
        <w:trPr>
          <w:trHeight w:val="221"/>
        </w:trPr>
        <w:tc>
          <w:tcPr>
            <w:tcW w:w="8960" w:type="dxa"/>
            <w:vAlign w:val="bottom"/>
            <w:gridSpan w:val="2"/>
          </w:tcPr>
          <w:p>
            <w:pPr>
              <w:spacing w:after="0"/>
              <w:rPr>
                <w:sz w:val="20"/>
                <w:szCs w:val="20"/>
                <w:color w:val="auto"/>
              </w:rPr>
            </w:pPr>
            <w:r>
              <w:rPr>
                <w:rFonts w:ascii="Arial" w:cs="Arial" w:eastAsia="Arial" w:hAnsi="Arial"/>
                <w:sz w:val="18"/>
                <w:szCs w:val="18"/>
                <w:color w:val="auto"/>
              </w:rPr>
              <w:t>Commitments and contingencies (Note 7)</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w w:val="88"/>
              </w:rPr>
              <w:t>Common stock, $0.01 par value; 100,000,000 shares authorized; 31,583,953 and 11,771,513 shares issued, respectively; and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31,582,954 and 11,770,514 shares outstanding, respectively</w:t>
            </w:r>
            <w:r>
              <w:rPr>
                <w:rFonts w:ascii="Arial" w:cs="Arial" w:eastAsia="Arial" w:hAnsi="Arial"/>
                <w:sz w:val="11"/>
                <w:szCs w:val="11"/>
                <w:color w:val="auto"/>
              </w:rPr>
              <w:t>(1)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1"/>
                <w:szCs w:val="11"/>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469,398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172,757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999 shares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Undistributed net realized gains on investments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Net Assets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479,803</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173,092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833,149</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332,249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Asset Value Per Share</w:t>
            </w:r>
            <w:r>
              <w:rPr>
                <w:rFonts w:ascii="Arial" w:cs="Arial" w:eastAsia="Arial" w:hAnsi="Arial"/>
                <w:sz w:val="11"/>
                <w:szCs w:val="11"/>
                <w:b w:val="1"/>
                <w:bCs w:val="1"/>
                <w:color w:val="auto"/>
              </w:rPr>
              <w:t>(1)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460" w:right="680" w:hanging="452"/>
        <w:spacing w:after="0" w:line="268"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As further described in Note 8, the indicated amounts have been retroactively adjusted for the stock split which was effected in the form of a stock dividend.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8"/>
              </w:rPr>
              <w:t>Year Ended</w:t>
            </w: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6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7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2012</w:t>
            </w:r>
          </w:p>
        </w:tc>
        <w:tc>
          <w:tcPr>
            <w:tcW w:w="7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46,402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80" w:type="dxa"/>
            <w:vAlign w:val="bottom"/>
            <w:gridSpan w:val="2"/>
          </w:tcPr>
          <w:p>
            <w:pPr>
              <w:ind w:left="860"/>
              <w:spacing w:after="0"/>
              <w:rPr>
                <w:sz w:val="20"/>
                <w:szCs w:val="20"/>
                <w:color w:val="auto"/>
              </w:rPr>
            </w:pPr>
            <w:r>
              <w:rPr>
                <w:rFonts w:ascii="Arial" w:cs="Arial" w:eastAsia="Arial" w:hAnsi="Arial"/>
                <w:sz w:val="18"/>
                <w:szCs w:val="18"/>
                <w:color w:val="auto"/>
              </w:rPr>
              <w:t>Total investment income from non-controlled, non-affiliated investments</w:t>
            </w:r>
          </w:p>
        </w:tc>
        <w:tc>
          <w:tcPr>
            <w:tcW w:w="10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47,046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Interest from investments</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2,724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 income</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1,231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investment income from non-controlled, affiliated investments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740" w:type="dxa"/>
            <w:vAlign w:val="bottom"/>
          </w:tcPr>
          <w:p>
            <w:pPr>
              <w:ind w:left="14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Pr>
          <w:p>
            <w:pPr>
              <w:spacing w:after="0"/>
              <w:rPr>
                <w:sz w:val="20"/>
                <w:szCs w:val="20"/>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51,011</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6,020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organization</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8,892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6,996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2,881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Other general and administrative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26,640</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gridSpan w:val="3"/>
          </w:tcPr>
          <w:p>
            <w:pPr>
              <w:spacing w:after="0"/>
              <w:rPr>
                <w:sz w:val="20"/>
                <w:szCs w:val="20"/>
                <w:color w:val="auto"/>
              </w:rPr>
            </w:pPr>
            <w:r>
              <w:rPr>
                <w:rFonts w:ascii="Arial" w:cs="Arial" w:eastAsia="Arial" w:hAnsi="Arial"/>
                <w:sz w:val="18"/>
                <w:szCs w:val="18"/>
                <w:color w:val="auto"/>
              </w:rPr>
              <w:t>Management fees waived (Note 3)</w:t>
            </w:r>
          </w:p>
        </w:tc>
        <w:tc>
          <w:tcPr>
            <w:tcW w:w="100" w:type="dxa"/>
            <w:vAlign w:val="bottom"/>
          </w:tcPr>
          <w:p>
            <w:pPr>
              <w:spacing w:after="0"/>
              <w:rPr>
                <w:sz w:val="20"/>
                <w:szCs w:val="20"/>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(3,704)</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7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22,936</w:t>
            </w: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00" w:type="dxa"/>
            <w:vAlign w:val="bottom"/>
            <w:gridSpan w:val="3"/>
          </w:tcPr>
          <w:p>
            <w:pPr>
              <w:spacing w:after="0"/>
              <w:rPr>
                <w:sz w:val="20"/>
                <w:szCs w:val="20"/>
                <w:color w:val="auto"/>
              </w:rPr>
            </w:pPr>
            <w:r>
              <w:rPr>
                <w:rFonts w:ascii="Arial" w:cs="Arial" w:eastAsia="Arial" w:hAnsi="Arial"/>
                <w:sz w:val="18"/>
                <w:szCs w:val="18"/>
                <w:b w:val="1"/>
                <w:bCs w:val="1"/>
                <w:color w:val="auto"/>
              </w:rPr>
              <w:t>Net Investment Income (Loss) Before Income Taxes</w:t>
            </w:r>
          </w:p>
        </w:tc>
        <w:tc>
          <w:tcPr>
            <w:tcW w:w="10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28,075</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00" w:type="dxa"/>
            <w:vAlign w:val="bottom"/>
            <w:gridSpan w:val="3"/>
          </w:tcPr>
          <w:p>
            <w:pPr>
              <w:spacing w:after="0"/>
              <w:rPr>
                <w:sz w:val="20"/>
                <w:szCs w:val="20"/>
                <w:color w:val="auto"/>
              </w:rPr>
            </w:pPr>
            <w:r>
              <w:rPr>
                <w:rFonts w:ascii="Arial" w:cs="Arial" w:eastAsia="Arial" w:hAnsi="Arial"/>
                <w:sz w:val="18"/>
                <w:szCs w:val="18"/>
                <w:b w:val="1"/>
                <w:bCs w:val="1"/>
                <w:color w:val="auto"/>
              </w:rPr>
              <w:t>Net Investment Income (Loss)</w:t>
            </w:r>
          </w:p>
        </w:tc>
        <w:tc>
          <w:tcPr>
            <w:tcW w:w="10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28,029</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Gains on Investments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7,372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Non-controlled, affiliated investments</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4,255</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Non-controlled, affiliated investments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740" w:type="dxa"/>
            <w:vAlign w:val="bottom"/>
          </w:tcPr>
          <w:p>
            <w:pPr>
              <w:ind w:left="140"/>
              <w:spacing w:after="0"/>
              <w:rPr>
                <w:sz w:val="20"/>
                <w:szCs w:val="20"/>
                <w:color w:val="auto"/>
              </w:rPr>
            </w:pPr>
            <w:r>
              <w:rPr>
                <w:rFonts w:ascii="Arial" w:cs="Arial" w:eastAsia="Arial" w:hAnsi="Arial"/>
                <w:sz w:val="18"/>
                <w:szCs w:val="18"/>
                <w:b w:val="1"/>
                <w:bCs w:val="1"/>
                <w:color w:val="auto"/>
              </w:rPr>
              <w:t>Total Net Gains on Investments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11,566</w:t>
            </w:r>
          </w:p>
        </w:tc>
        <w:tc>
          <w:tcPr>
            <w:tcW w:w="7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7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gridSpan w:val="3"/>
            <w:vMerge w:val="restart"/>
          </w:tcPr>
          <w:p>
            <w:pPr>
              <w:spacing w:after="0"/>
              <w:rPr>
                <w:sz w:val="20"/>
                <w:szCs w:val="20"/>
                <w:color w:val="auto"/>
              </w:rPr>
            </w:pPr>
            <w:r>
              <w:rPr>
                <w:rFonts w:ascii="Arial" w:cs="Arial" w:eastAsia="Arial" w:hAnsi="Arial"/>
                <w:sz w:val="18"/>
                <w:szCs w:val="18"/>
                <w:color w:val="auto"/>
              </w:rPr>
              <w:t>Earnings per common share – basic and diluted</w:t>
            </w:r>
            <w:r>
              <w:rPr>
                <w:rFonts w:ascii="Arial" w:cs="Arial" w:eastAsia="Arial" w:hAnsi="Arial"/>
                <w:sz w:val="11"/>
                <w:szCs w:val="11"/>
                <w:color w:val="auto"/>
              </w:rPr>
              <w:t>(1)</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0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 – basic and diluted</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20,541,475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3,347,602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80" w:hanging="452"/>
        <w:spacing w:after="0" w:line="268"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As further described in Note 8, the indicated amounts have been retroactively adjusted for the stock split which was effected in the form of a stock dividend.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Consolidated Schedule of Investments as of December 31,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3780" w:type="dxa"/>
            <w:vAlign w:val="bottom"/>
            <w:vMerge w:val="restart"/>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Interest</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Acquisition</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7"/>
              </w:rPr>
              <w:t>Amortized</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vMerge w:val="continue"/>
          </w:tcPr>
          <w:p>
            <w:pPr>
              <w:spacing w:after="0"/>
              <w:rPr>
                <w:sz w:val="15"/>
                <w:szCs w:val="15"/>
                <w:color w:val="auto"/>
              </w:rPr>
            </w:pPr>
          </w:p>
        </w:tc>
        <w:tc>
          <w:tcPr>
            <w:tcW w:w="3780" w:type="dxa"/>
            <w:vAlign w:val="bottom"/>
            <w:vMerge w:val="continue"/>
          </w:tcPr>
          <w:p>
            <w:pPr>
              <w:spacing w:after="0"/>
              <w:rPr>
                <w:sz w:val="15"/>
                <w:szCs w:val="15"/>
                <w:color w:val="auto"/>
              </w:rPr>
            </w:pPr>
          </w:p>
        </w:tc>
        <w:tc>
          <w:tcPr>
            <w:tcW w:w="1860" w:type="dxa"/>
            <w:vAlign w:val="bottom"/>
            <w:gridSpan w:val="2"/>
          </w:tcPr>
          <w:p>
            <w:pPr>
              <w:ind w:left="440"/>
              <w:spacing w:after="0"/>
              <w:rPr>
                <w:sz w:val="20"/>
                <w:szCs w:val="20"/>
                <w:color w:val="auto"/>
              </w:rPr>
            </w:pPr>
            <w:r>
              <w:rPr>
                <w:rFonts w:ascii="Arial" w:cs="Arial" w:eastAsia="Arial" w:hAnsi="Arial"/>
                <w:sz w:val="14"/>
                <w:szCs w:val="14"/>
                <w:b w:val="1"/>
                <w:bCs w:val="1"/>
                <w:color w:val="auto"/>
              </w:rPr>
              <w:t>Investment</w:t>
            </w:r>
          </w:p>
        </w:tc>
        <w:tc>
          <w:tcPr>
            <w:tcW w:w="1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Rate</w:t>
            </w:r>
          </w:p>
        </w:tc>
        <w:tc>
          <w:tcPr>
            <w:tcW w:w="10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Date</w:t>
            </w:r>
          </w:p>
        </w:tc>
        <w:tc>
          <w:tcPr>
            <w:tcW w:w="620" w:type="dxa"/>
            <w:vAlign w:val="bottom"/>
          </w:tcPr>
          <w:p>
            <w:pPr>
              <w:jc w:val="right"/>
              <w:ind w:right="13"/>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3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22"/>
        </w:trPr>
        <w:tc>
          <w:tcPr>
            <w:tcW w:w="454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Debt Investments</w:t>
            </w:r>
          </w:p>
        </w:tc>
        <w:tc>
          <w:tcPr>
            <w:tcW w:w="154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4"/>
                <w:szCs w:val="14"/>
                <w:b w:val="1"/>
                <w:bCs w:val="1"/>
                <w:color w:val="auto"/>
              </w:rPr>
              <w:t>Aerospace and defense</w:t>
            </w: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 xml:space="preserve">MSC.Software Corporation </w:t>
            </w:r>
            <w:r>
              <w:rPr>
                <w:rFonts w:ascii="Arial" w:cs="Arial" w:eastAsia="Arial" w:hAnsi="Arial"/>
                <w:sz w:val="16"/>
                <w:szCs w:val="16"/>
                <w:color w:val="auto"/>
                <w:vertAlign w:val="superscript"/>
              </w:rPr>
              <w:t>(3)(4)(5)</w:t>
            </w:r>
          </w:p>
        </w:tc>
        <w:tc>
          <w:tcPr>
            <w:tcW w:w="18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First-lien loan ($56,266 par,</w:t>
            </w: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11/2017)</w:t>
            </w:r>
          </w:p>
        </w:tc>
        <w:tc>
          <w:tcPr>
            <w:tcW w:w="106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7.75%</w:t>
            </w: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w w:val="91"/>
              </w:rPr>
              <w:t>12/23/2011</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   55,423</w:t>
            </w:r>
          </w:p>
        </w:tc>
        <w:tc>
          <w:tcPr>
            <w:tcW w:w="13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   55,984</w:t>
            </w: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4"/>
                <w:szCs w:val="14"/>
                <w:b w:val="1"/>
                <w:bCs w:val="1"/>
                <w:color w:val="auto"/>
              </w:rPr>
              <w:t>Automotive</w:t>
            </w: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 xml:space="preserve">Heartland Automotive Holdings, LLC </w:t>
            </w:r>
            <w:r>
              <w:rPr>
                <w:rFonts w:ascii="Arial" w:cs="Arial" w:eastAsia="Arial" w:hAnsi="Arial"/>
                <w:sz w:val="16"/>
                <w:szCs w:val="16"/>
                <w:color w:val="auto"/>
                <w:vertAlign w:val="superscript"/>
              </w:rPr>
              <w:t>(3)(5)</w:t>
            </w:r>
          </w:p>
        </w:tc>
        <w:tc>
          <w:tcPr>
            <w:tcW w:w="18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First-lien loan ($38,951 par,</w:t>
            </w: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6/2017)</w:t>
            </w:r>
          </w:p>
        </w:tc>
        <w:tc>
          <w:tcPr>
            <w:tcW w:w="106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9.00%</w:t>
            </w: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8/28/2012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37,998</w:t>
            </w:r>
          </w:p>
        </w:tc>
        <w:tc>
          <w:tcPr>
            <w:tcW w:w="13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38,075</w:t>
            </w: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8"/>
        </w:trPr>
        <w:tc>
          <w:tcPr>
            <w:tcW w:w="7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860" w:type="dxa"/>
            <w:vAlign w:val="bottom"/>
            <w:gridSpan w:val="2"/>
          </w:tcPr>
          <w:p>
            <w:pPr>
              <w:spacing w:after="0" w:line="138" w:lineRule="exact"/>
              <w:rPr>
                <w:sz w:val="20"/>
                <w:szCs w:val="20"/>
                <w:color w:val="auto"/>
              </w:rPr>
            </w:pPr>
            <w:r>
              <w:rPr>
                <w:rFonts w:ascii="Arial" w:cs="Arial" w:eastAsia="Arial" w:hAnsi="Arial"/>
                <w:sz w:val="14"/>
                <w:szCs w:val="14"/>
                <w:color w:val="auto"/>
              </w:rPr>
              <w:t>First-lien revolving loan</w:t>
            </w: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860" w:type="dxa"/>
            <w:vAlign w:val="bottom"/>
            <w:gridSpan w:val="2"/>
          </w:tcPr>
          <w:p>
            <w:pPr>
              <w:spacing w:after="0" w:line="159" w:lineRule="exact"/>
              <w:rPr>
                <w:sz w:val="20"/>
                <w:szCs w:val="20"/>
                <w:color w:val="auto"/>
              </w:rPr>
            </w:pPr>
            <w:r>
              <w:rPr>
                <w:rFonts w:ascii="Arial" w:cs="Arial" w:eastAsia="Arial" w:hAnsi="Arial"/>
                <w:sz w:val="14"/>
                <w:szCs w:val="14"/>
                <w:color w:val="auto"/>
              </w:rPr>
              <w:t>($555 par, due 6/2017)</w:t>
            </w:r>
          </w:p>
        </w:tc>
        <w:tc>
          <w:tcPr>
            <w:tcW w:w="106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10.00%</w:t>
            </w: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8/28/2012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413</w:t>
            </w:r>
          </w:p>
        </w:tc>
        <w:tc>
          <w:tcPr>
            <w:tcW w:w="138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431</w:t>
            </w: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8"/>
        </w:trPr>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Sage Automotive Interiors, Inc. </w:t>
            </w:r>
            <w:r>
              <w:rPr>
                <w:rFonts w:ascii="Arial" w:cs="Arial" w:eastAsia="Arial" w:hAnsi="Arial"/>
                <w:sz w:val="15"/>
                <w:szCs w:val="15"/>
                <w:color w:val="auto"/>
                <w:vertAlign w:val="superscript"/>
              </w:rPr>
              <w:t>(3)(4)(5)</w:t>
            </w:r>
          </w:p>
        </w:tc>
        <w:tc>
          <w:tcPr>
            <w:tcW w:w="1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loan ($19,878 par,</w:t>
            </w: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12/2016)</w:t>
            </w:r>
          </w:p>
        </w:tc>
        <w:tc>
          <w:tcPr>
            <w:tcW w:w="106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9.50%</w:t>
            </w: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w w:val="91"/>
              </w:rPr>
              <w:t>12/31/2012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19,717</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19,679</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58,128</w:t>
            </w: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58,185</w:t>
            </w:r>
          </w:p>
        </w:tc>
        <w:tc>
          <w:tcPr>
            <w:tcW w:w="38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Beverage, food and tobacco</w:t>
            </w:r>
          </w:p>
        </w:tc>
        <w:tc>
          <w:tcPr>
            <w:tcW w:w="1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5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AFS Technologies, Inc. </w:t>
            </w:r>
            <w:r>
              <w:rPr>
                <w:rFonts w:ascii="Arial" w:cs="Arial" w:eastAsia="Arial" w:hAnsi="Arial"/>
                <w:sz w:val="15"/>
                <w:szCs w:val="15"/>
                <w:color w:val="auto"/>
                <w:vertAlign w:val="superscript"/>
              </w:rPr>
              <w:t>(3)(4)(5)</w:t>
            </w:r>
          </w:p>
        </w:tc>
        <w:tc>
          <w:tcPr>
            <w:tcW w:w="1860" w:type="dxa"/>
            <w:vAlign w:val="bottom"/>
            <w:gridSpan w:val="2"/>
          </w:tcPr>
          <w:p>
            <w:pPr>
              <w:spacing w:after="0" w:line="138" w:lineRule="exact"/>
              <w:rPr>
                <w:sz w:val="20"/>
                <w:szCs w:val="20"/>
                <w:color w:val="auto"/>
              </w:rPr>
            </w:pPr>
            <w:r>
              <w:rPr>
                <w:rFonts w:ascii="Arial" w:cs="Arial" w:eastAsia="Arial" w:hAnsi="Arial"/>
                <w:sz w:val="14"/>
                <w:szCs w:val="14"/>
                <w:color w:val="auto"/>
              </w:rPr>
              <w:t>First-lien loan ($46,884 par,</w:t>
            </w: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860" w:type="dxa"/>
            <w:vAlign w:val="bottom"/>
            <w:gridSpan w:val="2"/>
          </w:tcPr>
          <w:p>
            <w:pPr>
              <w:spacing w:after="0" w:line="159" w:lineRule="exact"/>
              <w:rPr>
                <w:sz w:val="20"/>
                <w:szCs w:val="20"/>
                <w:color w:val="auto"/>
              </w:rPr>
            </w:pPr>
            <w:r>
              <w:rPr>
                <w:rFonts w:ascii="Arial" w:cs="Arial" w:eastAsia="Arial" w:hAnsi="Arial"/>
                <w:sz w:val="14"/>
                <w:szCs w:val="14"/>
                <w:color w:val="auto"/>
              </w:rPr>
              <w:t>due 8/2015)</w:t>
            </w:r>
          </w:p>
        </w:tc>
        <w:tc>
          <w:tcPr>
            <w:tcW w:w="106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7.75%</w:t>
            </w: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8/31/2011</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45,987</w:t>
            </w:r>
          </w:p>
        </w:tc>
        <w:tc>
          <w:tcPr>
            <w:tcW w:w="138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46,532</w:t>
            </w: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38"/>
        </w:trPr>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Checkers Drive-In Restaurants, Inc. </w:t>
            </w:r>
            <w:r>
              <w:rPr>
                <w:rFonts w:ascii="Arial" w:cs="Arial" w:eastAsia="Arial" w:hAnsi="Arial"/>
                <w:sz w:val="15"/>
                <w:szCs w:val="15"/>
                <w:color w:val="auto"/>
                <w:vertAlign w:val="superscript"/>
              </w:rPr>
              <w:t>(5)</w:t>
            </w:r>
          </w:p>
        </w:tc>
        <w:tc>
          <w:tcPr>
            <w:tcW w:w="1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Second-lien bond ($10,000</w:t>
            </w: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par, due 12/2017)</w:t>
            </w:r>
          </w:p>
        </w:tc>
        <w:tc>
          <w:tcPr>
            <w:tcW w:w="106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11.00%</w:t>
            </w: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w w:val="91"/>
              </w:rPr>
              <w:t>11/16/2012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10,017</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10,025</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56,004</w:t>
            </w: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56,557</w:t>
            </w:r>
          </w:p>
        </w:tc>
        <w:tc>
          <w:tcPr>
            <w:tcW w:w="38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Business services</w:t>
            </w:r>
          </w:p>
        </w:tc>
        <w:tc>
          <w:tcPr>
            <w:tcW w:w="1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5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Consona Holdings, Inc. </w:t>
            </w:r>
            <w:r>
              <w:rPr>
                <w:rFonts w:ascii="Arial" w:cs="Arial" w:eastAsia="Arial" w:hAnsi="Arial"/>
                <w:sz w:val="15"/>
                <w:szCs w:val="15"/>
                <w:color w:val="auto"/>
                <w:vertAlign w:val="superscript"/>
              </w:rPr>
              <w:t>(3)(5)</w:t>
            </w:r>
          </w:p>
        </w:tc>
        <w:tc>
          <w:tcPr>
            <w:tcW w:w="1860" w:type="dxa"/>
            <w:vAlign w:val="bottom"/>
            <w:gridSpan w:val="2"/>
          </w:tcPr>
          <w:p>
            <w:pPr>
              <w:spacing w:after="0" w:line="138" w:lineRule="exact"/>
              <w:rPr>
                <w:sz w:val="20"/>
                <w:szCs w:val="20"/>
                <w:color w:val="auto"/>
              </w:rPr>
            </w:pPr>
            <w:r>
              <w:rPr>
                <w:rFonts w:ascii="Arial" w:cs="Arial" w:eastAsia="Arial" w:hAnsi="Arial"/>
                <w:sz w:val="14"/>
                <w:szCs w:val="14"/>
                <w:color w:val="auto"/>
              </w:rPr>
              <w:t>First-lien loan ($29,925 par,</w:t>
            </w: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860" w:type="dxa"/>
            <w:vAlign w:val="bottom"/>
            <w:gridSpan w:val="2"/>
          </w:tcPr>
          <w:p>
            <w:pPr>
              <w:spacing w:after="0" w:line="159" w:lineRule="exact"/>
              <w:rPr>
                <w:sz w:val="20"/>
                <w:szCs w:val="20"/>
                <w:color w:val="auto"/>
              </w:rPr>
            </w:pPr>
            <w:r>
              <w:rPr>
                <w:rFonts w:ascii="Arial" w:cs="Arial" w:eastAsia="Arial" w:hAnsi="Arial"/>
                <w:sz w:val="14"/>
                <w:szCs w:val="14"/>
                <w:color w:val="auto"/>
              </w:rPr>
              <w:t>due 8/2018)</w:t>
            </w:r>
          </w:p>
        </w:tc>
        <w:tc>
          <w:tcPr>
            <w:tcW w:w="106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7.25%</w:t>
            </w: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8/13/2012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29,514</w:t>
            </w:r>
          </w:p>
        </w:tc>
        <w:tc>
          <w:tcPr>
            <w:tcW w:w="138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29,925</w:t>
            </w: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8"/>
        </w:trPr>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Attachmate Corporation </w:t>
            </w:r>
            <w:r>
              <w:rPr>
                <w:rFonts w:ascii="Arial" w:cs="Arial" w:eastAsia="Arial" w:hAnsi="Arial"/>
                <w:sz w:val="15"/>
                <w:szCs w:val="15"/>
                <w:color w:val="auto"/>
                <w:vertAlign w:val="superscript"/>
              </w:rPr>
              <w:t>(3)(5)</w:t>
            </w:r>
          </w:p>
        </w:tc>
        <w:tc>
          <w:tcPr>
            <w:tcW w:w="1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loan ($926 par,</w:t>
            </w: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11/2017)</w:t>
            </w:r>
          </w:p>
        </w:tc>
        <w:tc>
          <w:tcPr>
            <w:tcW w:w="106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7.25%</w:t>
            </w: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6/25/2012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944</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894</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30,458</w:t>
            </w:r>
          </w:p>
        </w:tc>
        <w:tc>
          <w:tcPr>
            <w:tcW w:w="3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30,819</w:t>
            </w:r>
          </w:p>
        </w:tc>
        <w:tc>
          <w:tcPr>
            <w:tcW w:w="380" w:type="dxa"/>
            <w:vAlign w:val="bottom"/>
          </w:tcPr>
          <w:p>
            <w:pPr>
              <w:spacing w:after="0"/>
              <w:rPr>
                <w:sz w:val="13"/>
                <w:szCs w:val="13"/>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75"/>
        </w:trPr>
        <w:tc>
          <w:tcPr>
            <w:tcW w:w="760" w:type="dxa"/>
            <w:vAlign w:val="bottom"/>
          </w:tcPr>
          <w:p>
            <w:pPr>
              <w:spacing w:after="0"/>
              <w:rPr>
                <w:sz w:val="6"/>
                <w:szCs w:val="6"/>
                <w:color w:val="auto"/>
              </w:rPr>
            </w:pPr>
          </w:p>
        </w:tc>
        <w:tc>
          <w:tcPr>
            <w:tcW w:w="37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Capital equipment</w:t>
            </w:r>
          </w:p>
        </w:tc>
        <w:tc>
          <w:tcPr>
            <w:tcW w:w="1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5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Federal Signal Corporation </w:t>
            </w:r>
            <w:r>
              <w:rPr>
                <w:rFonts w:ascii="Arial" w:cs="Arial" w:eastAsia="Arial" w:hAnsi="Arial"/>
                <w:sz w:val="15"/>
                <w:szCs w:val="15"/>
                <w:color w:val="auto"/>
                <w:vertAlign w:val="superscript"/>
              </w:rPr>
              <w:t>(3)(5)</w:t>
            </w:r>
          </w:p>
        </w:tc>
        <w:tc>
          <w:tcPr>
            <w:tcW w:w="1860" w:type="dxa"/>
            <w:vAlign w:val="bottom"/>
            <w:gridSpan w:val="2"/>
          </w:tcPr>
          <w:p>
            <w:pPr>
              <w:spacing w:after="0" w:line="138" w:lineRule="exact"/>
              <w:rPr>
                <w:sz w:val="20"/>
                <w:szCs w:val="20"/>
                <w:color w:val="auto"/>
              </w:rPr>
            </w:pPr>
            <w:r>
              <w:rPr>
                <w:rFonts w:ascii="Arial" w:cs="Arial" w:eastAsia="Arial" w:hAnsi="Arial"/>
                <w:sz w:val="14"/>
                <w:szCs w:val="14"/>
                <w:color w:val="auto"/>
              </w:rPr>
              <w:t>First-lien loan ($41,608 par,</w:t>
            </w: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860" w:type="dxa"/>
            <w:vAlign w:val="bottom"/>
            <w:gridSpan w:val="2"/>
          </w:tcPr>
          <w:p>
            <w:pPr>
              <w:spacing w:after="0" w:line="159" w:lineRule="exact"/>
              <w:rPr>
                <w:sz w:val="20"/>
                <w:szCs w:val="20"/>
                <w:color w:val="auto"/>
              </w:rPr>
            </w:pPr>
            <w:r>
              <w:rPr>
                <w:rFonts w:ascii="Arial" w:cs="Arial" w:eastAsia="Arial" w:hAnsi="Arial"/>
                <w:sz w:val="14"/>
                <w:szCs w:val="14"/>
                <w:color w:val="auto"/>
              </w:rPr>
              <w:t>due 2/2017)</w:t>
            </w:r>
          </w:p>
        </w:tc>
        <w:tc>
          <w:tcPr>
            <w:tcW w:w="106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12.00%</w:t>
            </w: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2/22/2012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40,897</w:t>
            </w:r>
          </w:p>
        </w:tc>
        <w:tc>
          <w:tcPr>
            <w:tcW w:w="138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43,064</w:t>
            </w: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38"/>
        </w:trPr>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International Equipment Solutions, Inc. </w:t>
            </w:r>
            <w:r>
              <w:rPr>
                <w:rFonts w:ascii="Arial" w:cs="Arial" w:eastAsia="Arial" w:hAnsi="Arial"/>
                <w:sz w:val="15"/>
                <w:szCs w:val="15"/>
                <w:color w:val="auto"/>
                <w:vertAlign w:val="superscript"/>
              </w:rPr>
              <w:t>(3)(5)</w:t>
            </w:r>
          </w:p>
        </w:tc>
        <w:tc>
          <w:tcPr>
            <w:tcW w:w="1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loan ($29,391 par,</w:t>
            </w: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9/2016)</w:t>
            </w:r>
          </w:p>
        </w:tc>
        <w:tc>
          <w:tcPr>
            <w:tcW w:w="106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8.50%</w:t>
            </w: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9/18/2012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28,732</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28,876</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69,629</w:t>
            </w: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71,940</w:t>
            </w:r>
          </w:p>
        </w:tc>
        <w:tc>
          <w:tcPr>
            <w:tcW w:w="38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Construction and building</w:t>
            </w:r>
          </w:p>
        </w:tc>
        <w:tc>
          <w:tcPr>
            <w:tcW w:w="1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5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Mannington Mills, Inc. </w:t>
            </w:r>
            <w:r>
              <w:rPr>
                <w:rFonts w:ascii="Arial" w:cs="Arial" w:eastAsia="Arial" w:hAnsi="Arial"/>
                <w:sz w:val="15"/>
                <w:szCs w:val="15"/>
                <w:color w:val="auto"/>
                <w:vertAlign w:val="superscript"/>
              </w:rPr>
              <w:t>(3)(5)</w:t>
            </w:r>
          </w:p>
        </w:tc>
        <w:tc>
          <w:tcPr>
            <w:tcW w:w="1860" w:type="dxa"/>
            <w:vAlign w:val="bottom"/>
            <w:gridSpan w:val="2"/>
          </w:tcPr>
          <w:p>
            <w:pPr>
              <w:spacing w:after="0" w:line="138" w:lineRule="exact"/>
              <w:rPr>
                <w:sz w:val="20"/>
                <w:szCs w:val="20"/>
                <w:color w:val="auto"/>
              </w:rPr>
            </w:pPr>
            <w:r>
              <w:rPr>
                <w:rFonts w:ascii="Arial" w:cs="Arial" w:eastAsia="Arial" w:hAnsi="Arial"/>
                <w:sz w:val="14"/>
                <w:szCs w:val="14"/>
                <w:color w:val="auto"/>
              </w:rPr>
              <w:t>Second-lien loan ($50,537</w:t>
            </w:r>
          </w:p>
        </w:tc>
        <w:tc>
          <w:tcPr>
            <w:tcW w:w="1060" w:type="dxa"/>
            <w:vAlign w:val="bottom"/>
            <w:gridSpan w:val="2"/>
          </w:tcPr>
          <w:p>
            <w:pPr>
              <w:jc w:val="right"/>
              <w:ind w:right="360"/>
              <w:spacing w:after="0" w:line="138" w:lineRule="exact"/>
              <w:rPr>
                <w:sz w:val="20"/>
                <w:szCs w:val="20"/>
                <w:color w:val="auto"/>
              </w:rPr>
            </w:pPr>
            <w:r>
              <w:rPr>
                <w:rFonts w:ascii="Arial" w:cs="Arial" w:eastAsia="Arial" w:hAnsi="Arial"/>
                <w:sz w:val="14"/>
                <w:szCs w:val="14"/>
                <w:color w:val="auto"/>
              </w:rPr>
              <w:t>14.00%</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par, due 3/2017)</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2"/>
              </w:rPr>
              <w:t>(incl. 2.00%</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rPr>
              <w:t>PIK)</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3/2/2012</w:t>
            </w:r>
          </w:p>
        </w:tc>
        <w:tc>
          <w:tcPr>
            <w:tcW w:w="620" w:type="dxa"/>
            <w:vAlign w:val="bottom"/>
          </w:tcPr>
          <w:p>
            <w:pPr>
              <w:jc w:val="right"/>
              <w:spacing w:after="0"/>
              <w:rPr>
                <w:sz w:val="20"/>
                <w:szCs w:val="20"/>
                <w:color w:val="auto"/>
              </w:rPr>
            </w:pPr>
            <w:r>
              <w:rPr>
                <w:rFonts w:ascii="Arial" w:cs="Arial" w:eastAsia="Arial" w:hAnsi="Arial"/>
                <w:sz w:val="14"/>
                <w:szCs w:val="14"/>
                <w:color w:val="auto"/>
              </w:rPr>
              <w:t>49,551</w:t>
            </w:r>
          </w:p>
        </w:tc>
        <w:tc>
          <w:tcPr>
            <w:tcW w:w="1380" w:type="dxa"/>
            <w:vAlign w:val="bottom"/>
            <w:gridSpan w:val="3"/>
          </w:tcPr>
          <w:p>
            <w:pPr>
              <w:jc w:val="right"/>
              <w:ind w:right="380"/>
              <w:spacing w:after="0"/>
              <w:rPr>
                <w:sz w:val="20"/>
                <w:szCs w:val="20"/>
                <w:color w:val="auto"/>
              </w:rPr>
            </w:pPr>
            <w:r>
              <w:rPr>
                <w:rFonts w:ascii="Arial" w:cs="Arial" w:eastAsia="Arial" w:hAnsi="Arial"/>
                <w:sz w:val="14"/>
                <w:szCs w:val="14"/>
                <w:color w:val="auto"/>
              </w:rPr>
              <w:t>53,190</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Environmental Services</w:t>
            </w:r>
          </w:p>
        </w:tc>
        <w:tc>
          <w:tcPr>
            <w:tcW w:w="1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5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Synagro Technologies, Inc. </w:t>
            </w:r>
            <w:r>
              <w:rPr>
                <w:rFonts w:ascii="Arial" w:cs="Arial" w:eastAsia="Arial" w:hAnsi="Arial"/>
                <w:sz w:val="15"/>
                <w:szCs w:val="15"/>
                <w:color w:val="auto"/>
                <w:vertAlign w:val="superscript"/>
              </w:rPr>
              <w:t>(3)</w:t>
            </w:r>
          </w:p>
        </w:tc>
        <w:tc>
          <w:tcPr>
            <w:tcW w:w="1860" w:type="dxa"/>
            <w:vAlign w:val="bottom"/>
            <w:gridSpan w:val="2"/>
          </w:tcPr>
          <w:p>
            <w:pPr>
              <w:spacing w:after="0" w:line="138" w:lineRule="exact"/>
              <w:rPr>
                <w:sz w:val="20"/>
                <w:szCs w:val="20"/>
                <w:color w:val="auto"/>
              </w:rPr>
            </w:pPr>
            <w:r>
              <w:rPr>
                <w:rFonts w:ascii="Arial" w:cs="Arial" w:eastAsia="Arial" w:hAnsi="Arial"/>
                <w:sz w:val="14"/>
                <w:szCs w:val="14"/>
                <w:color w:val="auto"/>
              </w:rPr>
              <w:t>First-lien loan ($3,134 par,</w:t>
            </w: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860" w:type="dxa"/>
            <w:vAlign w:val="bottom"/>
            <w:gridSpan w:val="2"/>
          </w:tcPr>
          <w:p>
            <w:pPr>
              <w:spacing w:after="0" w:line="159" w:lineRule="exact"/>
              <w:rPr>
                <w:sz w:val="20"/>
                <w:szCs w:val="20"/>
                <w:color w:val="auto"/>
              </w:rPr>
            </w:pPr>
            <w:r>
              <w:rPr>
                <w:rFonts w:ascii="Arial" w:cs="Arial" w:eastAsia="Arial" w:hAnsi="Arial"/>
                <w:sz w:val="14"/>
                <w:szCs w:val="14"/>
                <w:color w:val="auto"/>
              </w:rPr>
              <w:t>due 10/2014)</w:t>
            </w:r>
          </w:p>
        </w:tc>
        <w:tc>
          <w:tcPr>
            <w:tcW w:w="106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2.31%</w:t>
            </w: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11/8/2012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2,759</w:t>
            </w:r>
          </w:p>
        </w:tc>
        <w:tc>
          <w:tcPr>
            <w:tcW w:w="138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2,813</w:t>
            </w: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8"/>
        </w:trPr>
        <w:tc>
          <w:tcPr>
            <w:tcW w:w="760" w:type="dxa"/>
            <w:vAlign w:val="bottom"/>
            <w:shd w:val="clear" w:color="auto" w:fill="CCEEFF"/>
          </w:tcPr>
          <w:p>
            <w:pPr>
              <w:spacing w:after="0"/>
              <w:rPr>
                <w:sz w:val="11"/>
                <w:szCs w:val="11"/>
                <w:color w:val="auto"/>
              </w:rPr>
            </w:pPr>
          </w:p>
        </w:tc>
        <w:tc>
          <w:tcPr>
            <w:tcW w:w="378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Second-lien loan ($5,670</w:t>
            </w: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par, due 10/2014)</w:t>
            </w:r>
          </w:p>
        </w:tc>
        <w:tc>
          <w:tcPr>
            <w:tcW w:w="106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7.00%</w:t>
            </w: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9/14/2012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2,814</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1,517</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5,573</w:t>
            </w: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4,330</w:t>
            </w:r>
          </w:p>
        </w:tc>
        <w:tc>
          <w:tcPr>
            <w:tcW w:w="38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Financial services</w:t>
            </w:r>
          </w:p>
        </w:tc>
        <w:tc>
          <w:tcPr>
            <w:tcW w:w="1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5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Embarcadero Technologies, Inc. </w:t>
            </w:r>
            <w:r>
              <w:rPr>
                <w:rFonts w:ascii="Arial" w:cs="Arial" w:eastAsia="Arial" w:hAnsi="Arial"/>
                <w:sz w:val="15"/>
                <w:szCs w:val="15"/>
                <w:color w:val="auto"/>
                <w:vertAlign w:val="superscript"/>
              </w:rPr>
              <w:t>(3)(4)(5)</w:t>
            </w:r>
          </w:p>
        </w:tc>
        <w:tc>
          <w:tcPr>
            <w:tcW w:w="1860" w:type="dxa"/>
            <w:vAlign w:val="bottom"/>
            <w:gridSpan w:val="2"/>
          </w:tcPr>
          <w:p>
            <w:pPr>
              <w:spacing w:after="0" w:line="138" w:lineRule="exact"/>
              <w:rPr>
                <w:sz w:val="20"/>
                <w:szCs w:val="20"/>
                <w:color w:val="auto"/>
              </w:rPr>
            </w:pPr>
            <w:r>
              <w:rPr>
                <w:rFonts w:ascii="Arial" w:cs="Arial" w:eastAsia="Arial" w:hAnsi="Arial"/>
                <w:sz w:val="14"/>
                <w:szCs w:val="14"/>
                <w:color w:val="auto"/>
              </w:rPr>
              <w:t>First-lien loan ($59,714 par,</w:t>
            </w: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860" w:type="dxa"/>
            <w:vAlign w:val="bottom"/>
            <w:gridSpan w:val="2"/>
          </w:tcPr>
          <w:p>
            <w:pPr>
              <w:spacing w:after="0" w:line="159" w:lineRule="exact"/>
              <w:rPr>
                <w:sz w:val="20"/>
                <w:szCs w:val="20"/>
                <w:color w:val="auto"/>
              </w:rPr>
            </w:pPr>
            <w:r>
              <w:rPr>
                <w:rFonts w:ascii="Arial" w:cs="Arial" w:eastAsia="Arial" w:hAnsi="Arial"/>
                <w:sz w:val="14"/>
                <w:szCs w:val="14"/>
                <w:color w:val="auto"/>
              </w:rPr>
              <w:t>due 12/2017)</w:t>
            </w:r>
          </w:p>
        </w:tc>
        <w:tc>
          <w:tcPr>
            <w:tcW w:w="106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8.00%</w:t>
            </w: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91"/>
              </w:rPr>
              <w:t>12/28/2012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58,223</w:t>
            </w:r>
          </w:p>
        </w:tc>
        <w:tc>
          <w:tcPr>
            <w:tcW w:w="138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58,221</w:t>
            </w: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38"/>
        </w:trPr>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Rogue Wave Holdings, Inc. </w:t>
            </w:r>
            <w:r>
              <w:rPr>
                <w:rFonts w:ascii="Arial" w:cs="Arial" w:eastAsia="Arial" w:hAnsi="Arial"/>
                <w:sz w:val="15"/>
                <w:szCs w:val="15"/>
                <w:color w:val="auto"/>
                <w:vertAlign w:val="superscript"/>
              </w:rPr>
              <w:t>(3)(4)(5)</w:t>
            </w:r>
          </w:p>
        </w:tc>
        <w:tc>
          <w:tcPr>
            <w:tcW w:w="1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loan ($40,000 par,</w:t>
            </w: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11/2017)</w:t>
            </w:r>
          </w:p>
        </w:tc>
        <w:tc>
          <w:tcPr>
            <w:tcW w:w="106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8.25%</w:t>
            </w: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w w:val="91"/>
              </w:rPr>
              <w:t>11/21/2012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38,947</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39,600</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97,170</w:t>
            </w:r>
          </w:p>
        </w:tc>
        <w:tc>
          <w:tcPr>
            <w:tcW w:w="3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97,821</w:t>
            </w:r>
          </w:p>
        </w:tc>
        <w:tc>
          <w:tcPr>
            <w:tcW w:w="380" w:type="dxa"/>
            <w:vAlign w:val="bottom"/>
          </w:tcPr>
          <w:p>
            <w:pPr>
              <w:spacing w:after="0"/>
              <w:rPr>
                <w:sz w:val="13"/>
                <w:szCs w:val="13"/>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Interest</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Acquisition</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82"/>
        </w:trPr>
        <w:tc>
          <w:tcPr>
            <w:tcW w:w="5000" w:type="dxa"/>
            <w:vAlign w:val="bottom"/>
            <w:gridSpan w:val="3"/>
            <w:vMerge w:val="continue"/>
          </w:tcPr>
          <w:p>
            <w:pPr>
              <w:spacing w:after="0"/>
              <w:rPr>
                <w:sz w:val="15"/>
                <w:szCs w:val="15"/>
                <w:color w:val="auto"/>
              </w:rPr>
            </w:pPr>
          </w:p>
        </w:tc>
        <w:tc>
          <w:tcPr>
            <w:tcW w:w="1820" w:type="dxa"/>
            <w:vAlign w:val="bottom"/>
            <w:gridSpan w:val="2"/>
          </w:tcPr>
          <w:p>
            <w:pPr>
              <w:ind w:left="480"/>
              <w:spacing w:after="0"/>
              <w:rPr>
                <w:sz w:val="20"/>
                <w:szCs w:val="20"/>
                <w:color w:val="auto"/>
              </w:rPr>
            </w:pPr>
            <w:r>
              <w:rPr>
                <w:rFonts w:ascii="Arial" w:cs="Arial" w:eastAsia="Arial" w:hAnsi="Arial"/>
                <w:sz w:val="14"/>
                <w:szCs w:val="14"/>
                <w:b w:val="1"/>
                <w:bCs w:val="1"/>
                <w:color w:val="auto"/>
              </w:rPr>
              <w:t>Investment</w:t>
            </w: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Rate</w:t>
            </w: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5"/>
                <w:szCs w:val="15"/>
                <w:color w:val="auto"/>
              </w:rPr>
            </w:pPr>
          </w:p>
        </w:tc>
        <w:tc>
          <w:tcPr>
            <w:tcW w:w="820" w:type="dxa"/>
            <w:vAlign w:val="bottom"/>
            <w:gridSpan w:val="2"/>
          </w:tcPr>
          <w:p>
            <w:pPr>
              <w:jc w:val="right"/>
              <w:ind w:right="360"/>
              <w:spacing w:after="0" w:line="162" w:lineRule="exact"/>
              <w:rPr>
                <w:sz w:val="20"/>
                <w:szCs w:val="20"/>
                <w:color w:val="auto"/>
              </w:rPr>
            </w:pPr>
            <w:r>
              <w:rPr>
                <w:rFonts w:ascii="Arial" w:cs="Arial" w:eastAsia="Arial" w:hAnsi="Arial"/>
                <w:sz w:val="12"/>
                <w:szCs w:val="12"/>
                <w:b w:val="1"/>
                <w:bCs w:val="1"/>
                <w:color w:val="auto"/>
                <w:w w:val="98"/>
              </w:rPr>
              <w:t xml:space="preserve">Cost </w:t>
            </w:r>
            <w:r>
              <w:rPr>
                <w:rFonts w:ascii="Arial" w:cs="Arial" w:eastAsia="Arial" w:hAnsi="Arial"/>
                <w:sz w:val="18"/>
                <w:szCs w:val="18"/>
                <w:b w:val="1"/>
                <w:bCs w:val="1"/>
                <w:color w:val="auto"/>
                <w:w w:val="98"/>
                <w:vertAlign w:val="superscript"/>
              </w:rPr>
              <w:t>(2)</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4240" w:type="dxa"/>
            <w:vAlign w:val="bottom"/>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Healthcare and pharmaceuticals</w:t>
            </w:r>
          </w:p>
        </w:tc>
        <w:tc>
          <w:tcPr>
            <w:tcW w:w="1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eResearch Technology, Inc. </w:t>
            </w:r>
            <w:r>
              <w:rPr>
                <w:rFonts w:ascii="Arial" w:cs="Arial" w:eastAsia="Arial" w:hAnsi="Arial"/>
                <w:sz w:val="15"/>
                <w:szCs w:val="15"/>
                <w:color w:val="auto"/>
                <w:vertAlign w:val="superscript"/>
              </w:rPr>
              <w:t>(3)(5)</w:t>
            </w:r>
          </w:p>
        </w:tc>
        <w:tc>
          <w:tcPr>
            <w:tcW w:w="1820" w:type="dxa"/>
            <w:vAlign w:val="bottom"/>
            <w:gridSpan w:val="2"/>
          </w:tcPr>
          <w:p>
            <w:pPr>
              <w:spacing w:after="0" w:line="138" w:lineRule="exact"/>
              <w:rPr>
                <w:sz w:val="20"/>
                <w:szCs w:val="20"/>
                <w:color w:val="auto"/>
              </w:rPr>
            </w:pPr>
            <w:r>
              <w:rPr>
                <w:rFonts w:ascii="Arial" w:cs="Arial" w:eastAsia="Arial" w:hAnsi="Arial"/>
                <w:sz w:val="14"/>
                <w:szCs w:val="14"/>
                <w:color w:val="auto"/>
              </w:rPr>
              <w:t>First-lien loan ($24,937 par,</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820" w:type="dxa"/>
            <w:vAlign w:val="bottom"/>
            <w:gridSpan w:val="2"/>
          </w:tcPr>
          <w:p>
            <w:pPr>
              <w:spacing w:after="0" w:line="159" w:lineRule="exact"/>
              <w:rPr>
                <w:sz w:val="20"/>
                <w:szCs w:val="20"/>
                <w:color w:val="auto"/>
              </w:rPr>
            </w:pPr>
            <w:r>
              <w:rPr>
                <w:rFonts w:ascii="Arial" w:cs="Arial" w:eastAsia="Arial" w:hAnsi="Arial"/>
                <w:sz w:val="14"/>
                <w:szCs w:val="14"/>
                <w:color w:val="auto"/>
              </w:rPr>
              <w:t>due 5/2018)</w:t>
            </w:r>
          </w:p>
        </w:tc>
        <w:tc>
          <w:tcPr>
            <w:tcW w:w="9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8.00%</w:t>
            </w: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7/3/2012</w:t>
            </w:r>
          </w:p>
        </w:tc>
        <w:tc>
          <w:tcPr>
            <w:tcW w:w="8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24,006</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24,626</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Mediware Information Systems, Inc. </w:t>
            </w:r>
            <w:r>
              <w:rPr>
                <w:rFonts w:ascii="Arial" w:cs="Arial" w:eastAsia="Arial" w:hAnsi="Arial"/>
                <w:sz w:val="15"/>
                <w:szCs w:val="15"/>
                <w:color w:val="auto"/>
                <w:vertAlign w:val="superscript"/>
              </w:rPr>
              <w:t>(3)(4)(5)</w:t>
            </w:r>
          </w:p>
        </w:tc>
        <w:tc>
          <w:tcPr>
            <w:tcW w:w="1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loan ($50,500 par,</w:t>
            </w: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5/2018)</w:t>
            </w:r>
          </w:p>
        </w:tc>
        <w:tc>
          <w:tcPr>
            <w:tcW w:w="9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11/9/2012</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49,230</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49,218</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SRS Software, LLC </w:t>
            </w:r>
            <w:r>
              <w:rPr>
                <w:rFonts w:ascii="Arial" w:cs="Arial" w:eastAsia="Arial" w:hAnsi="Arial"/>
                <w:sz w:val="15"/>
                <w:szCs w:val="15"/>
                <w:color w:val="auto"/>
                <w:vertAlign w:val="superscript"/>
              </w:rPr>
              <w:t>(3)(5)</w:t>
            </w:r>
          </w:p>
        </w:tc>
        <w:tc>
          <w:tcPr>
            <w:tcW w:w="1820" w:type="dxa"/>
            <w:vAlign w:val="bottom"/>
            <w:gridSpan w:val="2"/>
          </w:tcPr>
          <w:p>
            <w:pPr>
              <w:spacing w:after="0" w:line="138" w:lineRule="exact"/>
              <w:rPr>
                <w:sz w:val="20"/>
                <w:szCs w:val="20"/>
                <w:color w:val="auto"/>
              </w:rPr>
            </w:pPr>
            <w:r>
              <w:rPr>
                <w:rFonts w:ascii="Arial" w:cs="Arial" w:eastAsia="Arial" w:hAnsi="Arial"/>
                <w:sz w:val="14"/>
                <w:szCs w:val="14"/>
                <w:color w:val="auto"/>
              </w:rPr>
              <w:t>First-lien loan ($37,500 par,</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820" w:type="dxa"/>
            <w:vAlign w:val="bottom"/>
            <w:gridSpan w:val="2"/>
          </w:tcPr>
          <w:p>
            <w:pPr>
              <w:spacing w:after="0" w:line="159" w:lineRule="exact"/>
              <w:rPr>
                <w:sz w:val="20"/>
                <w:szCs w:val="20"/>
                <w:color w:val="auto"/>
              </w:rPr>
            </w:pPr>
            <w:r>
              <w:rPr>
                <w:rFonts w:ascii="Arial" w:cs="Arial" w:eastAsia="Arial" w:hAnsi="Arial"/>
                <w:sz w:val="14"/>
                <w:szCs w:val="14"/>
                <w:color w:val="auto"/>
              </w:rPr>
              <w:t>due 12/2017)</w:t>
            </w:r>
          </w:p>
        </w:tc>
        <w:tc>
          <w:tcPr>
            <w:tcW w:w="9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8.75%</w:t>
            </w: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1"/>
              </w:rPr>
              <w:t>12/28/2012</w:t>
            </w:r>
          </w:p>
        </w:tc>
        <w:tc>
          <w:tcPr>
            <w:tcW w:w="8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36,439</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36,563</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109,675</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4"/>
              </w:rPr>
              <w:t>110,407</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40" w:type="dxa"/>
            <w:vAlign w:val="bottom"/>
          </w:tcPr>
          <w:p>
            <w:pPr>
              <w:ind w:left="120"/>
              <w:spacing w:after="0"/>
              <w:rPr>
                <w:sz w:val="20"/>
                <w:szCs w:val="20"/>
                <w:color w:val="auto"/>
              </w:rPr>
            </w:pPr>
            <w:r>
              <w:rPr>
                <w:rFonts w:ascii="Arial" w:cs="Arial" w:eastAsia="Arial" w:hAnsi="Arial"/>
                <w:sz w:val="14"/>
                <w:szCs w:val="14"/>
                <w:b w:val="1"/>
                <w:bCs w:val="1"/>
                <w:color w:val="auto"/>
              </w:rPr>
              <w:t>Hotel, gaming, and leisure</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 xml:space="preserve">Mandalay Baseball Properties, LLC </w:t>
            </w:r>
            <w:r>
              <w:rPr>
                <w:rFonts w:ascii="Arial" w:cs="Arial" w:eastAsia="Arial" w:hAnsi="Arial"/>
                <w:sz w:val="16"/>
                <w:szCs w:val="16"/>
                <w:color w:val="auto"/>
                <w:vertAlign w:val="superscript"/>
              </w:rPr>
              <w:t>(3)(5)</w:t>
            </w:r>
          </w:p>
        </w:tc>
        <w:tc>
          <w:tcPr>
            <w:tcW w:w="18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First-lien loan ($28,414 par,</w:t>
            </w:r>
          </w:p>
        </w:tc>
        <w:tc>
          <w:tcPr>
            <w:tcW w:w="960" w:type="dxa"/>
            <w:vAlign w:val="bottom"/>
            <w:gridSpan w:val="2"/>
            <w:shd w:val="clear" w:color="auto" w:fill="CCEEFF"/>
          </w:tcPr>
          <w:p>
            <w:pPr>
              <w:jc w:val="right"/>
              <w:ind w:right="260"/>
              <w:spacing w:after="0" w:line="139" w:lineRule="exact"/>
              <w:rPr>
                <w:sz w:val="20"/>
                <w:szCs w:val="20"/>
                <w:color w:val="auto"/>
              </w:rPr>
            </w:pPr>
            <w:r>
              <w:rPr>
                <w:rFonts w:ascii="Arial" w:cs="Arial" w:eastAsia="Arial" w:hAnsi="Arial"/>
                <w:sz w:val="14"/>
                <w:szCs w:val="14"/>
                <w:color w:val="auto"/>
              </w:rPr>
              <w:t>12.00%</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4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due 3/2017)</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2"/>
              </w:rPr>
              <w:t>(incl. 4.00%</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PIK)</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4/12/2012</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27,684</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28,556</w:t>
            </w:r>
          </w:p>
        </w:tc>
        <w:tc>
          <w:tcPr>
            <w:tcW w:w="2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Arial" w:cs="Arial" w:eastAsia="Arial" w:hAnsi="Arial"/>
                <w:sz w:val="14"/>
                <w:szCs w:val="14"/>
                <w:b w:val="1"/>
                <w:bCs w:val="1"/>
                <w:color w:val="auto"/>
              </w:rPr>
              <w:t>Human resource support services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SumTotal Systems, LLC </w:t>
            </w:r>
            <w:r>
              <w:rPr>
                <w:rFonts w:ascii="Arial" w:cs="Arial" w:eastAsia="Arial" w:hAnsi="Arial"/>
                <w:sz w:val="15"/>
                <w:szCs w:val="15"/>
                <w:color w:val="auto"/>
                <w:vertAlign w:val="superscript"/>
              </w:rPr>
              <w:t>(3)</w:t>
            </w:r>
          </w:p>
        </w:tc>
        <w:tc>
          <w:tcPr>
            <w:tcW w:w="1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loan ($10,000 par,</w:t>
            </w: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11/2018)</w:t>
            </w:r>
          </w:p>
        </w:tc>
        <w:tc>
          <w:tcPr>
            <w:tcW w:w="9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6.25%</w:t>
            </w: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w w:val="91"/>
              </w:rPr>
              <w:t>11/16/2012</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9,867</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9,925</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820" w:type="dxa"/>
            <w:vAlign w:val="bottom"/>
            <w:gridSpan w:val="2"/>
          </w:tcPr>
          <w:p>
            <w:pPr>
              <w:spacing w:after="0" w:line="138" w:lineRule="exact"/>
              <w:rPr>
                <w:sz w:val="20"/>
                <w:szCs w:val="20"/>
                <w:color w:val="auto"/>
              </w:rPr>
            </w:pPr>
            <w:r>
              <w:rPr>
                <w:rFonts w:ascii="Arial" w:cs="Arial" w:eastAsia="Arial" w:hAnsi="Arial"/>
                <w:sz w:val="14"/>
                <w:szCs w:val="14"/>
                <w:color w:val="auto"/>
              </w:rPr>
              <w:t>Second-lien loan ($5,000</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820" w:type="dxa"/>
            <w:vAlign w:val="bottom"/>
            <w:gridSpan w:val="2"/>
          </w:tcPr>
          <w:p>
            <w:pPr>
              <w:spacing w:after="0" w:line="159" w:lineRule="exact"/>
              <w:rPr>
                <w:sz w:val="20"/>
                <w:szCs w:val="20"/>
                <w:color w:val="auto"/>
              </w:rPr>
            </w:pPr>
            <w:r>
              <w:rPr>
                <w:rFonts w:ascii="Arial" w:cs="Arial" w:eastAsia="Arial" w:hAnsi="Arial"/>
                <w:sz w:val="14"/>
                <w:szCs w:val="14"/>
                <w:color w:val="auto"/>
              </w:rPr>
              <w:t>par, due 5/2018)</w:t>
            </w:r>
          </w:p>
        </w:tc>
        <w:tc>
          <w:tcPr>
            <w:tcW w:w="9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10.25%</w:t>
            </w: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1"/>
              </w:rPr>
              <w:t>11/16/2012</w:t>
            </w:r>
          </w:p>
        </w:tc>
        <w:tc>
          <w:tcPr>
            <w:tcW w:w="8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4,950</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4,925</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14,817</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14,850</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4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Insurance</w:t>
            </w: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Infogix, Inc. </w:t>
            </w:r>
            <w:r>
              <w:rPr>
                <w:rFonts w:ascii="Arial" w:cs="Arial" w:eastAsia="Arial" w:hAnsi="Arial"/>
                <w:sz w:val="15"/>
                <w:szCs w:val="15"/>
                <w:color w:val="auto"/>
                <w:vertAlign w:val="superscript"/>
              </w:rPr>
              <w:t>(3)(5)</w:t>
            </w:r>
          </w:p>
        </w:tc>
        <w:tc>
          <w:tcPr>
            <w:tcW w:w="1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loan ($30,613 par,</w:t>
            </w: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6/2017)</w:t>
            </w:r>
          </w:p>
        </w:tc>
        <w:tc>
          <w:tcPr>
            <w:tcW w:w="9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10.00%</w:t>
            </w: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6/1/2012</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29,974</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30,346</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Office products</w:t>
            </w: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Ecommerce Industries, Inc. </w:t>
            </w:r>
            <w:r>
              <w:rPr>
                <w:rFonts w:ascii="Arial" w:cs="Arial" w:eastAsia="Arial" w:hAnsi="Arial"/>
                <w:sz w:val="15"/>
                <w:szCs w:val="15"/>
                <w:color w:val="auto"/>
                <w:vertAlign w:val="superscript"/>
              </w:rPr>
              <w:t>(3)(4)(5)</w:t>
            </w:r>
          </w:p>
        </w:tc>
        <w:tc>
          <w:tcPr>
            <w:tcW w:w="1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loan ($21,562 par,</w:t>
            </w: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10/2016)</w:t>
            </w:r>
          </w:p>
        </w:tc>
        <w:tc>
          <w:tcPr>
            <w:tcW w:w="9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w w:val="91"/>
              </w:rPr>
              <w:t>10/17/2011</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21,286</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21,808</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Transportation</w:t>
            </w: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Teletrac, Inc. </w:t>
            </w:r>
            <w:r>
              <w:rPr>
                <w:rFonts w:ascii="Arial" w:cs="Arial" w:eastAsia="Arial" w:hAnsi="Arial"/>
                <w:sz w:val="15"/>
                <w:szCs w:val="15"/>
                <w:color w:val="auto"/>
                <w:vertAlign w:val="superscript"/>
              </w:rPr>
              <w:t>(3)(4)(5)</w:t>
            </w:r>
          </w:p>
        </w:tc>
        <w:tc>
          <w:tcPr>
            <w:tcW w:w="1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loan ($17,413 par,</w:t>
            </w: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7/2017)</w:t>
            </w:r>
          </w:p>
        </w:tc>
        <w:tc>
          <w:tcPr>
            <w:tcW w:w="9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6.65%</w:t>
            </w: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7/23/2012</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17,049</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17,151</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 Debt Investments</w:t>
            </w: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gridSpan w:val="2"/>
            <w:vMerge w:val="continue"/>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642,421</w:t>
            </w:r>
          </w:p>
        </w:tc>
        <w:tc>
          <w:tcPr>
            <w:tcW w:w="120" w:type="dxa"/>
            <w:vAlign w:val="bottom"/>
          </w:tcPr>
          <w:p>
            <w:pPr>
              <w:spacing w:after="0"/>
              <w:rPr>
                <w:sz w:val="14"/>
                <w:szCs w:val="14"/>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651,944</w:t>
            </w:r>
          </w:p>
        </w:tc>
        <w:tc>
          <w:tcPr>
            <w:tcW w:w="28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 Investment</w:t>
            </w: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40" w:type="dxa"/>
            <w:vAlign w:val="bottom"/>
          </w:tcPr>
          <w:p>
            <w:pPr>
              <w:ind w:left="120"/>
              <w:spacing w:after="0"/>
              <w:rPr>
                <w:sz w:val="20"/>
                <w:szCs w:val="20"/>
                <w:color w:val="auto"/>
              </w:rPr>
            </w:pPr>
            <w:r>
              <w:rPr>
                <w:rFonts w:ascii="Arial" w:cs="Arial" w:eastAsia="Arial" w:hAnsi="Arial"/>
                <w:sz w:val="14"/>
                <w:szCs w:val="14"/>
                <w:b w:val="1"/>
                <w:bCs w:val="1"/>
                <w:color w:val="auto"/>
              </w:rPr>
              <w:t>Healthcare and pharmaceuticals</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SRS Parent Corp.</w:t>
            </w:r>
          </w:p>
        </w:tc>
        <w:tc>
          <w:tcPr>
            <w:tcW w:w="18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Common Shares Class A</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(1,980 shares)</w:t>
            </w: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w w:val="91"/>
              </w:rPr>
              <w:t>12/28/2012</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1,980</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1,980</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820" w:type="dxa"/>
            <w:vAlign w:val="bottom"/>
            <w:gridSpan w:val="2"/>
          </w:tcPr>
          <w:p>
            <w:pPr>
              <w:spacing w:after="0" w:line="138" w:lineRule="exact"/>
              <w:rPr>
                <w:sz w:val="20"/>
                <w:szCs w:val="20"/>
                <w:color w:val="auto"/>
              </w:rPr>
            </w:pPr>
            <w:r>
              <w:rPr>
                <w:rFonts w:ascii="Arial" w:cs="Arial" w:eastAsia="Arial" w:hAnsi="Arial"/>
                <w:sz w:val="14"/>
                <w:szCs w:val="14"/>
                <w:color w:val="auto"/>
              </w:rPr>
              <w:t>Common Shares Class B</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820" w:type="dxa"/>
            <w:vAlign w:val="bottom"/>
            <w:gridSpan w:val="2"/>
          </w:tcPr>
          <w:p>
            <w:pPr>
              <w:spacing w:after="0" w:line="159" w:lineRule="exact"/>
              <w:rPr>
                <w:sz w:val="20"/>
                <w:szCs w:val="20"/>
                <w:color w:val="auto"/>
              </w:rPr>
            </w:pPr>
            <w:r>
              <w:rPr>
                <w:rFonts w:ascii="Arial" w:cs="Arial" w:eastAsia="Arial" w:hAnsi="Arial"/>
                <w:sz w:val="14"/>
                <w:szCs w:val="14"/>
                <w:color w:val="auto"/>
              </w:rPr>
              <w:t>(2,953,020 shares)</w:t>
            </w: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1"/>
              </w:rPr>
              <w:t>12/28/2012</w:t>
            </w:r>
          </w:p>
        </w:tc>
        <w:tc>
          <w:tcPr>
            <w:tcW w:w="8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20</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 Equity Investments</w:t>
            </w: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gridSpan w:val="2"/>
            <w:vMerge w:val="continue"/>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2,000</w:t>
            </w:r>
          </w:p>
        </w:tc>
        <w:tc>
          <w:tcPr>
            <w:tcW w:w="1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2,000</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644,421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653,944</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0" w:hanging="452"/>
        <w:spacing w:after="0" w:line="252"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December 31, 2012, the Company does not “control” any of the portfolio companies nor were any of the portfolio companies deemed to be “affiliates”. Certain portfolio company investments are subject to contractual restrictions on sales.</w:t>
      </w:r>
    </w:p>
    <w:p>
      <w:pPr>
        <w:ind w:left="460" w:right="500" w:hanging="452"/>
        <w:spacing w:after="0" w:line="250"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jc w:val="both"/>
        <w:ind w:left="460" w:right="160" w:hanging="452"/>
        <w:spacing w:after="0" w:line="255"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hanging="452"/>
        <w:spacing w:after="0" w:line="254"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the Company may be entitled to receive additional amounts as a result of an arrangement between the Company and other lenders in any syndication.</w:t>
      </w:r>
    </w:p>
    <w:p>
      <w:pPr>
        <w:ind w:left="460" w:right="60" w:hanging="452"/>
        <w:spacing w:after="0" w:line="261"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6).</w:t>
      </w:r>
    </w:p>
    <w:p>
      <w:pPr>
        <w:spacing w:after="0" w:line="13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Transactions during the year ended December 31, 2012 in which the issuer was an affiliated company (but not a portfolio company that we “control”) are as follows:</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As of and for the Year</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Ended December 31, 2012</w:t>
      </w:r>
    </w:p>
    <w:tbl>
      <w:tblPr>
        <w:tblLayout w:type="fixed"/>
        <w:tblInd w:w="0" w:type="dxa"/>
        <w:tblCellMar>
          <w:top w:w="0" w:type="dxa"/>
          <w:left w:w="0" w:type="dxa"/>
          <w:bottom w:w="0" w:type="dxa"/>
          <w:right w:w="0" w:type="dxa"/>
        </w:tblCellMar>
      </w:tblPr>
      <w:tr>
        <w:trPr>
          <w:trHeight w:val="143"/>
        </w:trPr>
        <w:tc>
          <w:tcPr>
            <w:tcW w:w="56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center"/>
              <w:ind w:right="500"/>
              <w:spacing w:after="0" w:line="143" w:lineRule="exact"/>
              <w:rPr>
                <w:sz w:val="20"/>
                <w:szCs w:val="20"/>
                <w:color w:val="auto"/>
              </w:rPr>
            </w:pPr>
            <w:r>
              <w:rPr>
                <w:rFonts w:ascii="Arial" w:cs="Arial" w:eastAsia="Arial" w:hAnsi="Arial"/>
                <w:sz w:val="14"/>
                <w:szCs w:val="14"/>
                <w:b w:val="1"/>
                <w:bCs w:val="1"/>
                <w:color w:val="auto"/>
              </w:rPr>
              <w:t>Fair</w:t>
            </w:r>
          </w:p>
        </w:tc>
        <w:tc>
          <w:tcPr>
            <w:tcW w:w="5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78"/>
              </w:rPr>
              <w:t>Gross</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center"/>
              <w:ind w:right="98"/>
              <w:spacing w:after="0" w:line="143"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center"/>
              <w:ind w:right="378"/>
              <w:spacing w:after="0" w:line="143" w:lineRule="exact"/>
              <w:rPr>
                <w:sz w:val="20"/>
                <w:szCs w:val="20"/>
                <w:color w:val="auto"/>
              </w:rPr>
            </w:pPr>
            <w:r>
              <w:rPr>
                <w:rFonts w:ascii="Arial" w:cs="Arial" w:eastAsia="Arial" w:hAnsi="Arial"/>
                <w:sz w:val="14"/>
                <w:szCs w:val="14"/>
                <w:b w:val="1"/>
                <w:bCs w:val="1"/>
                <w:color w:val="auto"/>
                <w:w w:val="97"/>
              </w:rPr>
              <w:t>Net</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122"/>
              <w:spacing w:after="0" w:line="143" w:lineRule="exact"/>
              <w:rPr>
                <w:sz w:val="20"/>
                <w:szCs w:val="20"/>
                <w:color w:val="auto"/>
              </w:rPr>
            </w:pPr>
            <w:r>
              <w:rPr>
                <w:rFonts w:ascii="Arial" w:cs="Arial" w:eastAsia="Arial" w:hAnsi="Arial"/>
                <w:sz w:val="14"/>
                <w:szCs w:val="14"/>
                <w:b w:val="1"/>
                <w:bCs w:val="1"/>
                <w:color w:val="auto"/>
                <w:w w:val="93"/>
              </w:rPr>
              <w:t>Fair</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Value at</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Additions</w:t>
            </w:r>
          </w:p>
        </w:tc>
        <w:tc>
          <w:tcPr>
            <w:tcW w:w="320" w:type="dxa"/>
            <w:vAlign w:val="bottom"/>
          </w:tcPr>
          <w:p>
            <w:pPr>
              <w:spacing w:after="0"/>
              <w:rPr>
                <w:sz w:val="12"/>
                <w:szCs w:val="12"/>
                <w:color w:val="auto"/>
              </w:rPr>
            </w:pPr>
          </w:p>
        </w:tc>
        <w:tc>
          <w:tcPr>
            <w:tcW w:w="840" w:type="dxa"/>
            <w:vAlign w:val="bottom"/>
            <w:gridSpan w:val="2"/>
          </w:tcPr>
          <w:p>
            <w:pPr>
              <w:jc w:val="center"/>
              <w:ind w:right="118"/>
              <w:spacing w:after="0" w:line="149" w:lineRule="exact"/>
              <w:rPr>
                <w:sz w:val="20"/>
                <w:szCs w:val="20"/>
                <w:color w:val="auto"/>
              </w:rPr>
            </w:pPr>
            <w:r>
              <w:rPr>
                <w:rFonts w:ascii="Arial" w:cs="Arial" w:eastAsia="Arial" w:hAnsi="Arial"/>
                <w:sz w:val="14"/>
                <w:szCs w:val="14"/>
                <w:b w:val="1"/>
                <w:bCs w:val="1"/>
                <w:color w:val="auto"/>
                <w:w w:val="83"/>
              </w:rPr>
              <w:t>Reductions</w:t>
            </w:r>
          </w:p>
        </w:tc>
        <w:tc>
          <w:tcPr>
            <w:tcW w:w="140" w:type="dxa"/>
            <w:vAlign w:val="bottom"/>
          </w:tcPr>
          <w:p>
            <w:pPr>
              <w:spacing w:after="0"/>
              <w:rPr>
                <w:sz w:val="12"/>
                <w:szCs w:val="12"/>
                <w:color w:val="auto"/>
              </w:rPr>
            </w:pPr>
          </w:p>
        </w:tc>
        <w:tc>
          <w:tcPr>
            <w:tcW w:w="960" w:type="dxa"/>
            <w:vAlign w:val="bottom"/>
            <w:gridSpan w:val="3"/>
          </w:tcPr>
          <w:p>
            <w:pPr>
              <w:jc w:val="center"/>
              <w:ind w:right="258"/>
              <w:spacing w:after="0" w:line="149" w:lineRule="exact"/>
              <w:rPr>
                <w:sz w:val="20"/>
                <w:szCs w:val="20"/>
                <w:color w:val="auto"/>
              </w:rPr>
            </w:pPr>
            <w:r>
              <w:rPr>
                <w:rFonts w:ascii="Arial" w:cs="Arial" w:eastAsia="Arial" w:hAnsi="Arial"/>
                <w:sz w:val="14"/>
                <w:szCs w:val="14"/>
                <w:b w:val="1"/>
                <w:bCs w:val="1"/>
                <w:color w:val="auto"/>
                <w:w w:val="87"/>
              </w:rPr>
              <w:t>Unrealized</w:t>
            </w:r>
          </w:p>
        </w:tc>
        <w:tc>
          <w:tcPr>
            <w:tcW w:w="200" w:type="dxa"/>
            <w:vAlign w:val="bottom"/>
          </w:tcPr>
          <w:p>
            <w:pPr>
              <w:spacing w:after="0"/>
              <w:rPr>
                <w:sz w:val="12"/>
                <w:szCs w:val="12"/>
                <w:color w:val="auto"/>
              </w:rPr>
            </w:pPr>
          </w:p>
        </w:tc>
        <w:tc>
          <w:tcPr>
            <w:tcW w:w="88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9"/>
              </w:rPr>
              <w:t>Value at</w:t>
            </w:r>
          </w:p>
        </w:tc>
        <w:tc>
          <w:tcPr>
            <w:tcW w:w="32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Realized</w:t>
            </w:r>
          </w:p>
        </w:tc>
        <w:tc>
          <w:tcPr>
            <w:tcW w:w="14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Interest</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Dividend</w:t>
            </w:r>
          </w:p>
        </w:tc>
        <w:tc>
          <w:tcPr>
            <w:tcW w:w="320" w:type="dxa"/>
            <w:vAlign w:val="bottom"/>
          </w:tcPr>
          <w:p>
            <w:pPr>
              <w:spacing w:after="0"/>
              <w:rPr>
                <w:sz w:val="12"/>
                <w:szCs w:val="12"/>
                <w:color w:val="auto"/>
              </w:rPr>
            </w:pPr>
          </w:p>
        </w:tc>
        <w:tc>
          <w:tcPr>
            <w:tcW w:w="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35"/>
        </w:trPr>
        <w:tc>
          <w:tcPr>
            <w:tcW w:w="28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December 31, 2011</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8"/>
              </w:rPr>
              <w:t>(a)</w:t>
            </w:r>
          </w:p>
        </w:tc>
        <w:tc>
          <w:tcPr>
            <w:tcW w:w="320" w:type="dxa"/>
            <w:vAlign w:val="bottom"/>
          </w:tcPr>
          <w:p>
            <w:pPr>
              <w:spacing w:after="0"/>
              <w:rPr>
                <w:sz w:val="11"/>
                <w:szCs w:val="11"/>
                <w:color w:val="auto"/>
              </w:rPr>
            </w:pPr>
          </w:p>
        </w:tc>
        <w:tc>
          <w:tcPr>
            <w:tcW w:w="840" w:type="dxa"/>
            <w:vAlign w:val="bottom"/>
            <w:gridSpan w:val="2"/>
          </w:tcPr>
          <w:p>
            <w:pPr>
              <w:jc w:val="center"/>
              <w:ind w:right="98"/>
              <w:spacing w:after="0"/>
              <w:rPr>
                <w:sz w:val="20"/>
                <w:szCs w:val="20"/>
                <w:color w:val="auto"/>
              </w:rPr>
            </w:pPr>
            <w:r>
              <w:rPr>
                <w:rFonts w:ascii="Arial" w:cs="Arial" w:eastAsia="Arial" w:hAnsi="Arial"/>
                <w:sz w:val="11"/>
                <w:szCs w:val="11"/>
                <w:b w:val="1"/>
                <w:bCs w:val="1"/>
                <w:color w:val="auto"/>
                <w:w w:val="99"/>
              </w:rPr>
              <w:t>(b)</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378"/>
              <w:spacing w:after="0" w:line="135" w:lineRule="exact"/>
              <w:rPr>
                <w:sz w:val="20"/>
                <w:szCs w:val="20"/>
                <w:color w:val="auto"/>
              </w:rPr>
            </w:pPr>
            <w:r>
              <w:rPr>
                <w:rFonts w:ascii="Arial" w:cs="Arial" w:eastAsia="Arial" w:hAnsi="Arial"/>
                <w:sz w:val="14"/>
                <w:szCs w:val="14"/>
                <w:b w:val="1"/>
                <w:bCs w:val="1"/>
                <w:color w:val="auto"/>
                <w:w w:val="79"/>
              </w:rPr>
              <w:t>Loss</w:t>
            </w:r>
          </w:p>
        </w:tc>
        <w:tc>
          <w:tcPr>
            <w:tcW w:w="10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4"/>
              </w:rPr>
              <w:t>December 31, 2012</w:t>
            </w:r>
          </w:p>
        </w:tc>
        <w:tc>
          <w:tcPr>
            <w:tcW w:w="320" w:type="dxa"/>
            <w:vAlign w:val="bottom"/>
          </w:tcPr>
          <w:p>
            <w:pPr>
              <w:spacing w:after="0"/>
              <w:rPr>
                <w:sz w:val="11"/>
                <w:szCs w:val="11"/>
                <w:color w:val="auto"/>
              </w:rPr>
            </w:pPr>
          </w:p>
        </w:tc>
        <w:tc>
          <w:tcPr>
            <w:tcW w:w="66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1"/>
                <w:szCs w:val="11"/>
                <w:color w:val="auto"/>
              </w:rPr>
            </w:pPr>
          </w:p>
        </w:tc>
        <w:tc>
          <w:tcPr>
            <w:tcW w:w="8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5"/>
              </w:rPr>
              <w:t>Income</w:t>
            </w:r>
          </w:p>
        </w:tc>
        <w:tc>
          <w:tcPr>
            <w:tcW w:w="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Income</w:t>
            </w:r>
          </w:p>
        </w:tc>
        <w:tc>
          <w:tcPr>
            <w:tcW w:w="320" w:type="dxa"/>
            <w:vAlign w:val="bottom"/>
          </w:tcPr>
          <w:p>
            <w:pPr>
              <w:spacing w:after="0"/>
              <w:rPr>
                <w:sz w:val="11"/>
                <w:szCs w:val="11"/>
                <w:color w:val="auto"/>
              </w:rPr>
            </w:pPr>
          </w:p>
        </w:tc>
        <w:tc>
          <w:tcPr>
            <w:tcW w:w="5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1"/>
                <w:szCs w:val="11"/>
                <w:color w:val="auto"/>
              </w:rPr>
              <w:t>(c)</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42,663</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15,990</w:t>
            </w:r>
          </w:p>
        </w:tc>
        <w:tc>
          <w:tcPr>
            <w:tcW w:w="3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(58,316</w:t>
            </w: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(337</w:t>
            </w: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2,724</w:t>
            </w:r>
          </w:p>
        </w:tc>
        <w:tc>
          <w:tcPr>
            <w:tcW w:w="3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$ 1,231</w:t>
            </w: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8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42,663</w:t>
            </w:r>
          </w:p>
        </w:tc>
        <w:tc>
          <w:tcPr>
            <w:tcW w:w="2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15,990</w:t>
            </w:r>
          </w:p>
        </w:tc>
        <w:tc>
          <w:tcPr>
            <w:tcW w:w="1160" w:type="dxa"/>
            <w:vAlign w:val="bottom"/>
            <w:gridSpan w:val="3"/>
          </w:tcPr>
          <w:p>
            <w:pPr>
              <w:jc w:val="right"/>
              <w:ind w:right="5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(58,316)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98"/>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960" w:type="dxa"/>
            <w:vAlign w:val="bottom"/>
            <w:gridSpan w:val="3"/>
          </w:tcPr>
          <w:p>
            <w:pPr>
              <w:jc w:val="center"/>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2,724</w:t>
            </w: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$ 1,231</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60" w:hanging="452"/>
        <w:spacing w:after="0" w:line="254"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50"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ind w:left="460" w:right="540" w:hanging="452"/>
        <w:spacing w:after="0" w:line="261"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connection with the redemption of the Company’s preferred equity investment, AFS Technologies, Inc. was no longer an affiliated company as of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Consolidated Schedule of Investments as of December 31, 2011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6"/>
              </w:rPr>
              <w:t>Interest</w:t>
            </w: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Acquisition</w:t>
            </w: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2"/>
        </w:trPr>
        <w:tc>
          <w:tcPr>
            <w:tcW w:w="4460" w:type="dxa"/>
            <w:vAlign w:val="bottom"/>
            <w:gridSpan w:val="3"/>
            <w:vMerge w:val="continue"/>
          </w:tcPr>
          <w:p>
            <w:pPr>
              <w:spacing w:after="0"/>
              <w:rPr>
                <w:sz w:val="14"/>
                <w:szCs w:val="14"/>
                <w:color w:val="auto"/>
              </w:rPr>
            </w:pP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Investment</w:t>
            </w:r>
          </w:p>
        </w:tc>
        <w:tc>
          <w:tcPr>
            <w:tcW w:w="10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Rate</w:t>
            </w: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00" w:type="dxa"/>
            <w:vAlign w:val="bottom"/>
            <w:gridSpan w:val="2"/>
          </w:tcPr>
          <w:p>
            <w:pPr>
              <w:jc w:val="right"/>
              <w:ind w:right="340"/>
              <w:spacing w:after="0" w:line="162" w:lineRule="exact"/>
              <w:rPr>
                <w:sz w:val="20"/>
                <w:szCs w:val="20"/>
                <w:color w:val="auto"/>
              </w:rPr>
            </w:pPr>
            <w:r>
              <w:rPr>
                <w:rFonts w:ascii="Arial" w:cs="Arial" w:eastAsia="Arial" w:hAnsi="Arial"/>
                <w:sz w:val="12"/>
                <w:szCs w:val="12"/>
                <w:b w:val="1"/>
                <w:bCs w:val="1"/>
                <w:color w:val="auto"/>
                <w:w w:val="98"/>
              </w:rPr>
              <w:t xml:space="preserve">Cost </w:t>
            </w:r>
            <w:r>
              <w:rPr>
                <w:rFonts w:ascii="Arial" w:cs="Arial" w:eastAsia="Arial" w:hAnsi="Arial"/>
                <w:sz w:val="18"/>
                <w:szCs w:val="18"/>
                <w:b w:val="1"/>
                <w:bCs w:val="1"/>
                <w:color w:val="auto"/>
                <w:w w:val="98"/>
                <w:vertAlign w:val="superscript"/>
              </w:rPr>
              <w:t>(2)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Value</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Debt Investments</w:t>
            </w: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Aerospace and defense</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MSC.Software Corporation </w:t>
            </w:r>
            <w:r>
              <w:rPr>
                <w:rFonts w:ascii="Arial" w:cs="Arial" w:eastAsia="Arial" w:hAnsi="Arial"/>
                <w:sz w:val="11"/>
                <w:szCs w:val="11"/>
                <w:color w:val="auto"/>
              </w:rPr>
              <w:t>(3)(4)</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($35,000 par</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12/2016)</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12/23/2011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35,000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Beverage, food and tobacco</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AFS Technologies,</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(3)(4)(6)</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($32,662 par</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9/2015)</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7.25%</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8/31/2011</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31,876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32,663</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316"/>
        </w:trPr>
        <w:tc>
          <w:tcPr>
            <w:tcW w:w="4460" w:type="dxa"/>
            <w:vAlign w:val="bottom"/>
            <w:gridSpan w:val="3"/>
          </w:tcPr>
          <w:p>
            <w:pPr>
              <w:spacing w:after="0"/>
              <w:rPr>
                <w:sz w:val="20"/>
                <w:szCs w:val="20"/>
                <w:color w:val="auto"/>
              </w:rPr>
            </w:pPr>
            <w:r>
              <w:rPr>
                <w:rFonts w:ascii="Arial" w:cs="Arial" w:eastAsia="Arial" w:hAnsi="Arial"/>
                <w:sz w:val="18"/>
                <w:szCs w:val="18"/>
                <w:color w:val="auto"/>
              </w:rPr>
              <w:t xml:space="preserve">Center Cut Hospitality, Inc. </w:t>
            </w:r>
            <w:r>
              <w:rPr>
                <w:rFonts w:ascii="Arial" w:cs="Arial" w:eastAsia="Arial" w:hAnsi="Arial"/>
                <w:sz w:val="11"/>
                <w:szCs w:val="11"/>
                <w:color w:val="auto"/>
              </w:rPr>
              <w:t>(3)</w:t>
            </w:r>
          </w:p>
        </w:tc>
        <w:tc>
          <w:tcPr>
            <w:tcW w:w="144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($26,250 par</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due 8/2016)</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6.75%</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8/15/2011</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25,717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25,987</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Rare Restaurant Group, LLC</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Second-lien</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 ($16,462</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5/2014)</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9.25%</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11/7/2011</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13,170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Second-lien</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bond ($1,250</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5/2014)</w:t>
            </w:r>
          </w:p>
        </w:tc>
        <w:tc>
          <w:tcPr>
            <w:tcW w:w="3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9.25%</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11/9/2011</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1,006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1,000</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72,820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Financial services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1"/>
                <w:szCs w:val="11"/>
                <w:color w:val="auto"/>
              </w:rPr>
              <w:t>(3)(4)</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($14,672 par</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8/2016)</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11.75%</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10/31/2011</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14,550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14,635</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Manufacturing</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shd w:val="clear" w:color="auto" w:fill="CCEEFF"/>
          </w:tcPr>
          <w:p>
            <w:pPr>
              <w:spacing w:after="0" w:line="163" w:lineRule="exact"/>
              <w:rPr>
                <w:sz w:val="20"/>
                <w:szCs w:val="20"/>
                <w:color w:val="auto"/>
              </w:rPr>
            </w:pPr>
            <w:r>
              <w:rPr>
                <w:rFonts w:ascii="Arial" w:cs="Arial" w:eastAsia="Arial" w:hAnsi="Arial"/>
                <w:sz w:val="18"/>
                <w:szCs w:val="18"/>
                <w:color w:val="auto"/>
              </w:rPr>
              <w:t xml:space="preserve">Solarsoft, LP (f/k/a CMS-XKO Holding Company, LP </w:t>
            </w:r>
            <w:r>
              <w:rPr>
                <w:rFonts w:ascii="Arial" w:cs="Arial" w:eastAsia="Arial" w:hAnsi="Arial"/>
                <w:sz w:val="11"/>
                <w:szCs w:val="11"/>
                <w:color w:val="auto"/>
              </w:rPr>
              <w:t>(3)</w:t>
            </w:r>
          </w:p>
        </w:tc>
        <w:tc>
          <w:tcPr>
            <w:tcW w:w="1440" w:type="dxa"/>
            <w:vAlign w:val="bottom"/>
            <w:gridSpan w:val="2"/>
            <w:shd w:val="clear" w:color="auto" w:fill="CCEEFF"/>
          </w:tcPr>
          <w:p>
            <w:pPr>
              <w:spacing w:after="0" w:line="163" w:lineRule="exact"/>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(4)(5)</w:t>
            </w:r>
          </w:p>
        </w:tc>
        <w:tc>
          <w:tcPr>
            <w:tcW w:w="3700" w:type="dxa"/>
            <w:vAlign w:val="bottom"/>
            <w:shd w:val="clear" w:color="auto" w:fill="CCEEFF"/>
          </w:tcPr>
          <w:p>
            <w:pPr>
              <w:spacing w:after="0"/>
              <w:rPr>
                <w:sz w:val="12"/>
                <w:szCs w:val="12"/>
                <w:color w:val="auto"/>
              </w:rPr>
            </w:pPr>
          </w:p>
        </w:tc>
        <w:tc>
          <w:tcPr>
            <w:tcW w:w="1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($29,625 par</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700" w:type="dxa"/>
            <w:vAlign w:val="bottom"/>
            <w:shd w:val="clear" w:color="auto" w:fill="CCEEFF"/>
          </w:tcPr>
          <w:p>
            <w:pPr>
              <w:spacing w:after="0"/>
              <w:rPr>
                <w:sz w:val="10"/>
                <w:szCs w:val="10"/>
                <w:color w:val="auto"/>
              </w:rPr>
            </w:pPr>
          </w:p>
        </w:tc>
        <w:tc>
          <w:tcPr>
            <w:tcW w:w="1440" w:type="dxa"/>
            <w:vAlign w:val="bottom"/>
            <w:gridSpan w:val="2"/>
            <w:vMerge w:val="continue"/>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7/2016)</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8.50%</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7/8/2011</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29,052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29,181</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Office products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1"/>
                <w:szCs w:val="11"/>
                <w:color w:val="auto"/>
              </w:rPr>
              <w:t>(3)(4)</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($22,713 par</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10/2016)</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10/17/2011</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22,357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22,712</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Debt Investments</w:t>
            </w: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vMerge w:val="continue"/>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172,131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174,348</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Investments</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Beverage, food and tobacco</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AFS Technologies,</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B-1</w:t>
            </w: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(6)(7)</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(311,760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w:t>
            </w:r>
          </w:p>
        </w:tc>
        <w:tc>
          <w:tcPr>
            <w:tcW w:w="4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8/31/2011</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1,309</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Series B-2</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(2,069,193</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8/31/2011</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8,608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8,691</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Equity Investments</w:t>
            </w: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9,905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6"/>
              </w:rPr>
              <w:t>182,036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6"/>
              </w:rPr>
              <w:t>184,348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1420"/>
          </w:cols>
          <w:pgMar w:left="240" w:top="459" w:right="239" w:bottom="1440" w:gutter="0" w:footer="0" w:header="0"/>
          <w:type w:val="continuous"/>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2"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1940 Act, the Company would “control” a portfolio company if the Company owned more than 25% of its outstanding voting securities and/or had the power to exercise control over the management or policies of such portfolio company. As of December 31, 2011, the Company does not “control” any of the portfolio companies. Certain portfolio company investments are subject to contractual restrictions on sales.</w:t>
      </w:r>
    </w:p>
    <w:p>
      <w:pPr>
        <w:spacing w:after="0" w:line="1" w:lineRule="exact"/>
        <w:rPr>
          <w:rFonts w:ascii="Arial" w:cs="Arial" w:eastAsia="Arial" w:hAnsi="Arial"/>
          <w:sz w:val="18"/>
          <w:szCs w:val="18"/>
          <w:color w:val="auto"/>
        </w:rPr>
      </w:pPr>
    </w:p>
    <w:p>
      <w:pPr>
        <w:ind w:left="460" w:right="500" w:hanging="452"/>
        <w:spacing w:after="0" w:line="250"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jc w:val="both"/>
        <w:ind w:left="460" w:right="160" w:hanging="452"/>
        <w:spacing w:after="0" w:line="250"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the Company may be entitled to receive additional amounts as a result of an arrangement between the Company and other lenders in any syndication.</w:t>
      </w:r>
    </w:p>
    <w:p>
      <w:pPr>
        <w:jc w:val="both"/>
        <w:ind w:left="460" w:right="40" w:hanging="452"/>
        <w:spacing w:after="0" w:line="300" w:lineRule="auto"/>
        <w:tabs>
          <w:tab w:leader="none" w:pos="4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This portfolio company is a non-U.S. limited partnership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480" w:hanging="452"/>
        <w:spacing w:after="0" w:line="250"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As defined in the Investment Company Act, we are deemed to be an “affiliated person” of this portfolio company because we own 5% or more of the portfolio company’s outstanding voting securities. We do not have the power to exercise control over the management or policies of such portfolio company.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This preferred equity investment has an optional redemption feature which, if exercised, entitles the Company to a 1.5 times liquidation preference.</w:t>
      </w:r>
    </w:p>
    <w:p>
      <w:pPr>
        <w:spacing w:after="0" w:line="18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Transactions during the year ended December 31, 2011, in which the issuer was an affiliated company (but not a portfolio company that we “control”) are as follows:</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As of and for the Year</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Ended December 31, 2011</w:t>
      </w:r>
    </w:p>
    <w:tbl>
      <w:tblPr>
        <w:tblLayout w:type="fixed"/>
        <w:tblInd w:w="0" w:type="dxa"/>
        <w:tblCellMar>
          <w:top w:w="0" w:type="dxa"/>
          <w:left w:w="0" w:type="dxa"/>
          <w:bottom w:w="0" w:type="dxa"/>
          <w:right w:w="0" w:type="dxa"/>
        </w:tblCellMar>
      </w:tblPr>
      <w:tr>
        <w:trPr>
          <w:trHeight w:val="130"/>
        </w:trPr>
        <w:tc>
          <w:tcPr>
            <w:tcW w:w="600" w:type="dxa"/>
            <w:vAlign w:val="bottom"/>
            <w:tcBorders>
              <w:top w:val="single" w:sz="8" w:color="auto"/>
            </w:tcBorders>
          </w:tcPr>
          <w:p>
            <w:pPr>
              <w:spacing w:after="0"/>
              <w:rPr>
                <w:sz w:val="11"/>
                <w:szCs w:val="11"/>
                <w:color w:val="auto"/>
              </w:rPr>
            </w:pPr>
          </w:p>
        </w:tc>
        <w:tc>
          <w:tcPr>
            <w:tcW w:w="3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64"/>
              <w:spacing w:after="0" w:line="130" w:lineRule="exact"/>
              <w:rPr>
                <w:sz w:val="20"/>
                <w:szCs w:val="20"/>
                <w:color w:val="auto"/>
              </w:rPr>
            </w:pPr>
            <w:r>
              <w:rPr>
                <w:rFonts w:ascii="Arial" w:cs="Arial" w:eastAsia="Arial" w:hAnsi="Arial"/>
                <w:sz w:val="14"/>
                <w:szCs w:val="14"/>
                <w:b w:val="1"/>
                <w:bCs w:val="1"/>
                <w:color w:val="auto"/>
              </w:rPr>
              <w:t>Fair</w:t>
            </w:r>
          </w:p>
        </w:tc>
        <w:tc>
          <w:tcPr>
            <w:tcW w:w="5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660"/>
              <w:spacing w:after="0" w:line="130" w:lineRule="exact"/>
              <w:rPr>
                <w:sz w:val="20"/>
                <w:szCs w:val="20"/>
                <w:color w:val="auto"/>
              </w:rPr>
            </w:pPr>
            <w:r>
              <w:rPr>
                <w:rFonts w:ascii="Arial" w:cs="Arial" w:eastAsia="Arial" w:hAnsi="Arial"/>
                <w:sz w:val="14"/>
                <w:szCs w:val="14"/>
                <w:b w:val="1"/>
                <w:bCs w:val="1"/>
                <w:color w:val="auto"/>
                <w:w w:val="93"/>
              </w:rPr>
              <w:t>Fair</w:t>
            </w:r>
          </w:p>
        </w:tc>
        <w:tc>
          <w:tcPr>
            <w:tcW w:w="5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64"/>
              <w:spacing w:after="0"/>
              <w:rPr>
                <w:sz w:val="20"/>
                <w:szCs w:val="20"/>
                <w:color w:val="auto"/>
              </w:rPr>
            </w:pPr>
            <w:r>
              <w:rPr>
                <w:rFonts w:ascii="Arial" w:cs="Arial" w:eastAsia="Arial" w:hAnsi="Arial"/>
                <w:sz w:val="14"/>
                <w:szCs w:val="14"/>
                <w:b w:val="1"/>
                <w:bCs w:val="1"/>
                <w:color w:val="auto"/>
                <w:w w:val="85"/>
              </w:rPr>
              <w:t>Value at</w:t>
            </w:r>
          </w:p>
        </w:tc>
        <w:tc>
          <w:tcPr>
            <w:tcW w:w="54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4"/>
                <w:szCs w:val="14"/>
                <w:color w:val="auto"/>
              </w:rPr>
            </w:pPr>
          </w:p>
        </w:tc>
        <w:tc>
          <w:tcPr>
            <w:tcW w:w="1060" w:type="dxa"/>
            <w:vAlign w:val="bottom"/>
            <w:gridSpan w:val="2"/>
          </w:tcPr>
          <w:p>
            <w:pPr>
              <w:jc w:val="right"/>
              <w:ind w:right="618"/>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4"/>
                <w:szCs w:val="14"/>
                <w:color w:val="auto"/>
              </w:rPr>
            </w:pPr>
          </w:p>
        </w:tc>
        <w:tc>
          <w:tcPr>
            <w:tcW w:w="10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4"/>
                <w:szCs w:val="1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Value at</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0"/>
              </w:rPr>
              <w:t>Company</w:t>
            </w:r>
          </w:p>
        </w:tc>
        <w:tc>
          <w:tcPr>
            <w:tcW w:w="3100" w:type="dxa"/>
            <w:vAlign w:val="bottom"/>
            <w:vMerge w:val="restart"/>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4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Additions</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Reductions</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3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0"/>
              </w:rPr>
              <w:t>Interest</w:t>
            </w:r>
          </w:p>
        </w:tc>
        <w:tc>
          <w:tcPr>
            <w:tcW w:w="540" w:type="dxa"/>
            <w:vAlign w:val="bottom"/>
          </w:tcPr>
          <w:p>
            <w:pPr>
              <w:spacing w:after="0"/>
              <w:rPr>
                <w:sz w:val="12"/>
                <w:szCs w:val="12"/>
                <w:color w:val="auto"/>
              </w:rPr>
            </w:pPr>
          </w:p>
        </w:tc>
        <w:tc>
          <w:tcPr>
            <w:tcW w:w="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55"/>
        </w:trPr>
        <w:tc>
          <w:tcPr>
            <w:tcW w:w="600" w:type="dxa"/>
            <w:vAlign w:val="bottom"/>
            <w:tcBorders>
              <w:bottom w:val="single" w:sz="8" w:color="auto"/>
            </w:tcBorders>
            <w:vMerge w:val="continue"/>
          </w:tcPr>
          <w:p>
            <w:pPr>
              <w:spacing w:after="0"/>
              <w:rPr>
                <w:sz w:val="13"/>
                <w:szCs w:val="13"/>
                <w:color w:val="auto"/>
              </w:rPr>
            </w:pPr>
          </w:p>
        </w:tc>
        <w:tc>
          <w:tcPr>
            <w:tcW w:w="3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83"/>
              </w:rPr>
              <w:t>2010</w:t>
            </w:r>
          </w:p>
        </w:tc>
        <w:tc>
          <w:tcPr>
            <w:tcW w:w="540" w:type="dxa"/>
            <w:vAlign w:val="bottom"/>
          </w:tcPr>
          <w:p>
            <w:pPr>
              <w:spacing w:after="0"/>
              <w:rPr>
                <w:sz w:val="13"/>
                <w:szCs w:val="13"/>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1"/>
                <w:szCs w:val="11"/>
                <w:b w:val="1"/>
                <w:bCs w:val="1"/>
                <w:color w:val="auto"/>
                <w:w w:val="88"/>
              </w:rPr>
              <w:t>(a)</w:t>
            </w:r>
          </w:p>
        </w:tc>
        <w:tc>
          <w:tcPr>
            <w:tcW w:w="120" w:type="dxa"/>
            <w:vAlign w:val="bottom"/>
          </w:tcPr>
          <w:p>
            <w:pPr>
              <w:spacing w:after="0"/>
              <w:rPr>
                <w:sz w:val="13"/>
                <w:szCs w:val="13"/>
                <w:color w:val="auto"/>
              </w:rPr>
            </w:pPr>
          </w:p>
        </w:tc>
        <w:tc>
          <w:tcPr>
            <w:tcW w:w="1060" w:type="dxa"/>
            <w:vAlign w:val="bottom"/>
            <w:gridSpan w:val="2"/>
          </w:tcPr>
          <w:p>
            <w:pPr>
              <w:jc w:val="right"/>
              <w:ind w:right="718"/>
              <w:spacing w:after="0"/>
              <w:rPr>
                <w:sz w:val="20"/>
                <w:szCs w:val="20"/>
                <w:color w:val="auto"/>
              </w:rPr>
            </w:pPr>
            <w:r>
              <w:rPr>
                <w:rFonts w:ascii="Arial" w:cs="Arial" w:eastAsia="Arial" w:hAnsi="Arial"/>
                <w:sz w:val="11"/>
                <w:szCs w:val="11"/>
                <w:b w:val="1"/>
                <w:bCs w:val="1"/>
                <w:color w:val="auto"/>
              </w:rPr>
              <w:t>(b)</w:t>
            </w:r>
          </w:p>
        </w:tc>
        <w:tc>
          <w:tcPr>
            <w:tcW w:w="120" w:type="dxa"/>
            <w:vAlign w:val="bottom"/>
          </w:tcPr>
          <w:p>
            <w:pPr>
              <w:spacing w:after="0"/>
              <w:rPr>
                <w:sz w:val="13"/>
                <w:szCs w:val="13"/>
                <w:color w:val="auto"/>
              </w:rPr>
            </w:pPr>
          </w:p>
        </w:tc>
        <w:tc>
          <w:tcPr>
            <w:tcW w:w="106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82"/>
              </w:rPr>
              <w:t>Gains</w:t>
            </w:r>
          </w:p>
        </w:tc>
        <w:tc>
          <w:tcPr>
            <w:tcW w:w="120" w:type="dxa"/>
            <w:vAlign w:val="bottom"/>
          </w:tcPr>
          <w:p>
            <w:pPr>
              <w:spacing w:after="0"/>
              <w:rPr>
                <w:sz w:val="13"/>
                <w:szCs w:val="13"/>
                <w:color w:val="auto"/>
              </w:rPr>
            </w:pPr>
          </w:p>
        </w:tc>
        <w:tc>
          <w:tcPr>
            <w:tcW w:w="68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83"/>
              </w:rPr>
              <w:t>2011</w:t>
            </w:r>
          </w:p>
        </w:tc>
        <w:tc>
          <w:tcPr>
            <w:tcW w:w="540" w:type="dxa"/>
            <w:vAlign w:val="bottom"/>
          </w:tcPr>
          <w:p>
            <w:pPr>
              <w:spacing w:after="0"/>
              <w:rPr>
                <w:sz w:val="13"/>
                <w:szCs w:val="13"/>
                <w:color w:val="auto"/>
              </w:rPr>
            </w:pPr>
          </w:p>
        </w:tc>
        <w:tc>
          <w:tcPr>
            <w:tcW w:w="50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93"/>
              </w:rPr>
              <w:t>Income</w:t>
            </w:r>
          </w:p>
        </w:tc>
        <w:tc>
          <w:tcPr>
            <w:tcW w:w="540" w:type="dxa"/>
            <w:vAlign w:val="bottom"/>
          </w:tcPr>
          <w:p>
            <w:pPr>
              <w:spacing w:after="0"/>
              <w:rPr>
                <w:sz w:val="13"/>
                <w:szCs w:val="13"/>
                <w:color w:val="auto"/>
              </w:rPr>
            </w:pPr>
          </w:p>
        </w:tc>
        <w:tc>
          <w:tcPr>
            <w:tcW w:w="5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AFS Technologies, Inc.</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42,618</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(837</w:t>
            </w:r>
          </w:p>
        </w:tc>
        <w:tc>
          <w:tcPr>
            <w:tcW w:w="540" w:type="dxa"/>
            <w:vAlign w:val="bottom"/>
            <w:tcBorders>
              <w:top w:val="single" w:sz="8" w:color="CCEEFF"/>
            </w:tcBorders>
            <w:shd w:val="clear" w:color="auto" w:fill="CCEEFF"/>
          </w:tcPr>
          <w:p>
            <w:pPr>
              <w:jc w:val="right"/>
              <w:ind w:right="39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882</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42,663</w:t>
            </w: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1,231</w:t>
            </w: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7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42,618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98"/>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882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42,663</w:t>
            </w:r>
          </w:p>
        </w:tc>
        <w:tc>
          <w:tcPr>
            <w:tcW w:w="500" w:type="dxa"/>
            <w:vAlign w:val="bottom"/>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1,231</w:t>
            </w:r>
          </w:p>
        </w:tc>
        <w:tc>
          <w:tcPr>
            <w:tcW w:w="7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60" w:hanging="452"/>
        <w:spacing w:after="0" w:line="25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61"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0"/>
              </w:rPr>
              <w:t>Year Ended</w:t>
            </w: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77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28,029</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Net realized gains on investments</w:t>
            </w:r>
          </w:p>
        </w:tc>
        <w:tc>
          <w:tcPr>
            <w:tcW w:w="1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1"/>
        </w:trPr>
        <w:tc>
          <w:tcPr>
            <w:tcW w:w="774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1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287,692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172,928</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Reinvestment of dividends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Dividends declared from:</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investment income</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(26,997)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Net realized gains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(2,773)</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(29,770)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3"/>
        </w:trPr>
        <w:tc>
          <w:tcPr>
            <w:tcW w:w="7740" w:type="dxa"/>
            <w:vAlign w:val="bottom"/>
          </w:tcPr>
          <w:p>
            <w:pPr>
              <w:ind w:left="440"/>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1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267,116</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172,278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Increase in Net Assets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306,711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173,091</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1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173,092</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Assets, End of Period</w:t>
            </w:r>
          </w:p>
        </w:tc>
        <w:tc>
          <w:tcPr>
            <w:tcW w:w="14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479,803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173,092</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Undistributed Net Investment Income Included in Net Assets at the End of the Period</w:t>
            </w: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740" w:type="dxa"/>
            <w:vAlign w:val="bottom"/>
            <w:vMerge w:val="continue"/>
          </w:tcPr>
          <w:p>
            <w:pPr>
              <w:spacing w:after="0"/>
              <w:rPr>
                <w:sz w:val="24"/>
                <w:szCs w:val="24"/>
                <w:color w:val="auto"/>
              </w:rPr>
            </w:pP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8"/>
              </w:rPr>
              <w:t>Year Ended</w:t>
            </w: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9000" w:type="dxa"/>
            <w:vAlign w:val="bottom"/>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9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2012</w:t>
            </w: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39,595</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increase in net assets resulting from operations to net cash used in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Net change in unrealized gains on investments</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(7,211)</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(2,312)</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gains on investments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(4,355)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(4,489)</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Purchases of investments, net</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(760,668)</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(184,196)</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investments,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Repayments on investments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190,594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Paid-in-kind interest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(1,808)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(1,071)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(6,292)</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(1,008)</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Management fees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Incentive fees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3,706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 to affiliate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r>
      <w:tr>
        <w:trPr>
          <w:trHeight w:val="223"/>
        </w:trPr>
        <w:tc>
          <w:tcPr>
            <w:tcW w:w="9000" w:type="dxa"/>
            <w:vAlign w:val="bottom"/>
          </w:tcPr>
          <w:p>
            <w:pPr>
              <w:ind w:left="88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9"/>
                <w:szCs w:val="19"/>
                <w:color w:val="auto"/>
              </w:rPr>
            </w:pP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(430,099)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(182,128)</w:t>
            </w:r>
          </w:p>
        </w:tc>
      </w:tr>
      <w:tr>
        <w:trPr>
          <w:trHeight w:val="221"/>
        </w:trPr>
        <w:tc>
          <w:tcPr>
            <w:tcW w:w="9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credit facilities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1,332,688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304,000</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Payments on revolving credit facilities</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(1,155,852)</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(149,000)</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(5,328)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(2,108)</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287,692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172,928</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Dividend paid to stockholders</w:t>
            </w:r>
          </w:p>
        </w:tc>
        <w:tc>
          <w:tcPr>
            <w:tcW w:w="10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(10,968)</w:t>
            </w:r>
          </w:p>
        </w:tc>
        <w:tc>
          <w:tcPr>
            <w:tcW w:w="1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448,232</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325,819</w:t>
            </w:r>
          </w:p>
        </w:tc>
        <w:tc>
          <w:tcPr>
            <w:tcW w:w="100" w:type="dxa"/>
            <w:vAlign w:val="bottom"/>
            <w:shd w:val="clear" w:color="auto" w:fill="CCEEFF"/>
          </w:tcPr>
          <w:p>
            <w:pPr>
              <w:spacing w:after="0"/>
              <w:rPr>
                <w:sz w:val="18"/>
                <w:szCs w:val="18"/>
                <w:color w:val="auto"/>
              </w:rPr>
            </w:pPr>
          </w:p>
        </w:tc>
      </w:tr>
      <w:tr>
        <w:trPr>
          <w:trHeight w:val="221"/>
        </w:trPr>
        <w:tc>
          <w:tcPr>
            <w:tcW w:w="9000" w:type="dxa"/>
            <w:vAlign w:val="bottom"/>
          </w:tcPr>
          <w:p>
            <w:pPr>
              <w:ind w:left="880"/>
              <w:spacing w:after="0"/>
              <w:rPr>
                <w:sz w:val="20"/>
                <w:szCs w:val="20"/>
                <w:color w:val="auto"/>
              </w:rPr>
            </w:pPr>
            <w:r>
              <w:rPr>
                <w:rFonts w:ascii="Arial" w:cs="Arial" w:eastAsia="Arial" w:hAnsi="Arial"/>
                <w:sz w:val="18"/>
                <w:szCs w:val="18"/>
                <w:b w:val="1"/>
                <w:bCs w:val="1"/>
                <w:color w:val="auto"/>
              </w:rPr>
              <w:t>Net Increase in Cash and Cash Equivalents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18,133</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143,691</w:t>
            </w:r>
          </w:p>
        </w:tc>
      </w:tr>
      <w:tr>
        <w:trPr>
          <w:trHeight w:val="218"/>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143,692</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2"/>
        </w:trPr>
        <w:tc>
          <w:tcPr>
            <w:tcW w:w="9000" w:type="dxa"/>
            <w:vAlign w:val="bottom"/>
          </w:tcPr>
          <w:p>
            <w:pPr>
              <w:ind w:left="880"/>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161,825</w:t>
            </w:r>
          </w:p>
        </w:tc>
        <w:tc>
          <w:tcPr>
            <w:tcW w:w="6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143,692</w:t>
            </w:r>
          </w:p>
        </w:tc>
      </w:tr>
      <w:tr>
        <w:trPr>
          <w:trHeight w:val="20"/>
        </w:trPr>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Interest paid during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3,580</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declared during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r>
      <w:tr>
        <w:trPr>
          <w:trHeight w:val="216"/>
        </w:trPr>
        <w:tc>
          <w:tcPr>
            <w:tcW w:w="9000" w:type="dxa"/>
            <w:vAlign w:val="bottom"/>
          </w:tcPr>
          <w:p>
            <w:pPr>
              <w:ind w:left="880"/>
              <w:spacing w:after="0"/>
              <w:rPr>
                <w:sz w:val="20"/>
                <w:szCs w:val="20"/>
                <w:color w:val="auto"/>
              </w:rPr>
            </w:pPr>
            <w:r>
              <w:rPr>
                <w:rFonts w:ascii="Arial" w:cs="Arial" w:eastAsia="Arial" w:hAnsi="Arial"/>
                <w:sz w:val="18"/>
                <w:szCs w:val="18"/>
                <w:color w:val="auto"/>
              </w:rPr>
              <w:t>Reinvestment of dividends during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9,194</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Subscription receivable from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159" w:lineRule="exact"/>
        <w:rPr>
          <w:sz w:val="20"/>
          <w:szCs w:val="20"/>
          <w:color w:val="auto"/>
        </w:rPr>
      </w:pPr>
    </w:p>
    <w:p>
      <w:pPr>
        <w:ind w:right="8220" w:firstLine="8"/>
        <w:spacing w:after="0" w:line="347" w:lineRule="auto"/>
        <w:tabs>
          <w:tab w:leader="none" w:pos="176"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During the six months ended June 30, 2011, the Company was a development stage company as defined in ASC 915-10-05, </w:t>
      </w:r>
      <w:r>
        <w:rPr>
          <w:rFonts w:ascii="Arial" w:cs="Arial" w:eastAsia="Arial" w:hAnsi="Arial"/>
          <w:sz w:val="16"/>
          <w:szCs w:val="16"/>
          <w:i w:val="1"/>
          <w:iCs w:val="1"/>
          <w:color w:val="auto"/>
        </w:rPr>
        <w:t>Development Stage Entity</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this time the Company was devoting substantially all of its efforts to establishing the business and its planned principal operations had not commenced.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losses accumulated during the six months ended June 30, 2011, have been considered a part of the Company’s development stage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jc w:val="both"/>
        <w:ind w:right="360" w:firstLine="456"/>
        <w:spacing w:after="0" w:line="298" w:lineRule="auto"/>
        <w:rPr>
          <w:sz w:val="20"/>
          <w:szCs w:val="20"/>
          <w:color w:val="auto"/>
        </w:rPr>
      </w:pPr>
      <w:r>
        <w:rPr>
          <w:rFonts w:ascii="Arial" w:cs="Arial" w:eastAsia="Arial" w:hAnsi="Arial"/>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significant intercompany balances and transactions have been eliminated in consolidation.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on December 31.</w:t>
      </w:r>
    </w:p>
    <w:p>
      <w:pPr>
        <w:spacing w:after="0" w:line="246" w:lineRule="exact"/>
        <w:rPr>
          <w:sz w:val="20"/>
          <w:szCs w:val="20"/>
          <w:color w:val="auto"/>
        </w:rPr>
      </w:pPr>
    </w:p>
    <w:p>
      <w:pPr>
        <w:ind w:right="8840" w:firstLine="8"/>
        <w:spacing w:after="0" w:line="347" w:lineRule="auto"/>
        <w:tabs>
          <w:tab w:leader="none" w:pos="176"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40"/>
          </w:cols>
          <w:pgMar w:left="240" w:top="460" w:right="3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Investment transactions purchased on a secondary basis are recorded on the trade date. Loan originations are recorded on the funding date which is generally the date of the binding commitment. Realized gains or losses are measured by the difference between the net proceeds from the repayment or sale and the amortized cost basis of the investment without regard to unrealized gains or losses previously recognized, and include investments charged off during the period, net of recoveries. Unrealized gains or losses primarily reflect the change in investment values, including the reversal of previously recorded unrealized gains or losses on investments realized during the period.</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such market quotations. In order to validate market quotations, the Company utilizes a number of factors to determine if the quotations are representative of fair value, including the source and nature of the quotations. Debt and equity securities that are not publicly traded or whose market prices are not readily available are valued at fair value as determined in good faith by the Company’s Board of Directors (the “Board”), based on, among other things, the input of the Adviser, the Company’s Audit Committee and an independent third-party valuation firm engaged at the direction of the Board.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valuation process, the Company takes into account relevant factors in determining the fair value of its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Company considers the pricing indicated by the external event to corroborate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each quarter, which includes, among other procedures, the following:</w:t>
      </w:r>
    </w:p>
    <w:p>
      <w:pPr>
        <w:spacing w:after="0" w:line="90" w:lineRule="exact"/>
        <w:rPr>
          <w:sz w:val="20"/>
          <w:szCs w:val="20"/>
          <w:color w:val="auto"/>
        </w:rPr>
      </w:pPr>
    </w:p>
    <w:p>
      <w:pPr>
        <w:ind w:left="900" w:right="440" w:hanging="325"/>
        <w:spacing w:after="0" w:line="268"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quarterly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connection with debt and equity securities that were valued at fair value in good faith by the Board, the Board has engaged an independent third-party valuation firm to perform certain limited procedures that the Board identified and requested it to perform. As of December 31, 2012, the independent third-party valuation firm performed its procedures on the majority (determined by fair value) of investments that were valued in good faith by the Board which have been outstanding for greater than 45 days. Upon completion of such limited procedures, the third-party valuation firm determined that the fair value, as determined by the Board, of those investments subjected to their limited procedures was reasonable.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580" w:hanging="325"/>
        <w:spacing w:after="0" w:line="268"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(i.e.,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0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issuance costs for revolving credit facilities are amortized over the life of the related debt instrument using the straight line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structuring or diligence fees, and fees for providing managerial assistance to our portfolio companies.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Loan fees received at the closing of a loan where no services have been provided are deferred and amortized into interest income over the investment’s contractual life using the effective yield method.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Cash advances received in respect of transaction-related expenses are recorded as Cash and cash equivalents with an offset to Other accrued expenses and payables to affiliates. Other accrued expenses and payables to affiliates is relieved as reimbursable expenses are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Code for the taxable year ended March 31, 2012.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the Adviser. Net realized long-term capital gains, if any, would be generally distributed at least annually, although the Company may decide to retain such capital gains for investment.</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plans to use newly issued shares to implement the dividend reinvestment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340" w:firstLine="456"/>
        <w:spacing w:after="0" w:line="283" w:lineRule="auto"/>
        <w:rPr>
          <w:sz w:val="20"/>
          <w:szCs w:val="20"/>
          <w:color w:val="auto"/>
        </w:rPr>
      </w:pPr>
      <w:r>
        <w:rPr>
          <w:rFonts w:ascii="Arial" w:cs="Arial" w:eastAsia="Arial" w:hAnsi="Arial"/>
          <w:sz w:val="16"/>
          <w:szCs w:val="16"/>
          <w:color w:val="auto"/>
        </w:rPr>
        <w:t xml:space="preserve">In May 2011, the FASB issued ASU No. 2011-04, </w:t>
      </w:r>
      <w:r>
        <w:rPr>
          <w:rFonts w:ascii="Arial" w:cs="Arial" w:eastAsia="Arial" w:hAnsi="Arial"/>
          <w:sz w:val="16"/>
          <w:szCs w:val="16"/>
          <w:i w:val="1"/>
          <w:iCs w:val="1"/>
          <w:color w:val="auto"/>
        </w:rPr>
        <w:t>Fair Value Measurement Topic 820,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in U.S. GAAP and IFRS </w:t>
      </w:r>
      <w:r>
        <w:rPr>
          <w:rFonts w:ascii="Arial" w:cs="Arial" w:eastAsia="Arial" w:hAnsi="Arial"/>
          <w:sz w:val="16"/>
          <w:szCs w:val="16"/>
          <w:color w:val="auto"/>
        </w:rPr>
        <w:t>(“ASU 2011-04”) which largely aligns fair value measurement and disclosure requirements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Financial Reporting Standards and U.S. GAAP. ASU 2011-04 mainly represents clarifications to ASC 820 as well as some instances where a particular principle or requirement for measuring fair value or disclosing information about fair value measurements has changed. ASU 2011-04 clarifies that</w:t>
      </w:r>
    </w:p>
    <w:p>
      <w:pPr>
        <w:spacing w:after="0" w:line="3" w:lineRule="exact"/>
        <w:rPr>
          <w:sz w:val="20"/>
          <w:szCs w:val="20"/>
          <w:color w:val="auto"/>
        </w:rPr>
      </w:pPr>
    </w:p>
    <w:p>
      <w:pPr>
        <w:ind w:right="100" w:firstLine="8"/>
        <w:spacing w:after="0" w:line="287" w:lineRule="auto"/>
        <w:tabs>
          <w:tab w:leader="none" w:pos="21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highest and best use concept only applies to nonfinancial assets; (ii) an instrument classified in shareholders’ equity should be measured from the perspective of a market participant holding that instrument as an asset; and, (iii) quantitative disclosure is required for unobservable inputs used in Level 3 measurements. ASU 2011-04 amends ASC 820 so that (i) the fair value of a group of financial assets and financial liabilities with similar risk exposures may be measured on the basis of the entity’s net risk exposure; (ii) premiums or discounts may be applied in a fair value measurement under certain circumstances but blockage factor discounts are not permitted; and, (iii) additional Level 3 disclosures are required, including a narrative description of the sensitivity of the fair value measurement to changes in unobservable inputs. ASU 2011-04 is effective for interim and annual periods beginning after December 15, 2011. The Company has adopted ASU 2011-04 as of January 1, 2012. The adoption of ASU 2011-04 did not have a material impact on the Company’s financial position or results of operations.</w:t>
      </w:r>
    </w:p>
    <w:p>
      <w:pPr>
        <w:spacing w:after="0" w:line="199" w:lineRule="exact"/>
        <w:rPr>
          <w:sz w:val="20"/>
          <w:szCs w:val="20"/>
          <w:color w:val="auto"/>
        </w:rPr>
      </w:pPr>
    </w:p>
    <w:p>
      <w:pPr>
        <w:ind w:right="7900" w:firstLine="8"/>
        <w:spacing w:after="0" w:line="347" w:lineRule="auto"/>
        <w:tabs>
          <w:tab w:leader="none" w:pos="176"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On March 15, 2011, the Company entered into an Administration Agreement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Administration Agreement also provides for reimbursement of certain initial organization costs incurred prior to the commencement of the Company’s operations (up to an aggregate of $1.5 million). During the year ended December 31, 2011, initial organization costs exceeded $1.5 million and accordingly, a corresponding amount was recorded in the consolidated financial statements and paid to the Adviser.</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For the years ended December 31, 2012 and 2011, the Company incurred expenses of $1.0 million and $0.3 million, respectively, for administrative services payable to the Adviser under the terms of the Administration Agreement.</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Unless earlier terminated as described below, the Administration Agreement will remain in effect until March 15, 2013, and may be extended subject to required approvals. The Administration Agreement may be terminated by either party without penalty upon at least 60 days’ written notice to the other party.</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and who serves as a director of the Company receives any compensation from the Company for such services.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a percentage of time such individuals devote, on an estimated basis, to the business and affairs of the Company). Directors who are not affiliated with the Adviser receive compensation for their services and reimbursement of expenses incurred to attend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April 15, 2011, the Company entered into an Advisory Agreement (the “Advisory Agreement”) with the Adviser. The Advisory Agreement was subsequently amended on December 12, 2011. Under the terms of the Advisory Agreement, the Adviser will provide investment advisory services to the Company. The Adviser’s services under the Advisory Agreement are not exclusive, and the Adviser is free to furnish similar or other services to others so long as its services to the Company are not impaired. Under the terms of the Advisory Agreement, the Company will pay the Adviser a base management fee (the “Management Fee”) and may also pay certain incentive fees (the “Incentive Fee”).</w:t>
      </w:r>
    </w:p>
    <w:p>
      <w:pPr>
        <w:spacing w:after="0" w:line="116" w:lineRule="exact"/>
        <w:rPr>
          <w:sz w:val="20"/>
          <w:szCs w:val="20"/>
          <w:color w:val="auto"/>
        </w:rPr>
      </w:pPr>
    </w:p>
    <w:p>
      <w:pPr>
        <w:jc w:val="both"/>
        <w:ind w:right="100" w:firstLine="456"/>
        <w:spacing w:after="0" w:line="318" w:lineRule="auto"/>
        <w:rPr>
          <w:sz w:val="20"/>
          <w:szCs w:val="20"/>
          <w:color w:val="auto"/>
        </w:rPr>
      </w:pPr>
      <w:r>
        <w:rPr>
          <w:rFonts w:ascii="Arial" w:cs="Arial" w:eastAsia="Arial" w:hAnsi="Arial"/>
          <w:sz w:val="15"/>
          <w:szCs w:val="15"/>
          <w:color w:val="auto"/>
        </w:rPr>
        <w:t>For the quarterly periods ended September 30, 2011, and June 30, 2011, the Management Fee was calculated at an annual rate of 1.5% based on the value of the Company’s gross assets at the end of such calendar quarter, adjusted for share issuances and repurchases during such period. Beginning October 1, 2011, and until the Company has an initial public offering of its Common Stock (an “IPO”), the Management Fee is calculated at an annual rate of 1.5% based on the average value of the Company’s gross assets calculated using the values at the end of the two most recently completed calendar quarters, adjusted for any share issuances or repurchases during the period. Management Fees are payable quarterly in arrears and are prorated for any partial month or quarter.</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2012 and 2011, Management Fees were $8.9 million and $1.6 million, respectively.</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Until such time that the Company has an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2012 and 2011, Management Fees of $3.7 million and $7 thousand, respectively, were waived.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60"/>
          </w:cols>
          <w:pgMar w:left="240" w:top="460" w:right="2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jc w:val="both"/>
        <w:ind w:left="900" w:hanging="446"/>
        <w:spacing w:after="0" w:line="306" w:lineRule="auto"/>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will equal 100% of the excess of pre-incentive fee net investment income in excess of a 1.5% quarterly hurdle rate, until the Adviser has received 15% (17.5% subsequent to an IPO) of total net investment income for that quarter, and 15% (17.5% subsequent to an IPO) of all remaining pre-incentive fee net investment income for that quarter.</w:t>
      </w:r>
    </w:p>
    <w:p>
      <w:pPr>
        <w:spacing w:after="0" w:line="25" w:lineRule="exact"/>
        <w:rPr>
          <w:rFonts w:ascii="Arial" w:cs="Arial" w:eastAsia="Arial" w:hAnsi="Arial"/>
          <w:sz w:val="16"/>
          <w:szCs w:val="16"/>
          <w:color w:val="auto"/>
        </w:rPr>
      </w:pPr>
    </w:p>
    <w:p>
      <w:pPr>
        <w:ind w:left="900" w:right="40" w:hanging="446"/>
        <w:spacing w:after="0" w:line="290" w:lineRule="auto"/>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IPO, equal 15% of cumulative realized capital gains from the inception of the Company to the end of such fiscal year, less cumulative realized capital losses, unrealized capital depreciation and net of the aggregate amount of any previously paid capital gain incentive fees for prior periods (the “Capital Gains Fee”). Following an IPO, the Capital Gains Fee will equal a weighted percentage of the Company’s realized capital gains, if any, on a cumulative basis as between the inception of the Company to an IPO and from such IPO to the end of such fiscal year. The weighted percentage is intended to ensure that for each fiscal year following an IPO, the portion of the Company’s realized capital gains that accrued prior to an IPO will be subject to an incentive fee rate of 15% and the portion of the Company’s realized capital gains that accrued following an IPO will be subject to an incentive fee rate of 17.5%.</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Notwithstanding the forgoing, if prior to an IPO, cumulative net realized losses from inception of the Company exceed the aggregate dollar amount of dividends paid by the Company through such date, the Adviser will forego the right to receive its quarterly incentive fee payments with respect to pre-incentive fee net investment income until such time that cumulative net realized losses are less than or equal to dividend payments.</w:t>
      </w:r>
    </w:p>
    <w:p>
      <w:pPr>
        <w:spacing w:after="0" w:line="107"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The Company accrues Incentive Fees taking into account unrealized gains and losses; however, Section 205(b)(3) of the Investment Advisers Act of 1940, as amended, prohibits the Adviser from receiving the payment of fees until such gains are realized. There can be no assurance that such unrealized gains will be realized in the future. For the year ended December 31, 2012, Incentive Fees were $7.0 million of which $5.7 million were realized and payable to the Adviser.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2011, Incentive Fees were $0.3 million none of which were realized and payable to the Adviser.</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Unless earlier terminated, the Advisory Agreement will remain in effect until December 12, 2013, and may be extended subject to required approvals. The Advisory Agreement will automatically terminate in the event of an assignment and may be terminated by either party without penalty upon at least 60 days’ written notice to the other party.</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years ended December 31, 2012 and 2011, were $3.8 million and $2.3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basis, without regard to whether they are non-controlled non-affiliated, non-controlled affiliated or controlled investments.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2012 and 2011: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2012</w:t>
            </w: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12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54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337"/>
              <w:spacing w:after="0"/>
              <w:rPr>
                <w:sz w:val="20"/>
                <w:szCs w:val="20"/>
                <w:color w:val="auto"/>
              </w:rPr>
            </w:pPr>
            <w:r>
              <w:rPr>
                <w:rFonts w:ascii="Arial" w:cs="Arial" w:eastAsia="Arial" w:hAnsi="Arial"/>
                <w:sz w:val="11"/>
                <w:szCs w:val="11"/>
                <w:b w:val="1"/>
                <w:bCs w:val="1"/>
                <w:color w:val="auto"/>
              </w:rPr>
              <w:t>(1)</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575,089</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$582,287</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67,332</w:t>
            </w:r>
          </w:p>
        </w:tc>
        <w:tc>
          <w:tcPr>
            <w:tcW w:w="1720" w:type="dxa"/>
            <w:vAlign w:val="bottom"/>
            <w:gridSpan w:val="3"/>
          </w:tcPr>
          <w:p>
            <w:pPr>
              <w:jc w:val="right"/>
              <w:ind w:right="500"/>
              <w:spacing w:after="0"/>
              <w:rPr>
                <w:sz w:val="20"/>
                <w:szCs w:val="20"/>
                <w:color w:val="auto"/>
              </w:rPr>
            </w:pPr>
            <w:r>
              <w:rPr>
                <w:rFonts w:ascii="Arial" w:cs="Arial" w:eastAsia="Arial" w:hAnsi="Arial"/>
                <w:sz w:val="18"/>
                <w:szCs w:val="18"/>
                <w:color w:val="auto"/>
              </w:rPr>
              <w:t>69,657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644,421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653,944</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2011</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12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54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337"/>
              <w:spacing w:after="0"/>
              <w:rPr>
                <w:sz w:val="20"/>
                <w:szCs w:val="20"/>
                <w:color w:val="auto"/>
              </w:rPr>
            </w:pPr>
            <w:r>
              <w:rPr>
                <w:rFonts w:ascii="Arial" w:cs="Arial" w:eastAsia="Arial" w:hAnsi="Arial"/>
                <w:sz w:val="11"/>
                <w:szCs w:val="11"/>
                <w:b w:val="1"/>
                <w:bCs w:val="1"/>
                <w:color w:val="auto"/>
              </w:rPr>
              <w:t>(1)</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Gains (Losses)</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157,869</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$160,178</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14,262</w:t>
            </w:r>
          </w:p>
        </w:tc>
        <w:tc>
          <w:tcPr>
            <w:tcW w:w="1720" w:type="dxa"/>
            <w:vAlign w:val="bottom"/>
            <w:gridSpan w:val="3"/>
          </w:tcPr>
          <w:p>
            <w:pPr>
              <w:jc w:val="right"/>
              <w:ind w:right="500"/>
              <w:spacing w:after="0"/>
              <w:rPr>
                <w:sz w:val="20"/>
                <w:szCs w:val="20"/>
                <w:color w:val="auto"/>
              </w:rPr>
            </w:pPr>
            <w:r>
              <w:rPr>
                <w:rFonts w:ascii="Arial" w:cs="Arial" w:eastAsia="Arial" w:hAnsi="Arial"/>
                <w:sz w:val="18"/>
                <w:szCs w:val="18"/>
                <w:color w:val="auto"/>
              </w:rPr>
              <w:t>14,170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9,905</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182,036</w:t>
            </w:r>
          </w:p>
        </w:tc>
        <w:tc>
          <w:tcPr>
            <w:tcW w:w="17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184,348</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480" w:hanging="567"/>
        <w:spacing w:after="0" w:line="268" w:lineRule="auto"/>
        <w:tabs>
          <w:tab w:leader="none" w:pos="14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2012 and 2011,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35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December 31, 2012</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20"/>
        </w:trPr>
        <w:tc>
          <w:tcPr>
            <w:tcW w:w="3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70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8.6%</w:t>
            </w:r>
          </w:p>
        </w:tc>
        <w:tc>
          <w:tcPr>
            <w:tcW w:w="60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Automotive</w:t>
            </w:r>
          </w:p>
        </w:tc>
        <w:tc>
          <w:tcPr>
            <w:tcW w:w="3520" w:type="dxa"/>
            <w:vAlign w:val="bottom"/>
            <w:gridSpan w:val="3"/>
          </w:tcPr>
          <w:p>
            <w:pPr>
              <w:jc w:val="right"/>
              <w:ind w:right="580"/>
              <w:spacing w:after="0"/>
              <w:rPr>
                <w:sz w:val="20"/>
                <w:szCs w:val="20"/>
                <w:color w:val="auto"/>
              </w:rPr>
            </w:pPr>
            <w:r>
              <w:rPr>
                <w:rFonts w:ascii="Arial" w:cs="Arial" w:eastAsia="Arial" w:hAnsi="Arial"/>
                <w:sz w:val="18"/>
                <w:szCs w:val="18"/>
                <w:color w:val="auto"/>
              </w:rPr>
              <w:t>8.9%</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8.6%</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Business services</w:t>
            </w:r>
          </w:p>
        </w:tc>
        <w:tc>
          <w:tcPr>
            <w:tcW w:w="3520" w:type="dxa"/>
            <w:vAlign w:val="bottom"/>
            <w:gridSpan w:val="3"/>
          </w:tcPr>
          <w:p>
            <w:pPr>
              <w:jc w:val="right"/>
              <w:ind w:right="580"/>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3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11.0%</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3520" w:type="dxa"/>
            <w:vAlign w:val="bottom"/>
            <w:gridSpan w:val="3"/>
          </w:tcPr>
          <w:p>
            <w:pPr>
              <w:jc w:val="right"/>
              <w:ind w:right="580"/>
              <w:spacing w:after="0"/>
              <w:rPr>
                <w:sz w:val="20"/>
                <w:szCs w:val="20"/>
                <w:color w:val="auto"/>
              </w:rPr>
            </w:pPr>
            <w:r>
              <w:rPr>
                <w:rFonts w:ascii="Arial" w:cs="Arial" w:eastAsia="Arial" w:hAnsi="Arial"/>
                <w:sz w:val="18"/>
                <w:szCs w:val="18"/>
                <w:color w:val="auto"/>
              </w:rPr>
              <w:t>8.1%</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17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Education</w:t>
            </w:r>
          </w:p>
        </w:tc>
        <w:tc>
          <w:tcPr>
            <w:tcW w:w="1700" w:type="dxa"/>
            <w:vAlign w:val="bottom"/>
          </w:tcPr>
          <w:p>
            <w:pPr>
              <w:spacing w:after="0"/>
              <w:rPr>
                <w:sz w:val="18"/>
                <w:szCs w:val="18"/>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3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0.7%</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Financial services</w:t>
            </w:r>
          </w:p>
        </w:tc>
        <w:tc>
          <w:tcPr>
            <w:tcW w:w="3520" w:type="dxa"/>
            <w:vAlign w:val="bottom"/>
            <w:gridSpan w:val="3"/>
          </w:tcPr>
          <w:p>
            <w:pPr>
              <w:jc w:val="right"/>
              <w:ind w:right="580"/>
              <w:spacing w:after="0"/>
              <w:rPr>
                <w:sz w:val="20"/>
                <w:szCs w:val="20"/>
                <w:color w:val="auto"/>
              </w:rPr>
            </w:pPr>
            <w:r>
              <w:rPr>
                <w:rFonts w:ascii="Arial" w:cs="Arial" w:eastAsia="Arial" w:hAnsi="Arial"/>
                <w:sz w:val="18"/>
                <w:szCs w:val="18"/>
                <w:color w:val="auto"/>
              </w:rPr>
              <w:t>15.0%</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3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17.2%</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520" w:type="dxa"/>
            <w:vAlign w:val="bottom"/>
            <w:gridSpan w:val="3"/>
          </w:tcPr>
          <w:p>
            <w:pPr>
              <w:jc w:val="right"/>
              <w:ind w:right="580"/>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3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2.3%</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Insurance</w:t>
            </w:r>
          </w:p>
        </w:tc>
        <w:tc>
          <w:tcPr>
            <w:tcW w:w="3520" w:type="dxa"/>
            <w:vAlign w:val="bottom"/>
            <w:gridSpan w:val="3"/>
          </w:tcPr>
          <w:p>
            <w:pPr>
              <w:jc w:val="right"/>
              <w:ind w:right="580"/>
              <w:spacing w:after="0"/>
              <w:rPr>
                <w:sz w:val="20"/>
                <w:szCs w:val="20"/>
                <w:color w:val="auto"/>
              </w:rPr>
            </w:pPr>
            <w:r>
              <w:rPr>
                <w:rFonts w:ascii="Arial" w:cs="Arial" w:eastAsia="Arial" w:hAnsi="Arial"/>
                <w:sz w:val="18"/>
                <w:szCs w:val="18"/>
                <w:color w:val="auto"/>
              </w:rPr>
              <w:t>4.6%</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7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Office products</w:t>
            </w:r>
          </w:p>
        </w:tc>
        <w:tc>
          <w:tcPr>
            <w:tcW w:w="3520" w:type="dxa"/>
            <w:vAlign w:val="bottom"/>
            <w:gridSpan w:val="3"/>
          </w:tcPr>
          <w:p>
            <w:pPr>
              <w:jc w:val="right"/>
              <w:ind w:right="580"/>
              <w:spacing w:after="0"/>
              <w:rPr>
                <w:sz w:val="20"/>
                <w:szCs w:val="20"/>
                <w:color w:val="auto"/>
              </w:rPr>
            </w:pPr>
            <w:r>
              <w:rPr>
                <w:rFonts w:ascii="Arial" w:cs="Arial" w:eastAsia="Arial" w:hAnsi="Arial"/>
                <w:sz w:val="18"/>
                <w:szCs w:val="18"/>
                <w:color w:val="auto"/>
              </w:rPr>
              <w:t>3.3%</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17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Transportation</w:t>
            </w:r>
          </w:p>
        </w:tc>
        <w:tc>
          <w:tcPr>
            <w:tcW w:w="1700" w:type="dxa"/>
            <w:vAlign w:val="bottom"/>
          </w:tcPr>
          <w:p>
            <w:pPr>
              <w:spacing w:after="0"/>
              <w:rPr>
                <w:sz w:val="18"/>
                <w:szCs w:val="18"/>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7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60" w:type="dxa"/>
            <w:vAlign w:val="bottom"/>
          </w:tcPr>
          <w:p>
            <w:pPr>
              <w:spacing w:after="0"/>
              <w:rPr>
                <w:sz w:val="24"/>
                <w:szCs w:val="24"/>
                <w:color w:val="auto"/>
              </w:rPr>
            </w:pPr>
          </w:p>
        </w:tc>
        <w:tc>
          <w:tcPr>
            <w:tcW w:w="3520" w:type="dxa"/>
            <w:vAlign w:val="bottom"/>
            <w:gridSpan w:val="3"/>
          </w:tcPr>
          <w:p>
            <w:pPr>
              <w:jc w:val="right"/>
              <w:ind w:right="2280"/>
              <w:spacing w:after="0"/>
              <w:rPr>
                <w:sz w:val="20"/>
                <w:szCs w:val="20"/>
                <w:color w:val="auto"/>
              </w:rPr>
            </w:pPr>
            <w:r>
              <w:rPr>
                <w:rFonts w:ascii="Arial" w:cs="Arial" w:eastAsia="Arial" w:hAnsi="Arial"/>
                <w:sz w:val="18"/>
                <w:szCs w:val="18"/>
                <w:color w:val="auto"/>
              </w:rPr>
              <w:t>F-19</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December 31, 2012 and 2011,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46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w w:val="84"/>
              </w:rPr>
              <w:t>December 31, 2012</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2011</w:t>
            </w:r>
          </w:p>
        </w:tc>
      </w:tr>
      <w:tr>
        <w:trPr>
          <w:trHeight w:val="196"/>
        </w:trPr>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Midwest</w:t>
            </w:r>
          </w:p>
        </w:tc>
        <w:tc>
          <w:tcPr>
            <w:tcW w:w="2460" w:type="dxa"/>
            <w:vAlign w:val="bottom"/>
            <w:gridSpan w:val="2"/>
          </w:tcPr>
          <w:p>
            <w:pPr>
              <w:jc w:val="right"/>
              <w:ind w:right="1220"/>
              <w:spacing w:after="0"/>
              <w:rPr>
                <w:sz w:val="20"/>
                <w:szCs w:val="20"/>
                <w:color w:val="auto"/>
              </w:rPr>
            </w:pPr>
            <w:r>
              <w:rPr>
                <w:rFonts w:ascii="Arial" w:cs="Arial" w:eastAsia="Arial" w:hAnsi="Arial"/>
                <w:sz w:val="18"/>
                <w:szCs w:val="18"/>
                <w:color w:val="auto"/>
              </w:rPr>
              <w:t>18.8%</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246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17.8%</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South</w:t>
            </w:r>
          </w:p>
        </w:tc>
        <w:tc>
          <w:tcPr>
            <w:tcW w:w="2460" w:type="dxa"/>
            <w:vAlign w:val="bottom"/>
            <w:gridSpan w:val="2"/>
          </w:tcPr>
          <w:p>
            <w:pPr>
              <w:jc w:val="right"/>
              <w:ind w:right="1220"/>
              <w:spacing w:after="0"/>
              <w:rPr>
                <w:sz w:val="20"/>
                <w:szCs w:val="20"/>
                <w:color w:val="auto"/>
              </w:rPr>
            </w:pPr>
            <w:r>
              <w:rPr>
                <w:rFonts w:ascii="Arial" w:cs="Arial" w:eastAsia="Arial" w:hAnsi="Arial"/>
                <w:sz w:val="18"/>
                <w:szCs w:val="18"/>
                <w:color w:val="auto"/>
              </w:rPr>
              <w:t>25.7%</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26.4%</w:t>
            </w: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246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37.7%</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57.8%</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Canada</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r>
      <w:tr>
        <w:trPr>
          <w:trHeight w:val="27"/>
        </w:trPr>
        <w:tc>
          <w:tcPr>
            <w:tcW w:w="58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46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5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300" w:firstLine="8"/>
        <w:spacing w:after="0" w:line="347" w:lineRule="auto"/>
        <w:tabs>
          <w:tab w:leader="none" w:pos="176"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Investments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fair value measurements of investments as of December 31, 2012 and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9"/>
          </w:tcPr>
          <w:p>
            <w:pPr>
              <w:ind w:left="280"/>
              <w:spacing w:after="0"/>
              <w:rPr>
                <w:sz w:val="20"/>
                <w:szCs w:val="20"/>
                <w:color w:val="auto"/>
              </w:rPr>
            </w:pPr>
            <w:r>
              <w:rPr>
                <w:rFonts w:ascii="Arial" w:cs="Arial" w:eastAsia="Arial" w:hAnsi="Arial"/>
                <w:sz w:val="14"/>
                <w:szCs w:val="14"/>
                <w:b w:val="1"/>
                <w:bCs w:val="1"/>
                <w:color w:val="auto"/>
                <w:w w:val="88"/>
              </w:rPr>
              <w:t>Fair Value Hierarchy at December 31, 2012</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500" w:type="dxa"/>
            <w:vAlign w:val="bottom"/>
          </w:tcPr>
          <w:p>
            <w:pPr>
              <w:spacing w:after="0"/>
              <w:rPr>
                <w:sz w:val="12"/>
                <w:szCs w:val="12"/>
                <w:color w:val="auto"/>
              </w:rPr>
            </w:pPr>
          </w:p>
        </w:tc>
        <w:tc>
          <w:tcPr>
            <w:tcW w:w="1100" w:type="dxa"/>
            <w:vAlign w:val="bottom"/>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118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66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4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0"/>
              </w:rPr>
              <w:t>$ —</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$68,183</w:t>
            </w: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$514,104</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$582,287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4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16,467</w:t>
            </w:r>
          </w:p>
        </w:tc>
        <w:tc>
          <w:tcPr>
            <w:tcW w:w="4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53,190</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69,657</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Equity</w:t>
            </w: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0"/>
              </w:rPr>
              <w:t>$ —</w:t>
            </w:r>
          </w:p>
        </w:tc>
        <w:tc>
          <w:tcPr>
            <w:tcW w:w="5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84,650</w:t>
            </w:r>
          </w:p>
        </w:tc>
        <w:tc>
          <w:tcPr>
            <w:tcW w:w="4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569,294</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653,944</w:t>
            </w:r>
          </w:p>
        </w:tc>
        <w:tc>
          <w:tcPr>
            <w:tcW w:w="100" w:type="dxa"/>
            <w:vAlign w:val="bottom"/>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5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ind w:left="280"/>
              <w:spacing w:after="0"/>
              <w:rPr>
                <w:sz w:val="20"/>
                <w:szCs w:val="20"/>
                <w:color w:val="auto"/>
              </w:rPr>
            </w:pPr>
            <w:r>
              <w:rPr>
                <w:rFonts w:ascii="Arial" w:cs="Arial" w:eastAsia="Arial" w:hAnsi="Arial"/>
                <w:sz w:val="14"/>
                <w:szCs w:val="14"/>
                <w:b w:val="1"/>
                <w:bCs w:val="1"/>
                <w:color w:val="auto"/>
                <w:w w:val="88"/>
              </w:rPr>
              <w:t>Fair Value Hierarchy at December 31, 2011</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5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118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66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4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0"/>
              </w:rPr>
              <w:t>$ —</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w:t>
            </w: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$160,178</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$160,178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4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14,170</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14,170</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Equity</w:t>
            </w: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0"/>
              </w:rPr>
              <w:t>$ —</w:t>
            </w:r>
          </w:p>
        </w:tc>
        <w:tc>
          <w:tcPr>
            <w:tcW w:w="5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 —</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184,348</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184,348</w:t>
            </w:r>
          </w:p>
        </w:tc>
        <w:tc>
          <w:tcPr>
            <w:tcW w:w="100" w:type="dxa"/>
            <w:vAlign w:val="bottom"/>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2012 and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Year Ended</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5"/>
              </w:rPr>
              <w:t>December 31, 2012</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2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Debt</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93"/>
              </w:rPr>
              <w:t>Equity</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Investments</w:t>
            </w:r>
          </w:p>
        </w:tc>
        <w:tc>
          <w:tcPr>
            <w:tcW w:w="420" w:type="dxa"/>
            <w:vAlign w:val="bottom"/>
          </w:tcPr>
          <w:p>
            <w:pPr>
              <w:spacing w:after="0"/>
              <w:rPr>
                <w:sz w:val="14"/>
                <w:szCs w:val="14"/>
                <w:color w:val="auto"/>
              </w:rPr>
            </w:pPr>
          </w:p>
        </w:tc>
        <w:tc>
          <w:tcPr>
            <w:tcW w:w="11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Investments</w:t>
            </w:r>
          </w:p>
        </w:tc>
        <w:tc>
          <w:tcPr>
            <w:tcW w:w="24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28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$ 174,348</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Purchases</w:t>
            </w:r>
          </w:p>
        </w:tc>
        <w:tc>
          <w:tcPr>
            <w:tcW w:w="3840" w:type="dxa"/>
            <w:vAlign w:val="bottom"/>
            <w:gridSpan w:val="3"/>
          </w:tcPr>
          <w:p>
            <w:pPr>
              <w:jc w:val="right"/>
              <w:ind w:right="280"/>
              <w:spacing w:after="0"/>
              <w:rPr>
                <w:sz w:val="20"/>
                <w:szCs w:val="20"/>
                <w:color w:val="auto"/>
              </w:rPr>
            </w:pPr>
            <w:r>
              <w:rPr>
                <w:rFonts w:ascii="Arial" w:cs="Arial" w:eastAsia="Arial" w:hAnsi="Arial"/>
                <w:sz w:val="18"/>
                <w:szCs w:val="18"/>
                <w:color w:val="auto"/>
              </w:rPr>
              <w:t>670,544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672,544</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3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(97,090)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(97,090)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3840" w:type="dxa"/>
            <w:vAlign w:val="bottom"/>
            <w:gridSpan w:val="3"/>
          </w:tcPr>
          <w:p>
            <w:pPr>
              <w:jc w:val="right"/>
              <w:ind w:right="240"/>
              <w:spacing w:after="0"/>
              <w:rPr>
                <w:sz w:val="20"/>
                <w:szCs w:val="20"/>
                <w:color w:val="auto"/>
              </w:rPr>
            </w:pPr>
            <w:r>
              <w:rPr>
                <w:rFonts w:ascii="Arial" w:cs="Arial" w:eastAsia="Arial" w:hAnsi="Arial"/>
                <w:sz w:val="18"/>
                <w:szCs w:val="18"/>
                <w:color w:val="auto"/>
              </w:rPr>
              <w:t>(180,343)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(10,000)</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(190,343)</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3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1,731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3840" w:type="dxa"/>
            <w:vAlign w:val="bottom"/>
            <w:gridSpan w:val="3"/>
          </w:tcPr>
          <w:p>
            <w:pPr>
              <w:jc w:val="right"/>
              <w:ind w:right="280"/>
              <w:spacing w:after="0"/>
              <w:rPr>
                <w:sz w:val="20"/>
                <w:szCs w:val="20"/>
                <w:color w:val="auto"/>
              </w:rPr>
            </w:pPr>
            <w:r>
              <w:rPr>
                <w:rFonts w:ascii="Arial" w:cs="Arial" w:eastAsia="Arial" w:hAnsi="Arial"/>
                <w:sz w:val="18"/>
                <w:szCs w:val="18"/>
                <w:color w:val="auto"/>
              </w:rPr>
              <w:t>7,434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3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3840" w:type="dxa"/>
            <w:vAlign w:val="bottom"/>
            <w:gridSpan w:val="3"/>
          </w:tcPr>
          <w:p>
            <w:pPr>
              <w:jc w:val="right"/>
              <w:ind w:right="280"/>
              <w:spacing w:after="0"/>
              <w:rPr>
                <w:sz w:val="20"/>
                <w:szCs w:val="20"/>
                <w:color w:val="auto"/>
              </w:rPr>
            </w:pPr>
            <w:r>
              <w:rPr>
                <w:rFonts w:ascii="Arial" w:cs="Arial" w:eastAsia="Arial" w:hAnsi="Arial"/>
                <w:sz w:val="18"/>
                <w:szCs w:val="18"/>
                <w:color w:val="auto"/>
              </w:rPr>
              <w:t>3,940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28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(14,170)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2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vMerge w:val="continue"/>
          </w:tcPr>
          <w:p>
            <w:pPr>
              <w:spacing w:after="0"/>
              <w:rPr>
                <w:sz w:val="19"/>
                <w:szCs w:val="19"/>
                <w:color w:val="auto"/>
              </w:rPr>
            </w:pPr>
          </w:p>
        </w:tc>
        <w:tc>
          <w:tcPr>
            <w:tcW w:w="28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$ 567,294</w:t>
            </w:r>
          </w:p>
        </w:tc>
        <w:tc>
          <w:tcPr>
            <w:tcW w:w="2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$ 569,294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20" w:type="dxa"/>
            <w:vAlign w:val="bottom"/>
          </w:tcPr>
          <w:p>
            <w:pPr>
              <w:spacing w:after="0"/>
              <w:rPr>
                <w:sz w:val="24"/>
                <w:szCs w:val="24"/>
                <w:color w:val="auto"/>
              </w:rPr>
            </w:pPr>
          </w:p>
        </w:tc>
        <w:tc>
          <w:tcPr>
            <w:tcW w:w="3840" w:type="dxa"/>
            <w:vAlign w:val="bottom"/>
            <w:gridSpan w:val="3"/>
          </w:tcPr>
          <w:p>
            <w:pPr>
              <w:jc w:val="right"/>
              <w:ind w:right="2440"/>
              <w:spacing w:after="0"/>
              <w:rPr>
                <w:sz w:val="20"/>
                <w:szCs w:val="20"/>
                <w:color w:val="auto"/>
              </w:rPr>
            </w:pPr>
            <w:r>
              <w:rPr>
                <w:rFonts w:ascii="Arial" w:cs="Arial" w:eastAsia="Arial" w:hAnsi="Arial"/>
                <w:sz w:val="18"/>
                <w:szCs w:val="18"/>
                <w:color w:val="auto"/>
              </w:rPr>
              <w:t>F-20</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60"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Year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December 31, 2011</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right"/>
              <w:ind w:right="480"/>
              <w:spacing w:after="0" w:line="129" w:lineRule="exact"/>
              <w:rPr>
                <w:sz w:val="20"/>
                <w:szCs w:val="20"/>
                <w:color w:val="auto"/>
              </w:rPr>
            </w:pPr>
            <w:r>
              <w:rPr>
                <w:rFonts w:ascii="Arial" w:cs="Arial" w:eastAsia="Arial" w:hAnsi="Arial"/>
                <w:sz w:val="14"/>
                <w:szCs w:val="14"/>
                <w:b w:val="1"/>
                <w:bCs w:val="1"/>
                <w:color w:val="auto"/>
              </w:rPr>
              <w:t>Debt</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8"/>
              </w:rPr>
              <w:t>Equity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020" w:type="dxa"/>
            <w:vAlign w:val="bottom"/>
          </w:tcPr>
          <w:p>
            <w:pPr>
              <w:spacing w:after="0"/>
              <w:rPr>
                <w:sz w:val="14"/>
                <w:szCs w:val="14"/>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Investments</w:t>
            </w:r>
          </w:p>
        </w:tc>
        <w:tc>
          <w:tcPr>
            <w:tcW w:w="38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Investments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10"/>
        </w:trPr>
        <w:tc>
          <w:tcPr>
            <w:tcW w:w="6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Purchases, net</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174,291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9,905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184,196</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(2,503)</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unrealized gains on investments</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2,217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2,312</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r>
      <w:tr>
        <w:trPr>
          <w:trHeight w:val="222"/>
        </w:trPr>
        <w:tc>
          <w:tcPr>
            <w:tcW w:w="6020" w:type="dxa"/>
            <w:vAlign w:val="bottom"/>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174,348</w:t>
            </w:r>
          </w:p>
        </w:tc>
        <w:tc>
          <w:tcPr>
            <w:tcW w:w="2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10,000</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184,348</w:t>
            </w:r>
          </w:p>
        </w:tc>
      </w:tr>
      <w:tr>
        <w:trPr>
          <w:trHeight w:val="20"/>
        </w:trPr>
        <w:tc>
          <w:tcPr>
            <w:tcW w:w="6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Rare Restaurant Group, LLC transferred out of Level 3 during the year ended December 31, 2012, as a result of changes in the observability of inputs into its valuation. Other than Rare Restaurant Group, LLC, there were no transfers between levels in the fair value hierarchy during the year ended December 31, 2012. There were no transfers between levels in the fair value hierarchy during the year ended December 31, 2011.</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2012 and 2011:</w:t>
      </w:r>
    </w:p>
    <w:p>
      <w:pPr>
        <w:sectPr>
          <w:pgSz w:w="11900" w:h="16838" w:orient="portrait"/>
          <w:cols w:equalWidth="0" w:num="1">
            <w:col w:w="11420"/>
          </w:cols>
          <w:pgMar w:left="240" w:top="460" w:right="239" w:bottom="1440" w:gutter="0" w:footer="0" w:header="0"/>
        </w:sectPr>
      </w:pPr>
    </w:p>
    <w:p>
      <w:pPr>
        <w:spacing w:after="0" w:line="168" w:lineRule="exact"/>
        <w:rPr>
          <w:sz w:val="20"/>
          <w:szCs w:val="20"/>
          <w:color w:val="auto"/>
        </w:rPr>
      </w:pPr>
    </w:p>
    <w:p>
      <w:pPr>
        <w:jc w:val="center"/>
        <w:ind w:left="4640"/>
        <w:spacing w:after="0"/>
        <w:rPr>
          <w:sz w:val="20"/>
          <w:szCs w:val="20"/>
          <w:color w:val="auto"/>
        </w:rPr>
      </w:pPr>
      <w:r>
        <w:rPr>
          <w:rFonts w:ascii="Arial" w:cs="Arial" w:eastAsia="Arial" w:hAnsi="Arial"/>
          <w:sz w:val="12"/>
          <w:szCs w:val="12"/>
          <w:b w:val="1"/>
          <w:bCs w:val="1"/>
          <w:color w:val="auto"/>
        </w:rPr>
        <w:t>Net Change in Unrealized</w:t>
      </w:r>
    </w:p>
    <w:p>
      <w:pPr>
        <w:spacing w:after="0" w:line="25" w:lineRule="exact"/>
        <w:rPr>
          <w:sz w:val="20"/>
          <w:szCs w:val="20"/>
          <w:color w:val="auto"/>
        </w:rPr>
      </w:pPr>
    </w:p>
    <w:p>
      <w:pPr>
        <w:jc w:val="center"/>
        <w:ind w:left="4640"/>
        <w:spacing w:after="0"/>
        <w:rPr>
          <w:sz w:val="20"/>
          <w:szCs w:val="20"/>
          <w:color w:val="auto"/>
        </w:rPr>
      </w:pPr>
      <w:r>
        <w:rPr>
          <w:rFonts w:ascii="Arial" w:cs="Arial" w:eastAsia="Arial" w:hAnsi="Arial"/>
          <w:sz w:val="12"/>
          <w:szCs w:val="12"/>
          <w:b w:val="1"/>
          <w:bCs w:val="1"/>
          <w:color w:val="auto"/>
        </w:rPr>
        <w:t>Appreciation or Depreciation</w:t>
      </w:r>
    </w:p>
    <w:p>
      <w:pPr>
        <w:jc w:val="center"/>
        <w:ind w:left="4640"/>
        <w:spacing w:after="0" w:line="237" w:lineRule="auto"/>
        <w:rPr>
          <w:sz w:val="20"/>
          <w:szCs w:val="20"/>
          <w:color w:val="auto"/>
        </w:rPr>
      </w:pPr>
      <w:r>
        <w:rPr>
          <w:rFonts w:ascii="Arial" w:cs="Arial" w:eastAsia="Arial" w:hAnsi="Arial"/>
          <w:sz w:val="14"/>
          <w:szCs w:val="14"/>
          <w:b w:val="1"/>
          <w:bCs w:val="1"/>
          <w:color w:val="auto"/>
        </w:rPr>
        <w:t>for the Year Ended</w:t>
      </w:r>
    </w:p>
    <w:p>
      <w:pPr>
        <w:ind w:left="5680"/>
        <w:spacing w:after="0" w:line="221" w:lineRule="auto"/>
        <w:rPr>
          <w:sz w:val="20"/>
          <w:szCs w:val="20"/>
          <w:color w:val="auto"/>
        </w:rPr>
      </w:pPr>
      <w:r>
        <w:rPr>
          <w:rFonts w:ascii="Arial" w:cs="Arial" w:eastAsia="Arial" w:hAnsi="Arial"/>
          <w:sz w:val="14"/>
          <w:szCs w:val="14"/>
          <w:b w:val="1"/>
          <w:bCs w:val="1"/>
          <w:color w:val="auto"/>
        </w:rPr>
        <w:t>December 31, 2012 on</w:t>
      </w:r>
    </w:p>
    <w:p>
      <w:pPr>
        <w:ind w:left="5740"/>
        <w:spacing w:after="0" w:line="222" w:lineRule="auto"/>
        <w:rPr>
          <w:sz w:val="20"/>
          <w:szCs w:val="20"/>
          <w:color w:val="auto"/>
        </w:rPr>
      </w:pPr>
      <w:r>
        <w:rPr>
          <w:rFonts w:ascii="Arial" w:cs="Arial" w:eastAsia="Arial" w:hAnsi="Arial"/>
          <w:sz w:val="14"/>
          <w:szCs w:val="14"/>
          <w:b w:val="1"/>
          <w:bCs w:val="1"/>
          <w:color w:val="auto"/>
        </w:rPr>
        <w:t>Investments Held at</w:t>
      </w:r>
    </w:p>
    <w:p>
      <w:pPr>
        <w:ind w:left="5780"/>
        <w:spacing w:after="0" w:line="216" w:lineRule="auto"/>
        <w:rPr>
          <w:sz w:val="20"/>
          <w:szCs w:val="20"/>
          <w:color w:val="auto"/>
        </w:rPr>
      </w:pPr>
      <w:r>
        <w:rPr>
          <w:rFonts w:ascii="Arial" w:cs="Arial" w:eastAsia="Arial" w:hAnsi="Arial"/>
          <w:sz w:val="14"/>
          <w:szCs w:val="14"/>
          <w:b w:val="1"/>
          <w:bCs w:val="1"/>
          <w:color w:val="auto"/>
        </w:rPr>
        <w:t>December 31, 2012</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1020"/>
        <w:spacing w:after="0"/>
        <w:rPr>
          <w:sz w:val="20"/>
          <w:szCs w:val="20"/>
          <w:color w:val="auto"/>
        </w:rPr>
      </w:pPr>
      <w:r>
        <w:rPr>
          <w:rFonts w:ascii="Arial" w:cs="Arial" w:eastAsia="Arial" w:hAnsi="Arial"/>
          <w:sz w:val="12"/>
          <w:szCs w:val="12"/>
          <w:b w:val="1"/>
          <w:bCs w:val="1"/>
          <w:color w:val="auto"/>
        </w:rPr>
        <w:t>Net Change in Unrealized</w:t>
      </w:r>
    </w:p>
    <w:p>
      <w:pPr>
        <w:spacing w:after="0" w:line="25" w:lineRule="exact"/>
        <w:rPr>
          <w:sz w:val="20"/>
          <w:szCs w:val="20"/>
          <w:color w:val="auto"/>
        </w:rPr>
      </w:pPr>
    </w:p>
    <w:p>
      <w:pPr>
        <w:jc w:val="center"/>
        <w:ind w:right="1020"/>
        <w:spacing w:after="0"/>
        <w:rPr>
          <w:sz w:val="20"/>
          <w:szCs w:val="20"/>
          <w:color w:val="auto"/>
        </w:rPr>
      </w:pPr>
      <w:r>
        <w:rPr>
          <w:rFonts w:ascii="Arial" w:cs="Arial" w:eastAsia="Arial" w:hAnsi="Arial"/>
          <w:sz w:val="12"/>
          <w:szCs w:val="12"/>
          <w:b w:val="1"/>
          <w:bCs w:val="1"/>
          <w:color w:val="auto"/>
        </w:rPr>
        <w:t>Appreciation or Depreciation</w:t>
      </w:r>
    </w:p>
    <w:p>
      <w:pPr>
        <w:jc w:val="center"/>
        <w:ind w:right="1020"/>
        <w:spacing w:after="0" w:line="237" w:lineRule="auto"/>
        <w:rPr>
          <w:sz w:val="20"/>
          <w:szCs w:val="20"/>
          <w:color w:val="auto"/>
        </w:rPr>
      </w:pPr>
      <w:r>
        <w:rPr>
          <w:rFonts w:ascii="Arial" w:cs="Arial" w:eastAsia="Arial" w:hAnsi="Arial"/>
          <w:sz w:val="14"/>
          <w:szCs w:val="14"/>
          <w:b w:val="1"/>
          <w:bCs w:val="1"/>
          <w:color w:val="auto"/>
        </w:rPr>
        <w:t>for the Year Ended</w:t>
      </w:r>
    </w:p>
    <w:p>
      <w:pPr>
        <w:ind w:left="220"/>
        <w:spacing w:after="0"/>
        <w:rPr>
          <w:sz w:val="20"/>
          <w:szCs w:val="20"/>
          <w:color w:val="auto"/>
        </w:rPr>
      </w:pPr>
      <w:r>
        <w:rPr>
          <w:rFonts w:ascii="Arial" w:cs="Arial" w:eastAsia="Arial" w:hAnsi="Arial"/>
          <w:sz w:val="12"/>
          <w:szCs w:val="12"/>
          <w:b w:val="1"/>
          <w:bCs w:val="1"/>
          <w:color w:val="auto"/>
        </w:rPr>
        <w:t>December 31, 2011 on</w:t>
      </w:r>
    </w:p>
    <w:p>
      <w:pPr>
        <w:ind w:left="260"/>
        <w:spacing w:after="0" w:line="237" w:lineRule="auto"/>
        <w:rPr>
          <w:sz w:val="20"/>
          <w:szCs w:val="20"/>
          <w:color w:val="auto"/>
        </w:rPr>
      </w:pPr>
      <w:r>
        <w:rPr>
          <w:rFonts w:ascii="Arial" w:cs="Arial" w:eastAsia="Arial" w:hAnsi="Arial"/>
          <w:sz w:val="14"/>
          <w:szCs w:val="14"/>
          <w:b w:val="1"/>
          <w:bCs w:val="1"/>
          <w:color w:val="auto"/>
        </w:rPr>
        <w:t>Investments Held at</w:t>
      </w:r>
    </w:p>
    <w:p>
      <w:pPr>
        <w:ind w:left="300"/>
        <w:spacing w:after="0" w:line="216" w:lineRule="auto"/>
        <w:rPr>
          <w:sz w:val="20"/>
          <w:szCs w:val="20"/>
          <w:color w:val="auto"/>
        </w:rPr>
      </w:pPr>
      <w:r>
        <w:rPr>
          <w:rFonts w:ascii="Arial" w:cs="Arial" w:eastAsia="Arial" w:hAnsi="Arial"/>
          <w:sz w:val="14"/>
          <w:szCs w:val="14"/>
          <w:b w:val="1"/>
          <w:bCs w:val="1"/>
          <w:color w:val="auto"/>
        </w:rPr>
        <w:t>December 31, 2011</w:t>
      </w:r>
    </w:p>
    <w:p>
      <w:pPr>
        <w:spacing w:after="0" w:line="1" w:lineRule="exact"/>
        <w:rPr>
          <w:sz w:val="20"/>
          <w:szCs w:val="20"/>
          <w:color w:val="auto"/>
        </w:rPr>
      </w:pPr>
    </w:p>
    <w:p>
      <w:pPr>
        <w:sectPr>
          <w:pgSz w:w="11900" w:h="16838" w:orient="portrait"/>
          <w:cols w:equalWidth="0" w:num="2">
            <w:col w:w="8000" w:space="720"/>
            <w:col w:w="2700"/>
          </w:cols>
          <w:pgMar w:left="240" w:top="460" w:right="239" w:bottom="1440" w:gutter="0" w:footer="0" w:header="0"/>
          <w:type w:val="continuous"/>
        </w:sectPr>
      </w:pPr>
    </w:p>
    <w:tbl>
      <w:tblPr>
        <w:tblLayout w:type="fixed"/>
        <w:tblInd w:w="920" w:type="dxa"/>
        <w:tblCellMar>
          <w:top w:w="0" w:type="dxa"/>
          <w:left w:w="0" w:type="dxa"/>
          <w:bottom w:w="0" w:type="dxa"/>
          <w:right w:w="0" w:type="dxa"/>
        </w:tblCellMar>
      </w:tblPr>
      <w:tr>
        <w:trPr>
          <w:trHeight w:val="212"/>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15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Equity Investments</w:t>
            </w:r>
          </w:p>
        </w:tc>
        <w:tc>
          <w:tcPr>
            <w:tcW w:w="16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r>
      <w:tr>
        <w:trPr>
          <w:trHeight w:val="216"/>
        </w:trPr>
        <w:tc>
          <w:tcPr>
            <w:tcW w:w="29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280" w:type="dxa"/>
            <w:vAlign w:val="bottom"/>
            <w:gridSpan w:val="2"/>
            <w:shd w:val="clear" w:color="auto" w:fill="CCEEFF"/>
          </w:tcPr>
          <w:p>
            <w:pPr>
              <w:jc w:val="right"/>
              <w:ind w:right="52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2240" w:type="dxa"/>
            <w:vAlign w:val="bottom"/>
            <w:gridSpan w:val="2"/>
            <w:shd w:val="clear" w:color="auto" w:fill="CCEEFF"/>
          </w:tcPr>
          <w:p>
            <w:pPr>
              <w:jc w:val="right"/>
              <w:ind w:right="52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00" w:type="dxa"/>
            <w:vAlign w:val="bottom"/>
            <w:shd w:val="clear" w:color="auto" w:fill="CCEEFF"/>
          </w:tcPr>
          <w:p>
            <w:pPr>
              <w:spacing w:after="0"/>
              <w:rPr>
                <w:sz w:val="18"/>
                <w:szCs w:val="18"/>
                <w:color w:val="auto"/>
              </w:rPr>
            </w:pPr>
          </w:p>
        </w:tc>
      </w:tr>
      <w:tr>
        <w:trPr>
          <w:trHeight w:val="20"/>
        </w:trPr>
        <w:tc>
          <w:tcPr>
            <w:tcW w:w="2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fair value of Level 3 Investments at fair value and the significant unobservable inputs used in the valuations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1"/>
              </w:rPr>
              <w:t>December 31, 2012</w:t>
            </w:r>
          </w:p>
        </w:tc>
        <w:tc>
          <w:tcPr>
            <w:tcW w:w="1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14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Valuation</w:t>
            </w:r>
          </w:p>
        </w:tc>
        <w:tc>
          <w:tcPr>
            <w:tcW w:w="15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4"/>
              </w:rPr>
              <w:t>Unobservable</w:t>
            </w:r>
          </w:p>
        </w:tc>
        <w:tc>
          <w:tcPr>
            <w:tcW w:w="1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Impact to Valuation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140" w:type="dxa"/>
            <w:vAlign w:val="bottom"/>
            <w:gridSpan w:val="2"/>
            <w:vMerge w:val="continue"/>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222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5"/>
              </w:rPr>
              <w:t>Range (Weighted</w:t>
            </w:r>
          </w:p>
        </w:tc>
        <w:tc>
          <w:tcPr>
            <w:tcW w:w="13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from an Increase to</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Fair Value</w:t>
            </w:r>
          </w:p>
        </w:tc>
        <w:tc>
          <w:tcPr>
            <w:tcW w:w="2140" w:type="dxa"/>
            <w:vAlign w:val="bottom"/>
            <w:gridSpan w:val="2"/>
          </w:tcPr>
          <w:p>
            <w:pPr>
              <w:ind w:left="660"/>
              <w:spacing w:after="0"/>
              <w:rPr>
                <w:sz w:val="20"/>
                <w:szCs w:val="20"/>
                <w:color w:val="auto"/>
              </w:rPr>
            </w:pPr>
            <w:r>
              <w:rPr>
                <w:rFonts w:ascii="Arial" w:cs="Arial" w:eastAsia="Arial" w:hAnsi="Arial"/>
                <w:sz w:val="14"/>
                <w:szCs w:val="14"/>
                <w:b w:val="1"/>
                <w:bCs w:val="1"/>
                <w:color w:val="auto"/>
              </w:rPr>
              <w:t>Technique</w:t>
            </w:r>
          </w:p>
        </w:tc>
        <w:tc>
          <w:tcPr>
            <w:tcW w:w="15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Input</w:t>
            </w:r>
          </w:p>
        </w:tc>
        <w:tc>
          <w:tcPr>
            <w:tcW w:w="2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Average)</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Input</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514,104</w:t>
            </w:r>
          </w:p>
        </w:tc>
        <w:tc>
          <w:tcPr>
            <w:tcW w:w="3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1"/>
                <w:szCs w:val="11"/>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9"/>
              </w:rPr>
              <w:t>Market Yield</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7.00% — 11.29% (9.71%)</w:t>
            </w:r>
          </w:p>
        </w:tc>
        <w:tc>
          <w:tcPr>
            <w:tcW w:w="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3"/>
              </w:rPr>
              <w:t>Decrease</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53,190</w:t>
            </w:r>
          </w:p>
        </w:tc>
        <w:tc>
          <w:tcPr>
            <w:tcW w:w="2140" w:type="dxa"/>
            <w:vAlign w:val="bottom"/>
            <w:gridSpan w:val="2"/>
          </w:tcPr>
          <w:p>
            <w:pPr>
              <w:spacing w:after="0"/>
              <w:rPr>
                <w:sz w:val="20"/>
                <w:szCs w:val="20"/>
                <w:color w:val="auto"/>
              </w:rPr>
            </w:pPr>
            <w:r>
              <w:rPr>
                <w:rFonts w:ascii="Arial" w:cs="Arial" w:eastAsia="Arial" w:hAnsi="Arial"/>
                <w:sz w:val="18"/>
                <w:szCs w:val="18"/>
                <w:color w:val="auto"/>
              </w:rPr>
              <w:t>Income Approach</w:t>
            </w:r>
          </w:p>
        </w:tc>
        <w:tc>
          <w:tcPr>
            <w:tcW w:w="1580" w:type="dxa"/>
            <w:vAlign w:val="bottom"/>
            <w:gridSpan w:val="3"/>
          </w:tcPr>
          <w:p>
            <w:pPr>
              <w:ind w:left="320"/>
              <w:spacing w:after="0"/>
              <w:rPr>
                <w:sz w:val="20"/>
                <w:szCs w:val="20"/>
                <w:color w:val="auto"/>
              </w:rPr>
            </w:pPr>
            <w:r>
              <w:rPr>
                <w:rFonts w:ascii="Arial" w:cs="Arial" w:eastAsia="Arial" w:hAnsi="Arial"/>
                <w:sz w:val="18"/>
                <w:szCs w:val="18"/>
                <w:color w:val="auto"/>
              </w:rPr>
              <w:t>Market Yield</w:t>
            </w:r>
          </w:p>
        </w:tc>
        <w:tc>
          <w:tcPr>
            <w:tcW w:w="2220" w:type="dxa"/>
            <w:vAlign w:val="bottom"/>
            <w:gridSpan w:val="2"/>
          </w:tcPr>
          <w:p>
            <w:pPr>
              <w:jc w:val="right"/>
              <w:ind w:right="320"/>
              <w:spacing w:after="0"/>
              <w:rPr>
                <w:sz w:val="20"/>
                <w:szCs w:val="20"/>
                <w:color w:val="auto"/>
              </w:rPr>
            </w:pPr>
            <w:r>
              <w:rPr>
                <w:rFonts w:ascii="Arial" w:cs="Arial" w:eastAsia="Arial" w:hAnsi="Arial"/>
                <w:sz w:val="18"/>
                <w:szCs w:val="18"/>
                <w:color w:val="auto"/>
              </w:rPr>
              <w:t>10.78%</w:t>
            </w: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w w:val="96"/>
              </w:rPr>
              <w:t>Decrease</w:t>
            </w:r>
          </w:p>
        </w:tc>
        <w:tc>
          <w:tcPr>
            <w:tcW w:w="0" w:type="dxa"/>
            <w:vAlign w:val="bottom"/>
          </w:tcPr>
          <w:p>
            <w:pPr>
              <w:spacing w:after="0"/>
              <w:rPr>
                <w:sz w:val="1"/>
                <w:szCs w:val="1"/>
                <w:color w:val="auto"/>
              </w:rPr>
            </w:pPr>
          </w:p>
        </w:tc>
      </w:tr>
      <w:tr>
        <w:trPr>
          <w:trHeight w:val="218"/>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Equity investments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2,000</w:t>
            </w:r>
          </w:p>
        </w:tc>
        <w:tc>
          <w:tcPr>
            <w:tcW w:w="2140" w:type="dxa"/>
            <w:vAlign w:val="bottom"/>
            <w:gridSpan w:val="2"/>
          </w:tcPr>
          <w:p>
            <w:pPr>
              <w:ind w:left="660"/>
              <w:spacing w:after="0"/>
              <w:rPr>
                <w:sz w:val="20"/>
                <w:szCs w:val="20"/>
                <w:color w:val="auto"/>
              </w:rPr>
            </w:pPr>
            <w:r>
              <w:rPr>
                <w:rFonts w:ascii="Arial" w:cs="Arial" w:eastAsia="Arial" w:hAnsi="Arial"/>
                <w:sz w:val="18"/>
                <w:szCs w:val="18"/>
                <w:color w:val="auto"/>
              </w:rPr>
              <w:t>Market Approach</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220" w:hanging="452"/>
        <w:spacing w:after="0" w:line="268"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Includes $114.5 million of first-lien debt investments which, due to the proximity of the transactions relative to the measurement date, were valued using the cost of the investment.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December 31, 2012 and 2011, approximates its carrying value as the outstanding balances are callable at carrying value.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type w:val="continuous"/>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Other Assets and Liabilities</w:t>
      </w:r>
    </w:p>
    <w:p>
      <w:pPr>
        <w:spacing w:after="0" w:line="171"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borrowings, are classified as Level 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2012 and 2011, the Company’s asset coverage was 244.6% and 211.7%,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2012 and 2011: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2012</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84"/>
              </w:rPr>
              <w:t>Borrowings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7"/>
              <w:spacing w:after="0" w:line="129" w:lineRule="exact"/>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80" w:type="dxa"/>
            <w:vAlign w:val="bottom"/>
            <w:gridSpan w:val="5"/>
            <w:vMerge w:val="restart"/>
          </w:tcPr>
          <w:p>
            <w:pPr>
              <w:jc w:val="right"/>
              <w:ind w:right="120"/>
              <w:spacing w:after="0"/>
              <w:rPr>
                <w:sz w:val="20"/>
                <w:szCs w:val="20"/>
                <w:color w:val="auto"/>
              </w:rPr>
            </w:pPr>
            <w:r>
              <w:rPr>
                <w:rFonts w:ascii="Arial" w:cs="Arial" w:eastAsia="Arial" w:hAnsi="Arial"/>
                <w:sz w:val="14"/>
                <w:szCs w:val="14"/>
                <w:b w:val="1"/>
                <w:bCs w:val="1"/>
                <w:color w:val="auto"/>
                <w:w w:val="86"/>
              </w:rPr>
              <w:t>Total Facility</w:t>
            </w:r>
          </w:p>
        </w:tc>
        <w:tc>
          <w:tcPr>
            <w:tcW w:w="62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7"/>
              </w:rPr>
              <w:t>Available</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960" w:type="dxa"/>
            <w:vAlign w:val="bottom"/>
            <w:gridSpan w:val="3"/>
          </w:tcPr>
          <w:p>
            <w:pPr>
              <w:jc w:val="center"/>
              <w:ind w:left="225"/>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250,000</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$ 165,000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$ 85,000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100,000</w:t>
            </w:r>
          </w:p>
        </w:tc>
        <w:tc>
          <w:tcPr>
            <w:tcW w:w="120" w:type="dxa"/>
            <w:vAlign w:val="bottom"/>
          </w:tcPr>
          <w:p>
            <w:pPr>
              <w:spacing w:after="0"/>
              <w:rPr>
                <w:sz w:val="18"/>
                <w:szCs w:val="18"/>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8"/>
                <w:szCs w:val="18"/>
                <w:color w:val="auto"/>
              </w:rPr>
              <w:t>66,836</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200,000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550,000</w:t>
            </w:r>
          </w:p>
        </w:tc>
        <w:tc>
          <w:tcPr>
            <w:tcW w:w="120" w:type="dxa"/>
            <w:vAlign w:val="bottom"/>
          </w:tcPr>
          <w:p>
            <w:pPr>
              <w:spacing w:after="0"/>
              <w:rPr>
                <w:sz w:val="19"/>
                <w:szCs w:val="19"/>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8"/>
                <w:szCs w:val="18"/>
                <w:color w:val="auto"/>
              </w:rPr>
              <w:t>$ 331,836</w:t>
            </w:r>
          </w:p>
        </w:tc>
        <w:tc>
          <w:tcPr>
            <w:tcW w:w="3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left="100"/>
              <w:spacing w:after="0"/>
              <w:rPr>
                <w:sz w:val="20"/>
                <w:szCs w:val="20"/>
                <w:color w:val="auto"/>
              </w:rPr>
            </w:pPr>
            <w:r>
              <w:rPr>
                <w:rFonts w:ascii="Arial" w:cs="Arial" w:eastAsia="Arial" w:hAnsi="Arial"/>
                <w:sz w:val="14"/>
                <w:szCs w:val="14"/>
                <w:b w:val="1"/>
                <w:bCs w:val="1"/>
                <w:color w:val="auto"/>
                <w:w w:val="85"/>
              </w:rPr>
              <w:t>December 31, 2011</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7"/>
              </w:rPr>
              <w:t>Borrowings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84"/>
              </w:rPr>
              <w:t>Total Facility</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Available</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960" w:type="dxa"/>
            <w:vAlign w:val="bottom"/>
            <w:gridSpan w:val="3"/>
          </w:tcPr>
          <w:p>
            <w:pPr>
              <w:jc w:val="center"/>
              <w:ind w:left="325"/>
              <w:spacing w:after="0"/>
              <w:rPr>
                <w:sz w:val="20"/>
                <w:szCs w:val="20"/>
                <w:color w:val="auto"/>
              </w:rPr>
            </w:pPr>
            <w:r>
              <w:rPr>
                <w:rFonts w:ascii="Arial" w:cs="Arial" w:eastAsia="Arial" w:hAnsi="Arial"/>
                <w:sz w:val="11"/>
                <w:szCs w:val="11"/>
                <w:b w:val="1"/>
                <w:bCs w:val="1"/>
                <w:color w:val="auto"/>
                <w:w w:val="88"/>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740" w:type="dxa"/>
            <w:vAlign w:val="bottom"/>
            <w:tcBorders>
              <w:top w:val="single" w:sz="8" w:color="CCEEFF"/>
            </w:tcBorders>
            <w:gridSpan w:val="3"/>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74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$ 155,000</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820" w:type="dxa"/>
            <w:vAlign w:val="bottom"/>
            <w:gridSpan w:val="5"/>
          </w:tcPr>
          <w:p>
            <w:pPr>
              <w:jc w:val="center"/>
              <w:ind w:left="300"/>
              <w:spacing w:after="0"/>
              <w:rPr>
                <w:sz w:val="20"/>
                <w:szCs w:val="20"/>
                <w:color w:val="auto"/>
              </w:rPr>
            </w:pPr>
            <w:r>
              <w:rPr>
                <w:rFonts w:ascii="Arial" w:cs="Arial" w:eastAsia="Arial" w:hAnsi="Arial"/>
                <w:sz w:val="18"/>
                <w:szCs w:val="18"/>
                <w:color w:val="auto"/>
                <w:w w:val="89"/>
              </w:rPr>
              <w:t>$ 155,000</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480" w:hanging="567"/>
        <w:spacing w:after="0"/>
        <w:tabs>
          <w:tab w:leader="none" w:pos="14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amount available considers any limitations related to the respective debt facilities’ borrowing bases.</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Average debt outstanding during the years ended December 31, 2012 and 2011, was $111.2 million and $11.4 million, respectively. The weighted average interest rate for outstanding borrowings during the year ended December 31, 2012 and 2011 was 2.9% and 3.0%,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2012 and 2011, the components of interest expense were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Year Ended</w:t>
            </w:r>
          </w:p>
        </w:tc>
        <w:tc>
          <w:tcPr>
            <w:tcW w:w="106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592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3"/>
              </w:rPr>
              <w:t>December 31,</w:t>
            </w:r>
          </w:p>
        </w:tc>
        <w:tc>
          <w:tcPr>
            <w:tcW w:w="196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61"/>
        </w:trPr>
        <w:tc>
          <w:tcPr>
            <w:tcW w:w="59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1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Stated interest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Commitment fees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1,252</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r>
      <w:tr>
        <w:trPr>
          <w:trHeight w:val="222"/>
        </w:trPr>
        <w:tc>
          <w:tcPr>
            <w:tcW w:w="592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160" w:type="dxa"/>
            <w:vAlign w:val="bottom"/>
            <w:gridSpan w:val="2"/>
          </w:tcPr>
          <w:p>
            <w:pPr>
              <w:jc w:val="right"/>
              <w:ind w:right="22"/>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6,020</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August 23, 2012, the Company entered into a Senior Secured Revolving Credit Agreement (the “Revolving Credit Facility (SunTrust)”). The parties to the Revolving Credit Facility (SunTrust) include the Company, as Borrower, the lenders from time to time parties thereto (each a “Lender” and collectively, the “Lenders”) and SunTrust Bank, as Administrative Agent.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40"/>
          </w:cols>
          <w:pgMar w:left="240" w:top="459" w:right="3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Revolving Credit Facility (SunTrust) is guaranteed by TC Lending, LLC and certain domestic subsidiaries of the Company that are formed or acquired by the Company in the future (collectively, the “Guarantors”). Proceeds from borrowings may be used for general corporate purposes, including the funding of portfolio investments.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maximum principal amount of the facility is $200 million, subject to availability under the borrowing base, which is based on the Company’s portfolio investments and other outstanding indebtedness. Maximum capacity may be increased to $300 million through the exercise by the Borrower of an uncommitted accordion feature through which existing and new lenders may, at their option, agree to provide additional financing. The Revolving Credit Facility (SunTrust) includes a $30 million limit for swingline loans and a $20 million limit for letters of credit and is secured by a perfected first-priority interest in substantially the entire portfolio of investments held by the Company and each Guarantor.</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availability period under the Revolving Credit Facility (SunTrust) will terminate on August 24, 2015 (the “SunTrust Commitment Termination Date”) and it will mature on August 23, 2016 (the “SunTrust Maturity Date”). During the period from the SunTrust Commitment Termination Date to the SunTrust Maturity Date, the Company will be obligated to make mandatory prepayments out of the proceeds of certain asset sales, and other recovery events and equity and debt issuances.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may borrow amounts in U.S. dollars or certain other permitted currencies. Amounts drawn under the Revolving Credit Facility (SunTrust), including amounts drawn in respect of letters of credit, will bear interest at either LIBOR plus a margin, or the prime rate plus a margin. The Company may elect either the LIBOR or prime rate at the time of drawdown, and loans may be converted from one rate to another at any time, subject to certain conditions. The Company will also pay a fee of 0.50% on undrawn amounts and, in respect of each undrawn letter of credit, a fee and interest rate equal to the then-applicable margin while the letter of credit is outstanding.</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Revolving Credit Facility (SunTrust) includes customary covenants, including certain financial covenants related to asset coverage and liquidity and other maintenance covenants, as well as customary events of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May 8, 2012 (the “Natixis Closing Date”), the Company’s wholly-owned subsidiary TPG SL SPV, LLC (the “Subsidiary”), a Delaware limited liability company, entered into a Revolving Credit and Security Agreement (the “Revolving Credit Facility (Natixis)”). Parties to the agreement include TPG SL SPV, LLC, as Borrower, and the lenders from time to time parties thereto, Natixis, New York Branch, as Facility Agent and The Bank of New York Mellon Trust Company, N.A., as Collateral Agent. Also on May 8, 2012, the Company contributed certain investments to the Subsidiary pursuant to the terms of a Master Sale and Contribution Agreement by and between the Company and the Subsidiary. No gain or loss was recognized as a result of the contribution. Proceeds from the Revolving Credit Facility (Natixis) may be used to finance the acquisition of eligible assets by the Subsidiary, including the purchase of such assets from the Company. The Company retains a residual interest in assets contributed to or acquired by the Subsidiary through its ownership of the Subsidiary. The maximum principal amount of the facility is $100 million, subject to availability under the borrowing base, which is based on the amount of the Subsidiary’s assets from time to time, and satisfaction of certain conditions, including an asset coverage test, an asset quality test and certain concentration limits.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agreement provides for a contribution and reinvestment period for up to 18 months after the Natixis Closing Date (the “Natixis Commitment Termination Date”). Prior to the Natixis Commitment Termination Date, proceeds received by the Subsidiary from interest, dividends, or fees on assets must be used to pay expenses and interest on outstanding borrowings, and the excess may be returned to the Company, subject to certain conditions. Proceeds received from principal on assets prior to the Natixis Commitment Termination Date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60" w:right="2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must be used to make quarterly payments of principal on outstanding borrowings. Following the Natixis Commitment Termination Date, proceeds received by the Subsidiary from interest and principal on collateral assets must be used to make quarterly payments of principal on outstanding borrowings. Proceeds received from interest and principal at the end of a reporting period that have not gone through a settlement process are considered to be restricted cash. As of December 31, 2012, the Subsidiary had $4.3 million in restricted cash, a component of Prepaid expenses and other assets, in the accompanying consolidated financial statements.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Revolving Credit Facility (Natixis) will mature on May 8, 2020. Amounts drawn bear interest at LIBOR plus a margin and the undrawn portion of the commitment bears an unutilized commitment fee of 0.75%. The Revolving Credit Facility (Natixis) contains customary covenants, including certain maintenance covenants, and events of default. The Revolving Credit Facility (Natixis) is secured by a perfected first priority security interest in the assets of the Subsidiary and on any payments received by the Subsidiary in respect of such assets and, as such, are not available to pay the debts of the Company. As of December 31, 2012, the Subsidiary had $163.8 million in assets, including $154.4 million in investments, and $67.3 million in liabilities, including the outstanding borrowings, on its balance sheet.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the Subsidiary are considered borrowings of the Company for purposes of complying with the asset coverage requirements under the 1940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September 28, 2011, the Company entered into a revolving credit facility (the “Initial DBTCA Revolving Credit Facility”) with Deutsche Bank Trust Company Americas (“DBTCA”) as administrative agent (the “Administrative Agent”), and DBTCA and certain of its affiliates as lenders. At closing, the maximum principal amount of the Initial DTBCA Revolving Credit Facility was $150 million, subject to availability under the borrowing base. On December 22, 2011, the Initial DBTCA Revolving Credit Facility was amended and restated (the “Revolving Credit Facility (DBTCA)”). Under the Revolving Credit Facility (DBTCA), the maximum principal amount was increased from $150 million to $250 million, including up to $75 million available for standby letters of credit, subject in each case to availability under a borrowing base which is based on unfunded capital commitments and outstanding indebtedness. The maximum principal amount of the Revolving Credit Facility (DBTCA) may be increased to up to $300 million upon request of the Company within twelve months of closing and subject to payment of an additional fee. The option to increase the facility expired on September 28, 2012. Proceeds from the Revolving Credit Facility (DBTCA) may be used for investment activities, expenses, working capital requirements and general corporate purposes.</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Revolving Credit Facility (DBTCA) matures upon the earlier of December 20, 2013, and 25 days prior to a qualifying initial public offering of the Company.</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Revolving Credit Facility (DBTCA) is secured by a perfected first priority security interest in the unfunded capital commitments of the Company’s private investors, including assignment of the right to make capital calls, receive and apply capital contributions, enforce remedies and claims related thereto, and a pledge of the collateral account into which all capital calls flow.</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Interest rates on obligations under the Revolving Credit Facility (DBTCA) are based on prevailing LIBOR or prime lending rate plus an applicable margin. We may elect either the LIBOR or prime rate at the time of draw-down, and loans may be converted from one rate to another at any time, subject to certain conditions. We also pay a fee of 0.375% on undrawn amounts of the Revolving Credit Facility. In respect of each letter of credit, the Company will pay a fee and a fixed rate while the letter of credit is outstanding.</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Revolving Credit Facility (DBTCA) contains customary covenants on us and our subsidiaries, including requirements to deposit all capital call proceeds into a collateral account, restrict certain distributions, and restrict certain types and amounts of indebtedness. The Revolving Credit Facility (DBTCA) includes customary events of default.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Transfers of interests in the Company by investors will require the prior consent of the Administrative Agent, which shall not be unreasonably withheld or delayed. Such transfers may trigger mandatory prepayment obligations.</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connection with the closing of all three revolving credit facilities, the Company paid fees totaling $7.6 million. Such fees have been capitalized as debt issuance costs, included in Prepaid expenses and other assets, and are being amortized over the life of the respective facility.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and 2011, the Company was in compliance with the terms of its debt arrangements.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Subsequent to December 31, 2012, the Company repaid a portion of its debt and borrowed additional amounts to fund investments. As of March 14, 2013, there was $132.7 million outstanding.</w:t>
      </w:r>
    </w:p>
    <w:p>
      <w:pPr>
        <w:spacing w:after="0" w:line="207" w:lineRule="exact"/>
        <w:rPr>
          <w:sz w:val="20"/>
          <w:szCs w:val="20"/>
          <w:color w:val="auto"/>
        </w:rPr>
      </w:pPr>
    </w:p>
    <w:p>
      <w:pPr>
        <w:ind w:right="8720" w:firstLine="8"/>
        <w:spacing w:after="0" w:line="417" w:lineRule="auto"/>
        <w:tabs>
          <w:tab w:leader="none" w:pos="176" w:val="left"/>
        </w:tabs>
        <w:numPr>
          <w:ilvl w:val="0"/>
          <w:numId w:val="1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December 31, 2012 and 2011, the Company had the following commitments to fund loans: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7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3"/>
              </w:rPr>
              <w:t>17,500</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14,500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r>
      <w:tr>
        <w:trPr>
          <w:trHeight w:val="27"/>
        </w:trPr>
        <w:tc>
          <w:tcPr>
            <w:tcW w:w="7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32,000</w:t>
            </w:r>
          </w:p>
        </w:tc>
        <w:tc>
          <w:tcPr>
            <w:tcW w:w="5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As of December 31, 2012 and 2011, the Company had $1.4 billion and $1.2 billion, respectively, in total capital commitments from investors ($0.9 billion and $1.0 billion unfunded, respectively), of which $114.1 million and $70.4 million, respectively, is from the Adviser and its affiliates ($76.6 million and $60.3 million unfunded,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2012,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Assets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its formation, the Company had the authority to issue 10,000 shares of common stock at $0.01 per share par value (“Common Stock”). The Company also had the authority to issue 100,000,000 shares of preferred stock at $0.01 per share par value. The Company’s preferred stock is non-convertible.</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December 21, 2010, the Company issued 1,000 shares of Common Stock for $1,000 to Tarrant Advisors, Inc., an affiliate of the Company and its Adviser.</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March 8, 2011, the Company increased the number of shares of Common Stock authorized to be issued to 100,000,000, par value $0.01 per share. The authorized preferred stock was unchanged and no preferred stock was outstanding as of December 31,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years ended December 31 2012 and 2011, the Company entered into subscription agreements (collectively, the “Subscription Agreements”) with several investors, including the Adviser and its affiliates, providing for the private placement of the Company’s Common Stock. Under the terms of the Subscription Agreements, investors are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w:t>
      </w:r>
    </w:p>
    <w:p>
      <w:pPr>
        <w:spacing w:after="0" w:line="14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years ended December 31, 2012 and 2011:</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gridSpan w:val="2"/>
          </w:tcPr>
          <w:p>
            <w:pPr>
              <w:jc w:val="right"/>
              <w:ind w:right="283"/>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7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87"/>
              </w:rPr>
              <w:t>December 31, 2012</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5740" w:type="dxa"/>
            <w:vAlign w:val="bottom"/>
          </w:tcPr>
          <w:p>
            <w:pPr>
              <w:spacing w:after="0"/>
              <w:rPr>
                <w:sz w:val="10"/>
                <w:szCs w:val="10"/>
                <w:color w:val="auto"/>
              </w:rPr>
            </w:pPr>
          </w:p>
        </w:tc>
        <w:tc>
          <w:tcPr>
            <w:tcW w:w="840" w:type="dxa"/>
            <w:vAlign w:val="bottom"/>
          </w:tcPr>
          <w:p>
            <w:pPr>
              <w:jc w:val="right"/>
              <w:ind w:right="177"/>
              <w:spacing w:after="0" w:line="115" w:lineRule="exact"/>
              <w:rPr>
                <w:sz w:val="20"/>
                <w:szCs w:val="20"/>
                <w:color w:val="auto"/>
              </w:rPr>
            </w:pPr>
            <w:r>
              <w:rPr>
                <w:rFonts w:ascii="Arial" w:cs="Arial" w:eastAsia="Arial" w:hAnsi="Arial"/>
                <w:sz w:val="12"/>
                <w:szCs w:val="12"/>
                <w:b w:val="1"/>
                <w:bCs w:val="1"/>
                <w:color w:val="auto"/>
              </w:rPr>
              <w:t>Shares</w:t>
            </w: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6"/>
        </w:trPr>
        <w:tc>
          <w:tcPr>
            <w:tcW w:w="5740" w:type="dxa"/>
            <w:vAlign w:val="bottom"/>
          </w:tcPr>
          <w:p>
            <w:pPr>
              <w:spacing w:after="0"/>
              <w:rPr>
                <w:sz w:val="15"/>
                <w:szCs w:val="15"/>
                <w:color w:val="auto"/>
              </w:rPr>
            </w:pPr>
          </w:p>
        </w:tc>
        <w:tc>
          <w:tcPr>
            <w:tcW w:w="840" w:type="dxa"/>
            <w:vAlign w:val="bottom"/>
          </w:tcPr>
          <w:p>
            <w:pPr>
              <w:jc w:val="right"/>
              <w:ind w:right="97"/>
              <w:spacing w:after="0" w:line="176" w:lineRule="exact"/>
              <w:rPr>
                <w:sz w:val="20"/>
                <w:szCs w:val="20"/>
                <w:color w:val="auto"/>
              </w:rPr>
            </w:pPr>
            <w:r>
              <w:rPr>
                <w:rFonts w:ascii="Arial" w:cs="Arial" w:eastAsia="Arial" w:hAnsi="Arial"/>
                <w:sz w:val="13"/>
                <w:szCs w:val="13"/>
                <w:b w:val="1"/>
                <w:bCs w:val="1"/>
                <w:color w:val="auto"/>
              </w:rPr>
              <w:t>Issued</w:t>
            </w:r>
            <w:r>
              <w:rPr>
                <w:rFonts w:ascii="Arial" w:cs="Arial" w:eastAsia="Arial" w:hAnsi="Arial"/>
                <w:sz w:val="20"/>
                <w:szCs w:val="20"/>
                <w:b w:val="1"/>
                <w:bCs w:val="1"/>
                <w:color w:val="auto"/>
                <w:vertAlign w:val="superscript"/>
              </w:rPr>
              <w:t>(2)</w:t>
            </w:r>
          </w:p>
        </w:tc>
        <w:tc>
          <w:tcPr>
            <w:tcW w:w="2100" w:type="dxa"/>
            <w:vAlign w:val="bottom"/>
            <w:gridSpan w:val="4"/>
          </w:tcPr>
          <w:p>
            <w:pPr>
              <w:ind w:left="920"/>
              <w:spacing w:after="0"/>
              <w:rPr>
                <w:sz w:val="20"/>
                <w:szCs w:val="20"/>
                <w:color w:val="auto"/>
              </w:rPr>
            </w:pPr>
            <w:r>
              <w:rPr>
                <w:rFonts w:ascii="Arial" w:cs="Arial" w:eastAsia="Arial" w:hAnsi="Arial"/>
                <w:sz w:val="14"/>
                <w:szCs w:val="14"/>
                <w:b w:val="1"/>
                <w:bCs w:val="1"/>
                <w:color w:val="auto"/>
                <w:w w:val="90"/>
              </w:rPr>
              <w:t>Proceeds Received</w:t>
            </w:r>
          </w:p>
        </w:tc>
      </w:tr>
      <w:tr>
        <w:trPr>
          <w:trHeight w:val="210"/>
        </w:trPr>
        <w:tc>
          <w:tcPr>
            <w:tcW w:w="5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15, 2012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435,061</w:t>
            </w: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February 22, 2012</w:t>
            </w:r>
          </w:p>
        </w:tc>
        <w:tc>
          <w:tcPr>
            <w:tcW w:w="840" w:type="dxa"/>
            <w:vAlign w:val="bottom"/>
          </w:tcPr>
          <w:p>
            <w:pPr>
              <w:jc w:val="right"/>
              <w:spacing w:after="0"/>
              <w:rPr>
                <w:sz w:val="20"/>
                <w:szCs w:val="20"/>
                <w:color w:val="auto"/>
              </w:rPr>
            </w:pPr>
            <w:r>
              <w:rPr>
                <w:rFonts w:ascii="Arial" w:cs="Arial" w:eastAsia="Arial" w:hAnsi="Arial"/>
                <w:sz w:val="18"/>
                <w:szCs w:val="18"/>
                <w:color w:val="auto"/>
              </w:rPr>
              <w:t>2,368,398</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5,076,511</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May 31, 2012</w:t>
            </w:r>
          </w:p>
        </w:tc>
        <w:tc>
          <w:tcPr>
            <w:tcW w:w="840" w:type="dxa"/>
            <w:vAlign w:val="bottom"/>
          </w:tcPr>
          <w:p>
            <w:pPr>
              <w:jc w:val="right"/>
              <w:spacing w:after="0"/>
              <w:rPr>
                <w:sz w:val="20"/>
                <w:szCs w:val="20"/>
                <w:color w:val="auto"/>
              </w:rPr>
            </w:pPr>
            <w:r>
              <w:rPr>
                <w:rFonts w:ascii="Arial" w:cs="Arial" w:eastAsia="Arial" w:hAnsi="Arial"/>
                <w:sz w:val="18"/>
                <w:szCs w:val="18"/>
                <w:color w:val="auto"/>
              </w:rPr>
              <w:t>892,058</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June 29,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2,319,591</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September 26, 2012</w:t>
            </w:r>
          </w:p>
        </w:tc>
        <w:tc>
          <w:tcPr>
            <w:tcW w:w="840" w:type="dxa"/>
            <w:vAlign w:val="bottom"/>
          </w:tcPr>
          <w:p>
            <w:pPr>
              <w:jc w:val="right"/>
              <w:spacing w:after="0"/>
              <w:rPr>
                <w:sz w:val="20"/>
                <w:szCs w:val="20"/>
                <w:color w:val="auto"/>
              </w:rPr>
            </w:pPr>
            <w:r>
              <w:rPr>
                <w:rFonts w:ascii="Arial" w:cs="Arial" w:eastAsia="Arial" w:hAnsi="Arial"/>
                <w:sz w:val="18"/>
                <w:szCs w:val="18"/>
                <w:color w:val="auto"/>
              </w:rPr>
              <w:t>1,496,143</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22,698</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December 10, 2012 </w:t>
            </w:r>
            <w:r>
              <w:rPr>
                <w:rFonts w:ascii="Arial" w:cs="Arial" w:eastAsia="Arial" w:hAnsi="Arial"/>
                <w:sz w:val="11"/>
                <w:szCs w:val="11"/>
                <w:color w:val="auto"/>
              </w:rPr>
              <w:t>(1)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6,611,659</w:t>
            </w:r>
          </w:p>
        </w:tc>
        <w:tc>
          <w:tcPr>
            <w:tcW w:w="9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r>
        <w:trPr>
          <w:trHeight w:val="222"/>
        </w:trPr>
        <w:tc>
          <w:tcPr>
            <w:tcW w:w="5740" w:type="dxa"/>
            <w:vAlign w:val="bottom"/>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19,199,421</w:t>
            </w:r>
          </w:p>
        </w:tc>
        <w:tc>
          <w:tcPr>
            <w:tcW w:w="126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287,586</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1920" w:right="620" w:hanging="440"/>
        <w:spacing w:after="0" w:line="268" w:lineRule="auto"/>
        <w:tabs>
          <w:tab w:leader="none" w:pos="19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 of December 31, 2012, there were $1.9 million in capital drawdowns outstanding from investors. On January 4, 2013, all outstanding amounts had been received by the Company.</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gridSpan w:val="2"/>
          </w:tcPr>
          <w:p>
            <w:pPr>
              <w:jc w:val="right"/>
              <w:ind w:right="283"/>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7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87"/>
              </w:rPr>
              <w:t>December 31, 2011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5740" w:type="dxa"/>
            <w:vAlign w:val="bottom"/>
          </w:tcPr>
          <w:p>
            <w:pPr>
              <w:spacing w:after="0"/>
              <w:rPr>
                <w:sz w:val="10"/>
                <w:szCs w:val="10"/>
                <w:color w:val="auto"/>
              </w:rPr>
            </w:pPr>
          </w:p>
        </w:tc>
        <w:tc>
          <w:tcPr>
            <w:tcW w:w="840" w:type="dxa"/>
            <w:vAlign w:val="bottom"/>
          </w:tcPr>
          <w:p>
            <w:pPr>
              <w:jc w:val="right"/>
              <w:ind w:right="180"/>
              <w:spacing w:after="0" w:line="115" w:lineRule="exact"/>
              <w:rPr>
                <w:sz w:val="20"/>
                <w:szCs w:val="20"/>
                <w:color w:val="auto"/>
              </w:rPr>
            </w:pPr>
            <w:r>
              <w:rPr>
                <w:rFonts w:ascii="Arial" w:cs="Arial" w:eastAsia="Arial" w:hAnsi="Arial"/>
                <w:sz w:val="12"/>
                <w:szCs w:val="12"/>
                <w:b w:val="1"/>
                <w:bCs w:val="1"/>
                <w:color w:val="auto"/>
              </w:rPr>
              <w:t>Shares</w:t>
            </w: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6"/>
        </w:trPr>
        <w:tc>
          <w:tcPr>
            <w:tcW w:w="5740" w:type="dxa"/>
            <w:vAlign w:val="bottom"/>
          </w:tcPr>
          <w:p>
            <w:pPr>
              <w:spacing w:after="0"/>
              <w:rPr>
                <w:sz w:val="15"/>
                <w:szCs w:val="15"/>
                <w:color w:val="auto"/>
              </w:rPr>
            </w:pPr>
          </w:p>
        </w:tc>
        <w:tc>
          <w:tcPr>
            <w:tcW w:w="840" w:type="dxa"/>
            <w:vAlign w:val="bottom"/>
          </w:tcPr>
          <w:p>
            <w:pPr>
              <w:jc w:val="right"/>
              <w:ind w:right="100"/>
              <w:spacing w:after="0" w:line="176" w:lineRule="exact"/>
              <w:rPr>
                <w:sz w:val="20"/>
                <w:szCs w:val="20"/>
                <w:color w:val="auto"/>
              </w:rPr>
            </w:pPr>
            <w:r>
              <w:rPr>
                <w:rFonts w:ascii="Arial" w:cs="Arial" w:eastAsia="Arial" w:hAnsi="Arial"/>
                <w:sz w:val="13"/>
                <w:szCs w:val="13"/>
                <w:b w:val="1"/>
                <w:bCs w:val="1"/>
                <w:color w:val="auto"/>
              </w:rPr>
              <w:t>Issued</w:t>
            </w:r>
            <w:r>
              <w:rPr>
                <w:rFonts w:ascii="Arial" w:cs="Arial" w:eastAsia="Arial" w:hAnsi="Arial"/>
                <w:sz w:val="20"/>
                <w:szCs w:val="20"/>
                <w:b w:val="1"/>
                <w:bCs w:val="1"/>
                <w:color w:val="auto"/>
                <w:vertAlign w:val="superscript"/>
              </w:rPr>
              <w:t>(2)</w:t>
            </w:r>
          </w:p>
        </w:tc>
        <w:tc>
          <w:tcPr>
            <w:tcW w:w="2100" w:type="dxa"/>
            <w:vAlign w:val="bottom"/>
            <w:gridSpan w:val="4"/>
          </w:tcPr>
          <w:p>
            <w:pPr>
              <w:ind w:left="920"/>
              <w:spacing w:after="0"/>
              <w:rPr>
                <w:sz w:val="20"/>
                <w:szCs w:val="20"/>
                <w:color w:val="auto"/>
              </w:rPr>
            </w:pPr>
            <w:r>
              <w:rPr>
                <w:rFonts w:ascii="Arial" w:cs="Arial" w:eastAsia="Arial" w:hAnsi="Arial"/>
                <w:sz w:val="14"/>
                <w:szCs w:val="14"/>
                <w:b w:val="1"/>
                <w:bCs w:val="1"/>
                <w:color w:val="auto"/>
                <w:w w:val="90"/>
              </w:rPr>
              <w:t>Proceeds Received</w:t>
            </w:r>
          </w:p>
        </w:tc>
      </w:tr>
      <w:tr>
        <w:trPr>
          <w:trHeight w:val="210"/>
        </w:trPr>
        <w:tc>
          <w:tcPr>
            <w:tcW w:w="5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June 30, 2011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2,333,660</w:t>
            </w: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August 12, 2011</w:t>
            </w:r>
          </w:p>
        </w:tc>
        <w:tc>
          <w:tcPr>
            <w:tcW w:w="840" w:type="dxa"/>
            <w:vAlign w:val="bottom"/>
          </w:tcPr>
          <w:p>
            <w:pPr>
              <w:jc w:val="right"/>
              <w:spacing w:after="0"/>
              <w:rPr>
                <w:sz w:val="20"/>
                <w:szCs w:val="20"/>
                <w:color w:val="auto"/>
              </w:rPr>
            </w:pPr>
            <w:r>
              <w:rPr>
                <w:rFonts w:ascii="Arial" w:cs="Arial" w:eastAsia="Arial" w:hAnsi="Arial"/>
                <w:sz w:val="18"/>
                <w:szCs w:val="18"/>
                <w:color w:val="auto"/>
              </w:rPr>
              <w:t>5,044,173</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73,000</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December 15,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3,543,563</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52,534</w:t>
            </w:r>
          </w:p>
        </w:tc>
        <w:tc>
          <w:tcPr>
            <w:tcW w:w="100" w:type="dxa"/>
            <w:vAlign w:val="bottom"/>
            <w:shd w:val="clear" w:color="auto" w:fill="CCEEFF"/>
          </w:tcPr>
          <w:p>
            <w:pPr>
              <w:spacing w:after="0"/>
              <w:rPr>
                <w:sz w:val="18"/>
                <w:szCs w:val="18"/>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December 30, 2011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849,052</w:t>
            </w:r>
          </w:p>
        </w:tc>
        <w:tc>
          <w:tcPr>
            <w:tcW w:w="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9"/>
                <w:szCs w:val="19"/>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11,770,448</w:t>
            </w:r>
          </w:p>
        </w:tc>
        <w:tc>
          <w:tcPr>
            <w:tcW w:w="126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173,034</w:t>
            </w:r>
          </w:p>
        </w:tc>
        <w:tc>
          <w:tcPr>
            <w:tcW w:w="100" w:type="dxa"/>
            <w:vAlign w:val="bottom"/>
            <w:shd w:val="clear" w:color="auto" w:fill="CCEEFF"/>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addition to the drawdowns noted above, on June 29, 2011, the Company repurchased 999 shares of its Common Stock issued as part of its formation from Tarrant Advisors, Inc. for $999. The repurchased shares are held in treasury shares, at cost, as of December 31, 2012 and 2011. Treasury shares were not included in the stock split in the form of a stock dividend on December 4, 2013.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investors who have not opted out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6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8"/>
              </w:rPr>
              <w:t>Year Ended</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 Dividend Declared</w:t>
            </w:r>
          </w:p>
        </w:tc>
        <w:tc>
          <w:tcPr>
            <w:tcW w:w="2360" w:type="dxa"/>
            <w:vAlign w:val="bottom"/>
            <w:vMerge w:val="restart"/>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2"/>
          </w:tcPr>
          <w:p>
            <w:pPr>
              <w:jc w:val="center"/>
              <w:ind w:right="1180"/>
              <w:spacing w:after="0"/>
              <w:rPr>
                <w:sz w:val="20"/>
                <w:szCs w:val="20"/>
                <w:color w:val="auto"/>
              </w:rPr>
            </w:pPr>
            <w:r>
              <w:rPr>
                <w:rFonts w:ascii="Arial" w:cs="Arial" w:eastAsia="Arial" w:hAnsi="Arial"/>
                <w:sz w:val="14"/>
                <w:szCs w:val="14"/>
                <w:b w:val="1"/>
                <w:bCs w:val="1"/>
                <w:color w:val="auto"/>
                <w:w w:val="85"/>
              </w:rPr>
              <w:t>December 31, 2012</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460" w:type="dxa"/>
            <w:vAlign w:val="bottom"/>
            <w:tcBorders>
              <w:bottom w:val="single" w:sz="8" w:color="auto"/>
            </w:tcBorders>
            <w:gridSpan w:val="2"/>
            <w:vMerge w:val="continue"/>
          </w:tcPr>
          <w:p>
            <w:pPr>
              <w:spacing w:after="0"/>
              <w:rPr>
                <w:sz w:val="12"/>
                <w:szCs w:val="12"/>
                <w:color w:val="auto"/>
              </w:rPr>
            </w:pPr>
          </w:p>
        </w:tc>
        <w:tc>
          <w:tcPr>
            <w:tcW w:w="2360" w:type="dxa"/>
            <w:vAlign w:val="bottom"/>
            <w:vMerge w:val="continue"/>
          </w:tcPr>
          <w:p>
            <w:pPr>
              <w:spacing w:after="0"/>
              <w:rPr>
                <w:sz w:val="12"/>
                <w:szCs w:val="12"/>
                <w:color w:val="auto"/>
              </w:rPr>
            </w:pPr>
          </w:p>
        </w:tc>
        <w:tc>
          <w:tcPr>
            <w:tcW w:w="2280" w:type="dxa"/>
            <w:vAlign w:val="bottom"/>
            <w:gridSpan w:val="2"/>
          </w:tcPr>
          <w:p>
            <w:pPr>
              <w:ind w:left="500"/>
              <w:spacing w:after="0" w:line="129" w:lineRule="exact"/>
              <w:rPr>
                <w:sz w:val="20"/>
                <w:szCs w:val="20"/>
                <w:color w:val="auto"/>
              </w:rPr>
            </w:pPr>
            <w:r>
              <w:rPr>
                <w:rFonts w:ascii="Arial" w:cs="Arial" w:eastAsia="Arial" w:hAnsi="Arial"/>
                <w:sz w:val="14"/>
                <w:szCs w:val="14"/>
                <w:b w:val="1"/>
                <w:bCs w:val="1"/>
                <w:color w:val="auto"/>
              </w:rPr>
              <w:t>Record Date</w:t>
            </w:r>
          </w:p>
        </w:tc>
        <w:tc>
          <w:tcPr>
            <w:tcW w:w="2260" w:type="dxa"/>
            <w:vAlign w:val="bottom"/>
            <w:gridSpan w:val="2"/>
          </w:tcPr>
          <w:p>
            <w:pPr>
              <w:ind w:left="280"/>
              <w:spacing w:after="0" w:line="129" w:lineRule="exact"/>
              <w:rPr>
                <w:sz w:val="20"/>
                <w:szCs w:val="20"/>
                <w:color w:val="auto"/>
              </w:rPr>
            </w:pPr>
            <w:r>
              <w:rPr>
                <w:rFonts w:ascii="Arial" w:cs="Arial" w:eastAsia="Arial" w:hAnsi="Arial"/>
                <w:sz w:val="14"/>
                <w:szCs w:val="14"/>
                <w:b w:val="1"/>
                <w:bCs w:val="1"/>
                <w:color w:val="auto"/>
              </w:rPr>
              <w:t>Date Shares Issued</w:t>
            </w:r>
          </w:p>
        </w:tc>
        <w:tc>
          <w:tcPr>
            <w:tcW w:w="1100" w:type="dxa"/>
            <w:vAlign w:val="bottom"/>
          </w:tcPr>
          <w:p>
            <w:pPr>
              <w:jc w:val="right"/>
              <w:spacing w:after="0" w:line="129" w:lineRule="exact"/>
              <w:rPr>
                <w:sz w:val="20"/>
                <w:szCs w:val="20"/>
                <w:color w:val="auto"/>
              </w:rPr>
            </w:pPr>
            <w:r>
              <w:rPr>
                <w:rFonts w:ascii="Arial" w:cs="Arial" w:eastAsia="Arial" w:hAnsi="Arial"/>
                <w:sz w:val="10"/>
                <w:szCs w:val="10"/>
                <w:b w:val="1"/>
                <w:bCs w:val="1"/>
                <w:color w:val="auto"/>
              </w:rPr>
              <w:t>Shares Issued</w:t>
            </w:r>
            <w:r>
              <w:rPr>
                <w:rFonts w:ascii="Arial" w:cs="Arial" w:eastAsia="Arial" w:hAnsi="Arial"/>
                <w:sz w:val="14"/>
                <w:szCs w:val="14"/>
                <w:b w:val="1"/>
                <w:bCs w:val="1"/>
                <w:color w:val="auto"/>
                <w:vertAlign w:val="superscript"/>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8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2012</w:t>
            </w:r>
          </w:p>
        </w:tc>
        <w:tc>
          <w:tcPr>
            <w:tcW w:w="5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16, 2012</w:t>
            </w:r>
          </w:p>
        </w:tc>
        <w:tc>
          <w:tcPr>
            <w:tcW w:w="5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97,214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May 9, 2012</w:t>
            </w:r>
          </w:p>
        </w:tc>
        <w:tc>
          <w:tcPr>
            <w:tcW w:w="2280" w:type="dxa"/>
            <w:vAlign w:val="bottom"/>
            <w:gridSpan w:val="2"/>
          </w:tcPr>
          <w:p>
            <w:pPr>
              <w:jc w:val="right"/>
              <w:ind w:right="580"/>
              <w:spacing w:after="0"/>
              <w:rPr>
                <w:sz w:val="20"/>
                <w:szCs w:val="20"/>
                <w:color w:val="auto"/>
              </w:rPr>
            </w:pPr>
            <w:r>
              <w:rPr>
                <w:rFonts w:ascii="Arial" w:cs="Arial" w:eastAsia="Arial" w:hAnsi="Arial"/>
                <w:sz w:val="18"/>
                <w:szCs w:val="18"/>
                <w:color w:val="auto"/>
              </w:rPr>
              <w:t>June 30, 2012</w:t>
            </w:r>
          </w:p>
        </w:tc>
        <w:tc>
          <w:tcPr>
            <w:tcW w:w="2260" w:type="dxa"/>
            <w:vAlign w:val="bottom"/>
            <w:gridSpan w:val="2"/>
          </w:tcPr>
          <w:p>
            <w:pPr>
              <w:jc w:val="right"/>
              <w:ind w:right="580"/>
              <w:spacing w:after="0"/>
              <w:rPr>
                <w:sz w:val="20"/>
                <w:szCs w:val="20"/>
                <w:color w:val="auto"/>
              </w:rPr>
            </w:pPr>
            <w:r>
              <w:rPr>
                <w:rFonts w:ascii="Arial" w:cs="Arial" w:eastAsia="Arial" w:hAnsi="Arial"/>
                <w:sz w:val="18"/>
                <w:szCs w:val="18"/>
                <w:color w:val="auto"/>
              </w:rPr>
              <w:t>August 7, 2012</w:t>
            </w:r>
          </w:p>
        </w:tc>
        <w:tc>
          <w:tcPr>
            <w:tcW w:w="1100" w:type="dxa"/>
            <w:vAlign w:val="bottom"/>
          </w:tcPr>
          <w:p>
            <w:pPr>
              <w:jc w:val="right"/>
              <w:spacing w:after="0"/>
              <w:rPr>
                <w:sz w:val="20"/>
                <w:szCs w:val="20"/>
                <w:color w:val="auto"/>
              </w:rPr>
            </w:pPr>
            <w:r>
              <w:rPr>
                <w:rFonts w:ascii="Arial" w:cs="Arial" w:eastAsia="Arial" w:hAnsi="Arial"/>
                <w:sz w:val="18"/>
                <w:szCs w:val="18"/>
                <w:color w:val="auto"/>
              </w:rPr>
              <w:t>221,098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September 30, 2012</w:t>
            </w:r>
          </w:p>
        </w:tc>
        <w:tc>
          <w:tcPr>
            <w:tcW w:w="2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November 13, 2012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December 31, 2012</w:t>
            </w:r>
          </w:p>
        </w:tc>
        <w:tc>
          <w:tcPr>
            <w:tcW w:w="2280" w:type="dxa"/>
            <w:vAlign w:val="bottom"/>
            <w:gridSpan w:val="2"/>
          </w:tcPr>
          <w:p>
            <w:pPr>
              <w:jc w:val="right"/>
              <w:ind w:right="580"/>
              <w:spacing w:after="0"/>
              <w:rPr>
                <w:sz w:val="20"/>
                <w:szCs w:val="20"/>
                <w:color w:val="auto"/>
              </w:rPr>
            </w:pPr>
            <w:r>
              <w:rPr>
                <w:rFonts w:ascii="Arial" w:cs="Arial" w:eastAsia="Arial" w:hAnsi="Arial"/>
                <w:sz w:val="18"/>
                <w:szCs w:val="18"/>
                <w:color w:val="auto"/>
              </w:rPr>
              <w:t>December 31, 2012</w:t>
            </w:r>
          </w:p>
        </w:tc>
        <w:tc>
          <w:tcPr>
            <w:tcW w:w="2260" w:type="dxa"/>
            <w:vAlign w:val="bottom"/>
            <w:gridSpan w:val="2"/>
          </w:tcPr>
          <w:p>
            <w:pPr>
              <w:jc w:val="right"/>
              <w:ind w:right="580"/>
              <w:spacing w:after="0"/>
              <w:rPr>
                <w:sz w:val="20"/>
                <w:szCs w:val="20"/>
                <w:color w:val="auto"/>
              </w:rPr>
            </w:pPr>
            <w:r>
              <w:rPr>
                <w:rFonts w:ascii="Arial" w:cs="Arial" w:eastAsia="Arial" w:hAnsi="Arial"/>
                <w:sz w:val="18"/>
                <w:szCs w:val="18"/>
                <w:color w:val="auto"/>
              </w:rPr>
              <w:t>March 12, 2013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Total Shares Issued</w:t>
            </w: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40" w:hanging="452"/>
        <w:spacing w:after="0" w:line="268" w:lineRule="auto"/>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As further described in Note 8, the indicated amounts have been retroactively adjusted for the stock split which was effected in the form of a stock dividend.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80"/>
          </w:cols>
          <w:pgMar w:left="240" w:top="460" w:right="3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Year Ended</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Dividend Declared</w:t>
            </w:r>
          </w:p>
        </w:tc>
        <w:tc>
          <w:tcPr>
            <w:tcW w:w="3420" w:type="dxa"/>
            <w:vAlign w:val="bottom"/>
            <w:vMerge w:val="restart"/>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85"/>
              </w:rPr>
              <w:t>December 31, 2011</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640" w:type="dxa"/>
            <w:vAlign w:val="bottom"/>
            <w:gridSpan w:val="2"/>
          </w:tcPr>
          <w:p>
            <w:pPr>
              <w:ind w:left="400"/>
              <w:spacing w:after="0" w:line="129" w:lineRule="exact"/>
              <w:rPr>
                <w:sz w:val="20"/>
                <w:szCs w:val="20"/>
                <w:color w:val="auto"/>
              </w:rPr>
            </w:pPr>
            <w:r>
              <w:rPr>
                <w:rFonts w:ascii="Arial" w:cs="Arial" w:eastAsia="Arial" w:hAnsi="Arial"/>
                <w:sz w:val="14"/>
                <w:szCs w:val="14"/>
                <w:b w:val="1"/>
                <w:bCs w:val="1"/>
                <w:color w:val="auto"/>
              </w:rPr>
              <w:t>Record Date</w:t>
            </w:r>
          </w:p>
        </w:tc>
        <w:tc>
          <w:tcPr>
            <w:tcW w:w="260" w:type="dxa"/>
            <w:vAlign w:val="bottom"/>
          </w:tcPr>
          <w:p>
            <w:pPr>
              <w:spacing w:after="0"/>
              <w:rPr>
                <w:sz w:val="12"/>
                <w:szCs w:val="12"/>
                <w:color w:val="auto"/>
              </w:rPr>
            </w:pPr>
          </w:p>
        </w:tc>
        <w:tc>
          <w:tcPr>
            <w:tcW w:w="16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Date Shares Issued</w:t>
            </w:r>
          </w:p>
        </w:tc>
        <w:tc>
          <w:tcPr>
            <w:tcW w:w="1060" w:type="dxa"/>
            <w:vAlign w:val="bottom"/>
          </w:tcPr>
          <w:p>
            <w:pPr>
              <w:jc w:val="right"/>
              <w:spacing w:after="0" w:line="129" w:lineRule="exact"/>
              <w:rPr>
                <w:sz w:val="20"/>
                <w:szCs w:val="20"/>
                <w:color w:val="auto"/>
              </w:rPr>
            </w:pPr>
            <w:r>
              <w:rPr>
                <w:rFonts w:ascii="Arial" w:cs="Arial" w:eastAsia="Arial" w:hAnsi="Arial"/>
                <w:sz w:val="10"/>
                <w:szCs w:val="10"/>
                <w:b w:val="1"/>
                <w:bCs w:val="1"/>
                <w:color w:val="auto"/>
              </w:rPr>
              <w:t>Shares Issued</w:t>
            </w:r>
            <w:r>
              <w:rPr>
                <w:rFonts w:ascii="Arial" w:cs="Arial" w:eastAsia="Arial" w:hAnsi="Arial"/>
                <w:sz w:val="14"/>
                <w:szCs w:val="14"/>
                <w:b w:val="1"/>
                <w:bCs w:val="1"/>
                <w:color w:val="auto"/>
                <w:vertAlign w:val="superscript"/>
              </w:rPr>
              <w:t>(2)</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December 31, 2011 </w:t>
            </w:r>
            <w:r>
              <w:rPr>
                <w:rFonts w:ascii="Arial" w:cs="Arial" w:eastAsia="Arial" w:hAnsi="Arial"/>
                <w:sz w:val="11"/>
                <w:szCs w:val="11"/>
                <w:color w:val="auto"/>
              </w:rPr>
              <w:t>(1)</w:t>
            </w:r>
          </w:p>
        </w:tc>
        <w:tc>
          <w:tcPr>
            <w:tcW w:w="152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4"/>
              </w:rPr>
              <w:t>December 31, 2011</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87"/>
              </w:rPr>
              <w:t>March 20, 2012</w:t>
            </w:r>
          </w:p>
        </w:tc>
        <w:tc>
          <w:tcPr>
            <w:tcW w:w="3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22,870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8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22,870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480" w:hanging="567"/>
        <w:spacing w:after="0"/>
        <w:tabs>
          <w:tab w:leader="none" w:pos="14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On March 20, 2012, 1,933</w:t>
      </w:r>
      <w:r>
        <w:rPr>
          <w:rFonts w:ascii="Arial" w:cs="Arial" w:eastAsia="Arial" w:hAnsi="Arial"/>
          <w:sz w:val="10"/>
          <w:szCs w:val="10"/>
          <w:color w:val="auto"/>
        </w:rPr>
        <w:t>(2)</w:t>
      </w:r>
      <w:r>
        <w:rPr>
          <w:rFonts w:ascii="Arial" w:cs="Arial" w:eastAsia="Arial" w:hAnsi="Arial"/>
          <w:sz w:val="16"/>
          <w:szCs w:val="16"/>
          <w:color w:val="auto"/>
        </w:rPr>
        <w:t xml:space="preserve"> shares were issued to the Adviser in connection with its then participation in the dividend reinvestment plan.</w:t>
      </w:r>
    </w:p>
    <w:p>
      <w:pPr>
        <w:spacing w:after="0" w:line="194"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number of shares issued through the dividend reinvestment plan was determined by dividing the total dollar amount of the dividend payable to such investor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 As of December 5, 2013, the Company’s issued and outstanding shares total 37,026,023, as adjusted for the stock split.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Year Ended</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2012</w:t>
            </w:r>
          </w:p>
        </w:tc>
        <w:tc>
          <w:tcPr>
            <w:tcW w:w="2360" w:type="dxa"/>
            <w:vAlign w:val="bottom"/>
            <w:gridSpan w:val="3"/>
          </w:tcPr>
          <w:p>
            <w:pPr>
              <w:ind w:left="1260"/>
              <w:spacing w:after="0" w:line="142" w:lineRule="exact"/>
              <w:rPr>
                <w:sz w:val="20"/>
                <w:szCs w:val="20"/>
                <w:color w:val="auto"/>
              </w:rPr>
            </w:pPr>
            <w:r>
              <w:rPr>
                <w:rFonts w:ascii="Arial" w:cs="Arial" w:eastAsia="Arial" w:hAnsi="Arial"/>
                <w:sz w:val="14"/>
                <w:szCs w:val="14"/>
                <w:b w:val="1"/>
                <w:bCs w:val="1"/>
                <w:color w:val="auto"/>
                <w:w w:val="85"/>
              </w:rPr>
              <w:t>December 31, 2011</w:t>
            </w:r>
          </w:p>
        </w:tc>
        <w:tc>
          <w:tcPr>
            <w:tcW w:w="100" w:type="dxa"/>
            <w:vAlign w:val="bottom"/>
          </w:tcPr>
          <w:p>
            <w:pPr>
              <w:spacing w:after="0"/>
              <w:rPr>
                <w:sz w:val="12"/>
                <w:szCs w:val="12"/>
                <w:color w:val="auto"/>
              </w:rPr>
            </w:pP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1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500" w:type="dxa"/>
            <w:vAlign w:val="bottom"/>
          </w:tcPr>
          <w:p>
            <w:pPr>
              <w:ind w:left="220"/>
              <w:spacing w:after="0"/>
              <w:rPr>
                <w:sz w:val="20"/>
                <w:szCs w:val="20"/>
                <w:color w:val="auto"/>
              </w:rPr>
            </w:pPr>
            <w:r>
              <w:rPr>
                <w:rFonts w:ascii="Arial" w:cs="Arial" w:eastAsia="Arial" w:hAnsi="Arial"/>
                <w:sz w:val="18"/>
                <w:szCs w:val="18"/>
                <w:color w:val="auto"/>
              </w:rPr>
              <w:t xml:space="preserve">– basic and diluted </w:t>
            </w:r>
            <w:r>
              <w:rPr>
                <w:rFonts w:ascii="Arial" w:cs="Arial" w:eastAsia="Arial" w:hAnsi="Arial"/>
                <w:sz w:val="11"/>
                <w:szCs w:val="11"/>
                <w:color w:val="auto"/>
              </w:rPr>
              <w:t>(2)</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20,541,475</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3,347,602</w:t>
            </w:r>
          </w:p>
        </w:tc>
        <w:tc>
          <w:tcPr>
            <w:tcW w:w="100" w:type="dxa"/>
            <w:vAlign w:val="bottom"/>
          </w:tcPr>
          <w:p>
            <w:pPr>
              <w:spacing w:after="0"/>
              <w:rPr>
                <w:sz w:val="19"/>
                <w:szCs w:val="19"/>
                <w:color w:val="auto"/>
              </w:rPr>
            </w:pP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common share – basic and diluted </w:t>
            </w:r>
            <w:r>
              <w:rPr>
                <w:rFonts w:ascii="Arial" w:cs="Arial" w:eastAsia="Arial" w:hAnsi="Arial"/>
                <w:sz w:val="11"/>
                <w:szCs w:val="11"/>
                <w:color w:val="auto"/>
              </w:rPr>
              <w:t>(2)</w:t>
            </w: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5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2012 and 2011:</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right="780"/>
              <w:spacing w:after="0"/>
              <w:rPr>
                <w:sz w:val="20"/>
                <w:szCs w:val="20"/>
                <w:color w:val="auto"/>
              </w:rPr>
            </w:pPr>
            <w:r>
              <w:rPr>
                <w:rFonts w:ascii="Arial" w:cs="Arial" w:eastAsia="Arial" w:hAnsi="Arial"/>
                <w:sz w:val="14"/>
                <w:szCs w:val="14"/>
                <w:b w:val="1"/>
                <w:bCs w:val="1"/>
                <w:color w:val="auto"/>
                <w:w w:val="85"/>
              </w:rPr>
              <w:t>December 31, 2012</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8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gridSpan w:val="2"/>
          </w:tcPr>
          <w:p>
            <w:pPr>
              <w:jc w:val="center"/>
              <w:spacing w:after="0" w:line="115" w:lineRule="exact"/>
              <w:rPr>
                <w:sz w:val="20"/>
                <w:szCs w:val="20"/>
                <w:color w:val="auto"/>
              </w:rPr>
            </w:pPr>
            <w:r>
              <w:rPr>
                <w:rFonts w:ascii="Arial" w:cs="Arial" w:eastAsia="Arial" w:hAnsi="Arial"/>
                <w:sz w:val="12"/>
                <w:szCs w:val="12"/>
                <w:b w:val="1"/>
                <w:bCs w:val="1"/>
                <w:color w:val="auto"/>
              </w:rPr>
              <w:t>Dividend per</w:t>
            </w:r>
          </w:p>
        </w:tc>
        <w:tc>
          <w:tcPr>
            <w:tcW w:w="100" w:type="dxa"/>
            <w:vAlign w:val="bottom"/>
          </w:tcPr>
          <w:p>
            <w:pPr>
              <w:spacing w:after="0"/>
              <w:rPr>
                <w:sz w:val="10"/>
                <w:szCs w:val="10"/>
                <w:color w:val="auto"/>
              </w:rPr>
            </w:pPr>
          </w:p>
        </w:tc>
      </w:tr>
      <w:tr>
        <w:trPr>
          <w:trHeight w:val="182"/>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 Declared</w:t>
            </w:r>
          </w:p>
        </w:tc>
        <w:tc>
          <w:tcPr>
            <w:tcW w:w="4000" w:type="dxa"/>
            <w:vAlign w:val="bottom"/>
          </w:tcPr>
          <w:p>
            <w:pPr>
              <w:spacing w:after="0"/>
              <w:rPr>
                <w:sz w:val="15"/>
                <w:szCs w:val="15"/>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Record Date</w:t>
            </w:r>
          </w:p>
        </w:tc>
        <w:tc>
          <w:tcPr>
            <w:tcW w:w="300" w:type="dxa"/>
            <w:vAlign w:val="bottom"/>
          </w:tcPr>
          <w:p>
            <w:pPr>
              <w:spacing w:after="0"/>
              <w:rPr>
                <w:sz w:val="15"/>
                <w:szCs w:val="15"/>
                <w:color w:val="auto"/>
              </w:rPr>
            </w:pPr>
          </w:p>
        </w:tc>
        <w:tc>
          <w:tcPr>
            <w:tcW w:w="1760" w:type="dxa"/>
            <w:vAlign w:val="bottom"/>
            <w:gridSpan w:val="2"/>
          </w:tcPr>
          <w:p>
            <w:pPr>
              <w:ind w:left="28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5"/>
                <w:szCs w:val="15"/>
                <w:color w:val="auto"/>
              </w:rPr>
            </w:pPr>
          </w:p>
        </w:tc>
        <w:tc>
          <w:tcPr>
            <w:tcW w:w="840" w:type="dxa"/>
            <w:vAlign w:val="bottom"/>
            <w:gridSpan w:val="2"/>
          </w:tcPr>
          <w:p>
            <w:pPr>
              <w:jc w:val="center"/>
              <w:ind w:right="260"/>
              <w:spacing w:after="0" w:line="162" w:lineRule="exact"/>
              <w:rPr>
                <w:sz w:val="20"/>
                <w:szCs w:val="20"/>
                <w:color w:val="auto"/>
              </w:rPr>
            </w:pPr>
            <w:r>
              <w:rPr>
                <w:rFonts w:ascii="Arial" w:cs="Arial" w:eastAsia="Arial" w:hAnsi="Arial"/>
                <w:sz w:val="12"/>
                <w:szCs w:val="12"/>
                <w:b w:val="1"/>
                <w:bCs w:val="1"/>
                <w:color w:val="auto"/>
                <w:w w:val="95"/>
              </w:rPr>
              <w:t>Share</w:t>
            </w:r>
            <w:r>
              <w:rPr>
                <w:rFonts w:ascii="Arial" w:cs="Arial" w:eastAsia="Arial" w:hAnsi="Arial"/>
                <w:sz w:val="18"/>
                <w:szCs w:val="18"/>
                <w:b w:val="1"/>
                <w:bCs w:val="1"/>
                <w:color w:val="auto"/>
                <w:w w:val="95"/>
                <w:vertAlign w:val="superscript"/>
              </w:rPr>
              <w:t>(2)</w:t>
            </w:r>
          </w:p>
        </w:tc>
      </w:tr>
      <w:tr>
        <w:trPr>
          <w:trHeight w:val="203"/>
        </w:trPr>
        <w:tc>
          <w:tcPr>
            <w:tcW w:w="4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2012</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7, 2012</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June 30, 2012</w:t>
            </w:r>
          </w:p>
        </w:tc>
        <w:tc>
          <w:tcPr>
            <w:tcW w:w="300" w:type="dxa"/>
            <w:vAlign w:val="bottom"/>
          </w:tcPr>
          <w:p>
            <w:pPr>
              <w:spacing w:after="0"/>
              <w:rPr>
                <w:sz w:val="18"/>
                <w:szCs w:val="18"/>
                <w:color w:val="auto"/>
              </w:rPr>
            </w:pP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August 3, 2012</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September 30, 2012</w:t>
            </w: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October 30, 2012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 xml:space="preserve">December 31, 2012 </w:t>
            </w:r>
            <w:r>
              <w:rPr>
                <w:rFonts w:ascii="Arial" w:cs="Arial" w:eastAsia="Arial" w:hAnsi="Arial"/>
                <w:sz w:val="11"/>
                <w:szCs w:val="11"/>
                <w:color w:val="auto"/>
              </w:rPr>
              <w:t>(1)</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December 31, 2012</w:t>
            </w:r>
          </w:p>
        </w:tc>
        <w:tc>
          <w:tcPr>
            <w:tcW w:w="300" w:type="dxa"/>
            <w:vAlign w:val="bottom"/>
          </w:tcPr>
          <w:p>
            <w:pPr>
              <w:spacing w:after="0"/>
              <w:rPr>
                <w:sz w:val="19"/>
                <w:szCs w:val="19"/>
                <w:color w:val="auto"/>
              </w:rPr>
            </w:pP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January 31, 2013</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r>
      <w:tr>
        <w:trPr>
          <w:trHeight w:val="216"/>
        </w:trPr>
        <w:tc>
          <w:tcPr>
            <w:tcW w:w="48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0"/>
        </w:trPr>
        <w:tc>
          <w:tcPr>
            <w:tcW w:w="8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1480" w:hanging="567"/>
        <w:spacing w:after="0"/>
        <w:tabs>
          <w:tab w:leader="none" w:pos="14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w:t>
      </w:r>
      <w:r>
        <w:rPr>
          <w:rFonts w:ascii="Arial" w:cs="Arial" w:eastAsia="Arial" w:hAnsi="Arial"/>
          <w:sz w:val="11"/>
          <w:szCs w:val="11"/>
          <w:color w:val="auto"/>
        </w:rPr>
        <w:t>(2)</w:t>
      </w:r>
      <w:r>
        <w:rPr>
          <w:rFonts w:ascii="Arial" w:cs="Arial" w:eastAsia="Arial" w:hAnsi="Arial"/>
          <w:sz w:val="18"/>
          <w:szCs w:val="18"/>
          <w:color w:val="auto"/>
        </w:rPr>
        <w:t xml:space="preserve"> per share.</w:t>
      </w:r>
    </w:p>
    <w:p>
      <w:pPr>
        <w:spacing w:after="0" w:line="157" w:lineRule="exact"/>
        <w:rPr>
          <w:rFonts w:ascii="Arial" w:cs="Arial" w:eastAsia="Arial" w:hAnsi="Arial"/>
          <w:sz w:val="18"/>
          <w:szCs w:val="18"/>
          <w:color w:val="auto"/>
        </w:rPr>
      </w:pPr>
    </w:p>
    <w:p>
      <w:pPr>
        <w:ind w:left="460" w:right="640" w:hanging="452"/>
        <w:spacing w:after="0" w:line="268" w:lineRule="auto"/>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As further described in Note 8, the indicated amounts have been retroactively adjusted for the stock split which was effected in the form of a stock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89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8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right="720"/>
              <w:spacing w:after="0"/>
              <w:rPr>
                <w:sz w:val="20"/>
                <w:szCs w:val="20"/>
                <w:color w:val="auto"/>
              </w:rPr>
            </w:pPr>
            <w:r>
              <w:rPr>
                <w:rFonts w:ascii="Arial" w:cs="Arial" w:eastAsia="Arial" w:hAnsi="Arial"/>
                <w:sz w:val="14"/>
                <w:szCs w:val="14"/>
                <w:b w:val="1"/>
                <w:bCs w:val="1"/>
                <w:color w:val="auto"/>
                <w:w w:val="85"/>
              </w:rPr>
              <w:t>December 31, 2011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5"/>
        </w:trPr>
        <w:tc>
          <w:tcPr>
            <w:tcW w:w="88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Dividend per</w:t>
            </w:r>
          </w:p>
        </w:tc>
        <w:tc>
          <w:tcPr>
            <w:tcW w:w="100" w:type="dxa"/>
            <w:vAlign w:val="bottom"/>
            <w:gridSpan w:val="2"/>
          </w:tcPr>
          <w:p>
            <w:pPr>
              <w:spacing w:after="0"/>
              <w:rPr>
                <w:sz w:val="10"/>
                <w:szCs w:val="10"/>
                <w:color w:val="auto"/>
              </w:rPr>
            </w:pPr>
          </w:p>
        </w:tc>
      </w:tr>
      <w:tr>
        <w:trPr>
          <w:trHeight w:val="182"/>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 Declared</w:t>
            </w:r>
          </w:p>
        </w:tc>
        <w:tc>
          <w:tcPr>
            <w:tcW w:w="4280" w:type="dxa"/>
            <w:vAlign w:val="bottom"/>
          </w:tcPr>
          <w:p>
            <w:pPr>
              <w:spacing w:after="0"/>
              <w:rPr>
                <w:sz w:val="15"/>
                <w:szCs w:val="15"/>
                <w:color w:val="auto"/>
              </w:rPr>
            </w:pPr>
          </w:p>
        </w:tc>
        <w:tc>
          <w:tcPr>
            <w:tcW w:w="1540" w:type="dxa"/>
            <w:vAlign w:val="bottom"/>
            <w:gridSpan w:val="2"/>
          </w:tcPr>
          <w:p>
            <w:pPr>
              <w:ind w:left="360"/>
              <w:spacing w:after="0"/>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5"/>
                <w:szCs w:val="15"/>
                <w:color w:val="auto"/>
              </w:rPr>
            </w:pPr>
          </w:p>
        </w:tc>
        <w:tc>
          <w:tcPr>
            <w:tcW w:w="1680" w:type="dxa"/>
            <w:vAlign w:val="bottom"/>
            <w:gridSpan w:val="2"/>
          </w:tcPr>
          <w:p>
            <w:pPr>
              <w:ind w:left="260"/>
              <w:spacing w:after="0"/>
              <w:rPr>
                <w:sz w:val="20"/>
                <w:szCs w:val="20"/>
                <w:color w:val="auto"/>
              </w:rPr>
            </w:pPr>
            <w:r>
              <w:rPr>
                <w:rFonts w:ascii="Arial" w:cs="Arial" w:eastAsia="Arial" w:hAnsi="Arial"/>
                <w:sz w:val="14"/>
                <w:szCs w:val="14"/>
                <w:b w:val="1"/>
                <w:bCs w:val="1"/>
                <w:color w:val="auto"/>
              </w:rPr>
              <w:t>Payment Date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ind w:left="40"/>
              <w:spacing w:after="0" w:line="162" w:lineRule="exact"/>
              <w:rPr>
                <w:sz w:val="20"/>
                <w:szCs w:val="20"/>
                <w:color w:val="auto"/>
              </w:rPr>
            </w:pPr>
            <w:r>
              <w:rPr>
                <w:rFonts w:ascii="Arial" w:cs="Arial" w:eastAsia="Arial" w:hAnsi="Arial"/>
                <w:sz w:val="12"/>
                <w:szCs w:val="12"/>
                <w:b w:val="1"/>
                <w:bCs w:val="1"/>
                <w:color w:val="auto"/>
              </w:rPr>
              <w:t>Share</w:t>
            </w:r>
            <w:r>
              <w:rPr>
                <w:rFonts w:ascii="Arial" w:cs="Arial" w:eastAsia="Arial" w:hAnsi="Arial"/>
                <w:sz w:val="18"/>
                <w:szCs w:val="18"/>
                <w:b w:val="1"/>
                <w:bCs w:val="1"/>
                <w:color w:val="auto"/>
                <w:vertAlign w:val="superscript"/>
              </w:rPr>
              <w:t>(1)</w:t>
            </w:r>
          </w:p>
        </w:tc>
      </w:tr>
      <w:tr>
        <w:trPr>
          <w:trHeight w:val="203"/>
        </w:trPr>
        <w:tc>
          <w:tcPr>
            <w:tcW w:w="5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146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6"/>
              </w:rPr>
              <w:t>December 31, 2011</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4"/>
              </w:rPr>
              <w:t>January 30, 2012</w:t>
            </w: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22"/>
        </w:trPr>
        <w:tc>
          <w:tcPr>
            <w:tcW w:w="51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2012 and 2011, to undistributed taxable income at December 31, 2012 and 2011:</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8"/>
              </w:rPr>
              <w:t>Year Ended</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4"/>
        </w:trPr>
        <w:tc>
          <w:tcPr>
            <w:tcW w:w="518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December 31, 2012</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93"/>
              </w:rPr>
              <w:t>Year Ended</w:t>
            </w:r>
          </w:p>
        </w:tc>
      </w:tr>
      <w:tr>
        <w:trPr>
          <w:trHeight w:val="176"/>
        </w:trPr>
        <w:tc>
          <w:tcPr>
            <w:tcW w:w="5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right"/>
              <w:ind w:right="760"/>
              <w:spacing w:after="0" w:line="176" w:lineRule="exact"/>
              <w:rPr>
                <w:sz w:val="20"/>
                <w:szCs w:val="20"/>
                <w:color w:val="auto"/>
              </w:rPr>
            </w:pPr>
            <w:r>
              <w:rPr>
                <w:rFonts w:ascii="Arial" w:cs="Arial" w:eastAsia="Arial" w:hAnsi="Arial"/>
                <w:sz w:val="13"/>
                <w:szCs w:val="13"/>
                <w:b w:val="1"/>
                <w:bCs w:val="1"/>
                <w:color w:val="auto"/>
                <w:w w:val="92"/>
              </w:rPr>
              <w:t xml:space="preserve">(Estimated) </w:t>
            </w:r>
            <w:r>
              <w:rPr>
                <w:rFonts w:ascii="Arial" w:cs="Arial" w:eastAsia="Arial" w:hAnsi="Arial"/>
                <w:sz w:val="20"/>
                <w:szCs w:val="20"/>
                <w:b w:val="1"/>
                <w:bCs w:val="1"/>
                <w:color w:val="auto"/>
                <w:w w:val="92"/>
                <w:vertAlign w:val="superscript"/>
              </w:rPr>
              <w:t>(1)</w:t>
            </w:r>
          </w:p>
        </w:tc>
        <w:tc>
          <w:tcPr>
            <w:tcW w:w="17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2011</w:t>
            </w:r>
          </w:p>
        </w:tc>
      </w:tr>
      <w:tr>
        <w:trPr>
          <w:trHeight w:val="210"/>
        </w:trPr>
        <w:tc>
          <w:tcPr>
            <w:tcW w:w="5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on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(7,211)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(2,312)</w:t>
            </w: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Other income (expense) for tax purposes, not book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(670)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organization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20" w:type="dxa"/>
            <w:vAlign w:val="bottom"/>
            <w:shd w:val="clear" w:color="auto" w:fill="CCEEFF"/>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Other expenses not currently deductible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book-tax differences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r>
      <w:tr>
        <w:trPr>
          <w:trHeight w:val="222"/>
        </w:trPr>
        <w:tc>
          <w:tcPr>
            <w:tcW w:w="5180" w:type="dxa"/>
            <w:vAlign w:val="bottom"/>
          </w:tcPr>
          <w:p>
            <w:pPr>
              <w:ind w:left="440"/>
              <w:spacing w:after="0"/>
              <w:rPr>
                <w:sz w:val="20"/>
                <w:szCs w:val="20"/>
                <w:color w:val="auto"/>
              </w:rPr>
            </w:pPr>
            <w:r>
              <w:rPr>
                <w:rFonts w:ascii="Arial" w:cs="Arial" w:eastAsia="Arial" w:hAnsi="Arial"/>
                <w:sz w:val="18"/>
                <w:szCs w:val="18"/>
                <w:b w:val="1"/>
                <w:bCs w:val="1"/>
                <w:color w:val="auto"/>
              </w:rPr>
              <w:t>Undistributed Taxable Income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31,755</w:t>
            </w:r>
          </w:p>
        </w:tc>
        <w:tc>
          <w:tcPr>
            <w:tcW w:w="6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1920" w:hanging="440"/>
        <w:spacing w:after="0"/>
        <w:tabs>
          <w:tab w:leader="none" w:pos="19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Taxable income is an estimate and will not be fully determined until the Company’s 2012 tax return is filed in 2013.</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general, the Company may make certain adjustments to the classification of stockholders’ equity as a result of permanent book-to-tax differences, which may include differences in the book and tax basis of certain assets and liabilities, and nondeductible federal taxes or losses, among other items. To the extent these differences are permanent, they are charged or credited to additional paid-in capital or accumulated net investment income (loss), as appropriate, in the period that the differences arise. These adjustments have no effect on the Company’s net assets or results of operations.</w:t>
      </w:r>
    </w:p>
    <w:p>
      <w:pPr>
        <w:spacing w:after="0" w:line="113"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During the year ended December 31, 2012, permanent differences of $46 thousand were principally attributable to accrued U.S. federal excise taxes and $441 thousand of distributions from the Company’s net short-term capital gains generally characterized as ordinary dividend income to Company shareholders. During the year ended December 31, 2011, permanent differences were primarily attributable to $54 thousand of nondeductible net operating losses incurred by the Company in respect of the Company’s taxable year ended March 31, 2011, and were recorded as a decrease to the Company’s additional paid-in capital and accumulated net investment income (loss) as of December 31, 2011.</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We neither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660" w:hanging="452"/>
        <w:spacing w:after="0" w:line="268"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As further described in Note 8, the indicated amounts have been retroactively adjusted for the stock split which was effected in the form of a stock dividend.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December 31, 2012 and 2011, approximates their amortized cost.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Highlights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 during the years ended December 31, 2012 and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3"/>
              </w:rPr>
              <w:t>Year Ended</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2012</w:t>
            </w:r>
          </w:p>
        </w:tc>
        <w:tc>
          <w:tcPr>
            <w:tcW w:w="5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1"/>
                <w:szCs w:val="11"/>
                <w:color w:val="auto"/>
              </w:rPr>
              <w:t>(3)(4)</w:t>
            </w: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14.71</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at prices above net asset value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1.36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420"/>
              <w:spacing w:after="0"/>
              <w:rPr>
                <w:sz w:val="20"/>
                <w:szCs w:val="20"/>
                <w:color w:val="auto"/>
              </w:rPr>
            </w:pPr>
            <w:r>
              <w:rPr>
                <w:rFonts w:ascii="Arial" w:cs="Arial" w:eastAsia="Arial" w:hAnsi="Arial"/>
                <w:sz w:val="18"/>
                <w:szCs w:val="18"/>
                <w:color w:val="auto"/>
              </w:rPr>
              <w:t>Total from investment operations</w:t>
            </w: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1.65</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Dividends declared from realized gains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8"/>
                <w:szCs w:val="18"/>
                <w:color w:val="auto"/>
              </w:rPr>
              <w:t>(0.11)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dividends declared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420"/>
              <w:spacing w:after="0"/>
              <w:rPr>
                <w:sz w:val="20"/>
                <w:szCs w:val="20"/>
                <w:color w:val="auto"/>
              </w:rPr>
            </w:pPr>
            <w:r>
              <w:rPr>
                <w:rFonts w:ascii="Arial" w:cs="Arial" w:eastAsia="Arial" w:hAnsi="Arial"/>
                <w:sz w:val="18"/>
                <w:szCs w:val="18"/>
                <w:color w:val="auto"/>
              </w:rPr>
              <w:t>Total increase in net assets</w:t>
            </w: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0.48</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Asset Value, End of Period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15.19</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Shares Outstanding, End of Period </w:t>
            </w:r>
            <w:r>
              <w:rPr>
                <w:rFonts w:ascii="Arial" w:cs="Arial" w:eastAsia="Arial" w:hAnsi="Arial"/>
                <w:sz w:val="11"/>
                <w:szCs w:val="11"/>
                <w:color w:val="auto"/>
              </w:rPr>
              <w:t>(3)</w:t>
            </w: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2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31,582,954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11,770,514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0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1"/>
                <w:szCs w:val="11"/>
                <w:color w:val="auto"/>
              </w:rPr>
              <w:t>(1)</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22"/>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Ratios / Supplemental Data</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Ratio of net expenses to average net assets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Ratio of net investment income (loss) to average net assets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rPr>
              <w:t>8.4%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assets, end of period</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479,803</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20,541,475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3,347,602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committed capital, end of period </w:t>
            </w:r>
            <w:r>
              <w:rPr>
                <w:rFonts w:ascii="Arial" w:cs="Arial" w:eastAsia="Arial" w:hAnsi="Arial"/>
                <w:sz w:val="11"/>
                <w:szCs w:val="11"/>
                <w:color w:val="auto"/>
              </w:rPr>
              <w:t>(2)</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1,402,970</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Ratio of total contributed capital to total committed capital, end of period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rPr>
              <w:t>32.8%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Year of formation</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2010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00" w:hanging="446"/>
        <w:spacing w:after="0" w:line="283" w:lineRule="auto"/>
        <w:tabs>
          <w:tab w:leader="none" w:pos="9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the Company’s formation (at $0.01</w:t>
      </w:r>
      <w:r>
        <w:rPr>
          <w:rFonts w:ascii="Arial" w:cs="Arial" w:eastAsia="Arial" w:hAnsi="Arial"/>
          <w:sz w:val="10"/>
          <w:szCs w:val="10"/>
          <w:color w:val="auto"/>
        </w:rPr>
        <w:t>(3)</w:t>
      </w:r>
      <w:r>
        <w:rPr>
          <w:rFonts w:ascii="Arial" w:cs="Arial" w:eastAsia="Arial" w:hAnsi="Arial"/>
          <w:sz w:val="16"/>
          <w:szCs w:val="16"/>
          <w:color w:val="auto"/>
        </w:rPr>
        <w:t xml:space="preserve"> per share) and accordingly the information is not meaningful. Excluding the effect of the initial seed funding, total return for the period July 1, 2011 through December 31, 2011 would be (1.58%).</w:t>
      </w:r>
    </w:p>
    <w:p>
      <w:pPr>
        <w:spacing w:after="0" w:line="2" w:lineRule="exact"/>
        <w:rPr>
          <w:rFonts w:ascii="Arial" w:cs="Arial" w:eastAsia="Arial" w:hAnsi="Arial"/>
          <w:sz w:val="16"/>
          <w:szCs w:val="16"/>
          <w:color w:val="auto"/>
        </w:rPr>
      </w:pPr>
    </w:p>
    <w:p>
      <w:pPr>
        <w:ind w:left="900" w:hanging="446"/>
        <w:spacing w:after="0"/>
        <w:tabs>
          <w:tab w:leader="none" w:pos="9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As of December 31, 2012 and 2011, the amount includes commitments from the Adviser and its affiliates of $114.1 and $70.4 million, respectively.</w:t>
      </w:r>
    </w:p>
    <w:p>
      <w:pPr>
        <w:spacing w:after="0" w:line="32" w:lineRule="exact"/>
        <w:rPr>
          <w:rFonts w:ascii="Arial" w:cs="Arial" w:eastAsia="Arial" w:hAnsi="Arial"/>
          <w:sz w:val="16"/>
          <w:szCs w:val="16"/>
          <w:color w:val="auto"/>
        </w:rPr>
      </w:pPr>
    </w:p>
    <w:p>
      <w:pPr>
        <w:ind w:left="900" w:right="160" w:hanging="446"/>
        <w:spacing w:after="0" w:line="250"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 further described in Note 8, the indicated amounts have been retroactively adjusted for the stock split which was effected in the form of a stock dividend.</w:t>
      </w:r>
    </w:p>
    <w:p>
      <w:pPr>
        <w:ind w:left="900" w:right="380" w:hanging="446"/>
        <w:spacing w:after="0" w:line="261"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actual number of shares outstanding at the end of the corresponding period or the weighted average shares outstanding for the period, unless otherwise noted, as appropriate.</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40"/>
          </w:cols>
          <w:pgMar w:left="240" w:top="459" w:right="3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Selected Quarterly Financial Data (Unaudited)</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4"/>
          </w:tcPr>
          <w:p>
            <w:pPr>
              <w:jc w:val="right"/>
              <w:ind w:right="720"/>
              <w:spacing w:after="0" w:line="142" w:lineRule="exact"/>
              <w:rPr>
                <w:sz w:val="20"/>
                <w:szCs w:val="20"/>
                <w:color w:val="auto"/>
              </w:rPr>
            </w:pPr>
            <w:r>
              <w:rPr>
                <w:rFonts w:ascii="Arial" w:cs="Arial" w:eastAsia="Arial" w:hAnsi="Arial"/>
                <w:sz w:val="14"/>
                <w:szCs w:val="14"/>
                <w:b w:val="1"/>
                <w:bCs w:val="1"/>
                <w:color w:val="auto"/>
                <w:w w:val="85"/>
              </w:rPr>
              <w:t>Q3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Q1</w:t>
            </w:r>
          </w:p>
        </w:tc>
        <w:tc>
          <w:tcPr>
            <w:tcW w:w="200" w:type="dxa"/>
            <w:vAlign w:val="bottom"/>
          </w:tcPr>
          <w:p>
            <w:pPr>
              <w:spacing w:after="0"/>
              <w:rPr>
                <w:sz w:val="12"/>
                <w:szCs w:val="12"/>
                <w:color w:val="auto"/>
              </w:rPr>
            </w:pPr>
          </w:p>
        </w:tc>
      </w:tr>
      <w:tr>
        <w:trPr>
          <w:trHeight w:val="210"/>
        </w:trPr>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$18,169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$14,554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11,314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$6,974</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7,231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gridSpan w:val="4"/>
          </w:tcPr>
          <w:p>
            <w:pPr>
              <w:ind w:left="60"/>
              <w:spacing w:after="0"/>
              <w:rPr>
                <w:sz w:val="20"/>
                <w:szCs w:val="20"/>
                <w:color w:val="auto"/>
              </w:rPr>
            </w:pPr>
            <w:r>
              <w:rPr>
                <w:rFonts w:ascii="Arial" w:cs="Arial" w:eastAsia="Arial" w:hAnsi="Arial"/>
                <w:sz w:val="18"/>
                <w:szCs w:val="18"/>
                <w:color w:val="auto"/>
              </w:rPr>
              <w:t>6,637</w:t>
            </w:r>
          </w:p>
        </w:tc>
        <w:tc>
          <w:tcPr>
            <w:tcW w:w="40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center"/>
              <w:ind w:right="20"/>
              <w:spacing w:after="0"/>
              <w:rPr>
                <w:sz w:val="20"/>
                <w:szCs w:val="20"/>
                <w:color w:val="auto"/>
              </w:rPr>
            </w:pPr>
            <w:r>
              <w:rPr>
                <w:rFonts w:ascii="Arial" w:cs="Arial" w:eastAsia="Arial" w:hAnsi="Arial"/>
                <w:sz w:val="18"/>
                <w:szCs w:val="18"/>
                <w:color w:val="auto"/>
                <w:w w:val="84"/>
              </w:rPr>
              <w:t>4,711</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$4,357</w:t>
            </w:r>
          </w:p>
        </w:tc>
        <w:tc>
          <w:tcPr>
            <w:tcW w:w="2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$10,892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7,917</w:t>
            </w:r>
          </w:p>
        </w:tc>
        <w:tc>
          <w:tcPr>
            <w:tcW w:w="4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8"/>
              </w:rPr>
              <w:t>6,603</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2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1,568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gridSpan w:val="4"/>
          </w:tcPr>
          <w:p>
            <w:pPr>
              <w:ind w:left="60"/>
              <w:spacing w:after="0"/>
              <w:rPr>
                <w:sz w:val="20"/>
                <w:szCs w:val="20"/>
                <w:color w:val="auto"/>
              </w:rPr>
            </w:pPr>
            <w:r>
              <w:rPr>
                <w:rFonts w:ascii="Arial" w:cs="Arial" w:eastAsia="Arial" w:hAnsi="Arial"/>
                <w:sz w:val="18"/>
                <w:szCs w:val="18"/>
                <w:color w:val="auto"/>
              </w:rPr>
              <w:t>5,664</w:t>
            </w:r>
          </w:p>
        </w:tc>
        <w:tc>
          <w:tcPr>
            <w:tcW w:w="40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1,165</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$3,169</w:t>
            </w:r>
          </w:p>
        </w:tc>
        <w:tc>
          <w:tcPr>
            <w:tcW w:w="2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$12,460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$13,581</w:t>
            </w:r>
          </w:p>
        </w:tc>
        <w:tc>
          <w:tcPr>
            <w:tcW w:w="4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8"/>
              </w:rPr>
              <w:t>7,768</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20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 xml:space="preserve">Net Assets Value per Share as of the End of the Quarter </w:t>
            </w:r>
            <w:r>
              <w:rPr>
                <w:rFonts w:ascii="Arial" w:cs="Arial" w:eastAsia="Arial" w:hAnsi="Arial"/>
                <w:sz w:val="11"/>
                <w:szCs w:val="11"/>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15.19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gridSpan w:val="4"/>
          </w:tcPr>
          <w:p>
            <w:pPr>
              <w:ind w:left="60"/>
              <w:spacing w:after="0"/>
              <w:rPr>
                <w:sz w:val="20"/>
                <w:szCs w:val="20"/>
                <w:color w:val="auto"/>
              </w:rPr>
            </w:pPr>
            <w:r>
              <w:rPr>
                <w:rFonts w:ascii="Arial" w:cs="Arial" w:eastAsia="Arial" w:hAnsi="Arial"/>
                <w:sz w:val="18"/>
                <w:szCs w:val="18"/>
                <w:color w:val="auto"/>
              </w:rPr>
              <w:t>15.12</w:t>
            </w:r>
          </w:p>
        </w:tc>
        <w:tc>
          <w:tcPr>
            <w:tcW w:w="4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14.92</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$14.88</w:t>
            </w:r>
          </w:p>
        </w:tc>
        <w:tc>
          <w:tcPr>
            <w:tcW w:w="200" w:type="dxa"/>
            <w:vAlign w:val="bottom"/>
          </w:tcPr>
          <w:p>
            <w:pPr>
              <w:spacing w:after="0"/>
              <w:rPr>
                <w:sz w:val="19"/>
                <w:szCs w:val="19"/>
                <w:color w:val="auto"/>
              </w:rPr>
            </w:pPr>
          </w:p>
        </w:tc>
      </w:tr>
      <w:tr>
        <w:trPr>
          <w:trHeight w:val="345"/>
        </w:trPr>
        <w:tc>
          <w:tcPr>
            <w:tcW w:w="6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42"/>
        </w:trPr>
        <w:tc>
          <w:tcPr>
            <w:tcW w:w="6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Q1</w:t>
            </w:r>
          </w:p>
        </w:tc>
        <w:tc>
          <w:tcPr>
            <w:tcW w:w="200" w:type="dxa"/>
            <w:vAlign w:val="bottom"/>
          </w:tcPr>
          <w:p>
            <w:pPr>
              <w:spacing w:after="0"/>
              <w:rPr>
                <w:sz w:val="12"/>
                <w:szCs w:val="12"/>
                <w:color w:val="auto"/>
              </w:rPr>
            </w:pPr>
          </w:p>
        </w:tc>
      </w:tr>
      <w:tr>
        <w:trPr>
          <w:trHeight w:val="210"/>
        </w:trPr>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3,764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1,551</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Expenses</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w w:val="84"/>
              </w:rPr>
              <w:t>2,835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w w:val="84"/>
              </w:rPr>
              <w:t>1,789</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center"/>
              <w:ind w:left="75"/>
              <w:spacing w:after="0"/>
              <w:rPr>
                <w:sz w:val="20"/>
                <w:szCs w:val="20"/>
                <w:color w:val="auto"/>
              </w:rPr>
            </w:pPr>
            <w:r>
              <w:rPr>
                <w:rFonts w:ascii="Arial" w:cs="Arial" w:eastAsia="Arial" w:hAnsi="Arial"/>
                <w:sz w:val="18"/>
                <w:szCs w:val="18"/>
                <w:color w:val="auto"/>
                <w:w w:val="86"/>
              </w:rPr>
              <w:t>636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$ 1,554</w:t>
            </w:r>
          </w:p>
        </w:tc>
        <w:tc>
          <w:tcPr>
            <w:tcW w:w="2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(238)</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90"/>
              </w:rPr>
              <w:t>(636)</w:t>
            </w:r>
          </w:p>
        </w:tc>
        <w:tc>
          <w:tcPr>
            <w:tcW w:w="1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$(1,554)</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Unrealized Gains</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937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w w:val="84"/>
              </w:rPr>
              <w:t>1,375</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4"/>
              </w:rPr>
              <w:t>1,866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4"/>
              </w:rPr>
              <w:t>1,137</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90"/>
              </w:rPr>
              <w:t>(636)</w:t>
            </w:r>
          </w:p>
        </w:tc>
        <w:tc>
          <w:tcPr>
            <w:tcW w:w="1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$(1,554)</w:t>
            </w: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Net Assets (Liabilities) Value per Share as of the End of the Quarter</w:t>
            </w:r>
            <w:r>
              <w:rPr>
                <w:rFonts w:ascii="Arial" w:cs="Arial" w:eastAsia="Arial" w:hAnsi="Arial"/>
                <w:sz w:val="11"/>
                <w:szCs w:val="11"/>
                <w:color w:val="auto"/>
              </w:rPr>
              <w:t>(1)</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w w:val="84"/>
              </w:rPr>
              <w:t>14.71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w w:val="84"/>
              </w:rPr>
              <w:t>14.50</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14.06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5"/>
          </w:tcPr>
          <w:p>
            <w:pPr>
              <w:jc w:val="right"/>
              <w:ind w:right="140"/>
              <w:spacing w:after="0"/>
              <w:rPr>
                <w:sz w:val="20"/>
                <w:szCs w:val="20"/>
                <w:color w:val="auto"/>
              </w:rPr>
            </w:pPr>
            <w:r>
              <w:rPr>
                <w:rFonts w:ascii="Arial" w:cs="Arial" w:eastAsia="Arial" w:hAnsi="Arial"/>
                <w:sz w:val="18"/>
                <w:szCs w:val="18"/>
                <w:color w:val="auto"/>
              </w:rPr>
              <w:t>$(23.30)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31, 2013, the Company concluded its Private Offerings by reaching $1.5 billion in committed capital.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12, 2013, the Board renewed the Administration Agreement which will now remain in effect until March 15, 2014, unless earlier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1" w:lineRule="exact"/>
        <w:rPr>
          <w:sz w:val="20"/>
          <w:szCs w:val="20"/>
          <w:color w:val="auto"/>
        </w:rPr>
      </w:pPr>
    </w:p>
    <w:p>
      <w:pPr>
        <w:ind w:left="460" w:right="380" w:hanging="452"/>
        <w:spacing w:after="0" w:line="268" w:lineRule="auto"/>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 further described in Note 8, the indicated amounts have been retroactively adjusted for the stock split which was effected in the form of a stock dividend.</w:t>
      </w: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240" w:top="459" w:right="5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2013</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(amortized cost of $874,580 and $644,421,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889,330</w:t>
            </w: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19,643</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Receivable for investments sold</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865</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13,240</w:t>
            </w:r>
          </w:p>
        </w:tc>
        <w:tc>
          <w:tcPr>
            <w:tcW w:w="1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926,154</w:t>
            </w:r>
          </w:p>
        </w:tc>
        <w:tc>
          <w:tcPr>
            <w:tcW w:w="11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Revolving credit facilities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338,267</w:t>
            </w:r>
          </w:p>
        </w:tc>
        <w:tc>
          <w:tcPr>
            <w:tcW w:w="11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Incentive fees payable to affiliate</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5,051</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Payable for investments purchased</w:t>
            </w:r>
          </w:p>
        </w:tc>
        <w:tc>
          <w:tcPr>
            <w:tcW w:w="320" w:type="dxa"/>
            <w:vAlign w:val="bottom"/>
          </w:tcPr>
          <w:p>
            <w:pPr>
              <w:spacing w:after="0"/>
              <w:rPr>
                <w:sz w:val="18"/>
                <w:szCs w:val="18"/>
                <w:color w:val="auto"/>
              </w:rPr>
            </w:pPr>
          </w:p>
        </w:tc>
        <w:tc>
          <w:tcPr>
            <w:tcW w:w="192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on foreign currency forward contracts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Payables to affiliate</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1,682</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365,065</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Net Assets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Common stock, $0.01 par value; 100,000,000 shares authorized; 36,547,515 and 31,583,953</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tcPr>
          <w:p>
            <w:pPr>
              <w:ind w:left="200"/>
              <w:spacing w:after="0"/>
              <w:rPr>
                <w:sz w:val="20"/>
                <w:szCs w:val="20"/>
                <w:color w:val="auto"/>
              </w:rPr>
            </w:pPr>
            <w:r>
              <w:rPr>
                <w:rFonts w:ascii="Arial" w:cs="Arial" w:eastAsia="Arial" w:hAnsi="Arial"/>
                <w:sz w:val="18"/>
                <w:szCs w:val="18"/>
                <w:color w:val="auto"/>
              </w:rPr>
              <w:t>shares issued, respectively; and 36,546,516 and 31,582,954 shares outstanding, respectively</w:t>
            </w:r>
            <w:r>
              <w:rPr>
                <w:rFonts w:ascii="Arial" w:cs="Arial" w:eastAsia="Arial" w:hAnsi="Arial"/>
                <w:sz w:val="11"/>
                <w:szCs w:val="11"/>
                <w:color w:val="auto"/>
              </w:rPr>
              <w:t>(1)</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1"/>
                <w:szCs w:val="11"/>
                <w:color w:val="auto"/>
              </w:rPr>
              <w:t>(1)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545,283</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Treasury stock at cost; 999 shares</w:t>
            </w:r>
          </w:p>
        </w:tc>
        <w:tc>
          <w:tcPr>
            <w:tcW w:w="320" w:type="dxa"/>
            <w:vAlign w:val="bottom"/>
          </w:tcPr>
          <w:p>
            <w:pPr>
              <w:spacing w:after="0"/>
              <w:rPr>
                <w:sz w:val="18"/>
                <w:szCs w:val="18"/>
                <w:color w:val="auto"/>
              </w:rPr>
            </w:pPr>
          </w:p>
        </w:tc>
        <w:tc>
          <w:tcPr>
            <w:tcW w:w="1920" w:type="dxa"/>
            <w:vAlign w:val="bottom"/>
            <w:gridSpan w:val="2"/>
          </w:tcPr>
          <w:p>
            <w:pPr>
              <w:jc w:val="right"/>
              <w:ind w:right="106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(1,083)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Net unrealized gains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13,527</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Undistributed net realized gains</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Net Assets</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561,089</w:t>
            </w:r>
          </w:p>
        </w:tc>
        <w:tc>
          <w:tcPr>
            <w:tcW w:w="1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926,154</w:t>
            </w:r>
          </w:p>
        </w:tc>
        <w:tc>
          <w:tcPr>
            <w:tcW w:w="1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Net Asset Value Per Share</w:t>
            </w:r>
            <w:r>
              <w:rPr>
                <w:rFonts w:ascii="Arial" w:cs="Arial" w:eastAsia="Arial" w:hAnsi="Arial"/>
                <w:sz w:val="11"/>
                <w:szCs w:val="11"/>
                <w:color w:val="auto"/>
              </w:rPr>
              <w:t>(1)</w:t>
            </w: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gridSpan w:val="2"/>
            <w:vMerge w:val="continue"/>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15.35</w:t>
            </w:r>
          </w:p>
        </w:tc>
        <w:tc>
          <w:tcPr>
            <w:tcW w:w="11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80" w:hanging="452"/>
        <w:spacing w:after="0" w:line="268" w:lineRule="auto"/>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ind w:lef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1240" w:type="dxa"/>
            <w:vAlign w:val="bottom"/>
            <w:tcBorders>
              <w:top w:val="single" w:sz="8" w:color="auto"/>
            </w:tcBorders>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tcBorders>
              <w:top w:val="single" w:sz="8" w:color="auto"/>
            </w:tcBorders>
            <w:gridSpan w:val="3"/>
          </w:tcPr>
          <w:p>
            <w:pPr>
              <w:jc w:val="right"/>
              <w:ind w:right="66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22,816</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13,486</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 non-affiliated</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10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23,298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13,620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65,040</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30,109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Interest from investments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 affiliated</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840" w:type="dxa"/>
            <w:vAlign w:val="bottom"/>
          </w:tcPr>
          <w:p>
            <w:pPr>
              <w:ind w:left="1060"/>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32,842</w:t>
            </w:r>
          </w:p>
        </w:tc>
        <w:tc>
          <w:tcPr>
            <w:tcW w:w="0" w:type="dxa"/>
            <w:vAlign w:val="bottom"/>
          </w:tcPr>
          <w:p>
            <w:pPr>
              <w:spacing w:after="0"/>
              <w:rPr>
                <w:sz w:val="1"/>
                <w:szCs w:val="1"/>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9,698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29,486</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Management fees waived (Note 3)</w:t>
            </w:r>
          </w:p>
        </w:tc>
        <w:tc>
          <w:tcPr>
            <w:tcW w:w="1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(1,853)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(1,189)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(5,038)</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Net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24,448</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14,665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7,917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40,592</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17,137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14,585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7,917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40,508</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17,137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Total net change in unrealized gains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4,004</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Total realized gains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Unrealized and Realized Gains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128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16,259</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13,581</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45,927</w:t>
            </w: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 and diluted</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5"/>
        </w:trPr>
        <w:tc>
          <w:tcPr>
            <w:tcW w:w="5860" w:type="dxa"/>
            <w:vAlign w:val="bottom"/>
            <w:gridSpan w:val="2"/>
          </w:tcPr>
          <w:p>
            <w:pPr>
              <w:spacing w:after="0"/>
              <w:rPr>
                <w:sz w:val="20"/>
                <w:szCs w:val="20"/>
                <w:color w:val="auto"/>
              </w:rPr>
            </w:pPr>
            <w:r>
              <w:rPr>
                <w:rFonts w:ascii="Arial" w:cs="Arial" w:eastAsia="Arial" w:hAnsi="Arial"/>
                <w:sz w:val="18"/>
                <w:szCs w:val="18"/>
                <w:color w:val="auto"/>
              </w:rPr>
              <w:t>Weighted average shares of common stock outstanding – basic and</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diluted</w:t>
            </w:r>
            <w:r>
              <w:rPr>
                <w:rFonts w:ascii="Arial" w:cs="Arial" w:eastAsia="Arial" w:hAnsi="Arial"/>
                <w:sz w:val="11"/>
                <w:szCs w:val="11"/>
                <w:color w:val="auto"/>
              </w:rPr>
              <w:t>(1)</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34,817,674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23,195,714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33,891,011</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18,832,303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680" w:hanging="452"/>
        <w:spacing w:after="0" w:line="268"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Consolidated Schedule of Investments as of September 30,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Interest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Acquisition</w:t>
            </w:r>
          </w:p>
        </w:tc>
        <w:tc>
          <w:tcPr>
            <w:tcW w:w="2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78"/>
              </w:rPr>
              <w:t>Amortized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2"/>
        </w:trPr>
        <w:tc>
          <w:tcPr>
            <w:tcW w:w="3820" w:type="dxa"/>
            <w:vAlign w:val="bottom"/>
            <w:gridSpan w:val="2"/>
            <w:vMerge w:val="continue"/>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b w:val="1"/>
                <w:bCs w:val="1"/>
                <w:color w:val="auto"/>
              </w:rPr>
              <w:t>Investment</w:t>
            </w: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Rate</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4"/>
                <w:szCs w:val="14"/>
                <w:color w:val="auto"/>
              </w:rPr>
            </w:pPr>
          </w:p>
        </w:tc>
        <w:tc>
          <w:tcPr>
            <w:tcW w:w="560" w:type="dxa"/>
            <w:vAlign w:val="bottom"/>
          </w:tcPr>
          <w:p>
            <w:pPr>
              <w:jc w:val="right"/>
              <w:ind w:right="13"/>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6"/>
              </w:rPr>
              <w:t>Fair Value</w:t>
            </w:r>
          </w:p>
        </w:tc>
        <w:tc>
          <w:tcPr>
            <w:tcW w:w="2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66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Debt Investments</w:t>
            </w:r>
          </w:p>
        </w:tc>
        <w:tc>
          <w:tcPr>
            <w:tcW w:w="134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160" w:type="dxa"/>
            <w:vAlign w:val="bottom"/>
          </w:tcPr>
          <w:p>
            <w:pPr>
              <w:ind w:left="220"/>
              <w:spacing w:after="0"/>
              <w:rPr>
                <w:sz w:val="20"/>
                <w:szCs w:val="20"/>
                <w:color w:val="auto"/>
              </w:rPr>
            </w:pPr>
            <w:r>
              <w:rPr>
                <w:rFonts w:ascii="Arial" w:cs="Arial" w:eastAsia="Arial" w:hAnsi="Arial"/>
                <w:sz w:val="14"/>
                <w:szCs w:val="14"/>
                <w:b w:val="1"/>
                <w:bCs w:val="1"/>
                <w:color w:val="auto"/>
              </w:rPr>
              <w:t>Aerospace and defense</w:t>
            </w:r>
          </w:p>
        </w:tc>
        <w:tc>
          <w:tcPr>
            <w:tcW w:w="1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8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MSC Software</w:t>
            </w:r>
          </w:p>
        </w:tc>
        <w:tc>
          <w:tcPr>
            <w:tcW w:w="3000" w:type="dxa"/>
            <w:vAlign w:val="bottom"/>
            <w:gridSpan w:val="3"/>
            <w:shd w:val="clear" w:color="auto" w:fill="CCEEFF"/>
          </w:tcPr>
          <w:p>
            <w:pPr>
              <w:ind w:left="1340"/>
              <w:spacing w:after="0" w:line="122" w:lineRule="exact"/>
              <w:rPr>
                <w:sz w:val="20"/>
                <w:szCs w:val="20"/>
                <w:color w:val="auto"/>
              </w:rPr>
            </w:pPr>
            <w:r>
              <w:rPr>
                <w:rFonts w:ascii="Arial" w:cs="Arial" w:eastAsia="Arial" w:hAnsi="Arial"/>
                <w:sz w:val="14"/>
                <w:szCs w:val="14"/>
                <w:color w:val="auto"/>
                <w:w w:val="95"/>
              </w:rPr>
              <w:t>First-lien loan ($54,156 par,</w:t>
            </w:r>
          </w:p>
        </w:tc>
        <w:tc>
          <w:tcPr>
            <w:tcW w:w="6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8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3"/>
                <w:szCs w:val="13"/>
                <w:color w:val="auto"/>
              </w:rPr>
              <w:t>Corporation</w:t>
            </w:r>
            <w:r>
              <w:rPr>
                <w:rFonts w:ascii="Arial" w:cs="Arial" w:eastAsia="Arial" w:hAnsi="Arial"/>
                <w:sz w:val="20"/>
                <w:szCs w:val="20"/>
                <w:color w:val="auto"/>
                <w:vertAlign w:val="superscript"/>
              </w:rPr>
              <w:t>(3)(4)(5)</w:t>
            </w:r>
          </w:p>
        </w:tc>
        <w:tc>
          <w:tcPr>
            <w:tcW w:w="3000" w:type="dxa"/>
            <w:vAlign w:val="bottom"/>
            <w:gridSpan w:val="3"/>
            <w:shd w:val="clear" w:color="auto" w:fill="CCEEFF"/>
          </w:tcPr>
          <w:p>
            <w:pPr>
              <w:ind w:left="1340"/>
              <w:spacing w:after="0"/>
              <w:rPr>
                <w:sz w:val="20"/>
                <w:szCs w:val="20"/>
                <w:color w:val="auto"/>
              </w:rPr>
            </w:pPr>
            <w:r>
              <w:rPr>
                <w:rFonts w:ascii="Arial" w:cs="Arial" w:eastAsia="Arial" w:hAnsi="Arial"/>
                <w:sz w:val="14"/>
                <w:szCs w:val="14"/>
                <w:color w:val="auto"/>
              </w:rPr>
              <w:t>due 11/2017)</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7.75%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12/23/2011</w:t>
            </w:r>
          </w:p>
        </w:tc>
        <w:tc>
          <w:tcPr>
            <w:tcW w:w="2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5"/>
                <w:szCs w:val="5"/>
                <w:color w:val="auto"/>
                <w:w w:val="70"/>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53,477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54,156</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160" w:type="dxa"/>
            <w:vAlign w:val="bottom"/>
          </w:tcPr>
          <w:p>
            <w:pPr>
              <w:ind w:left="220"/>
              <w:spacing w:after="0"/>
              <w:rPr>
                <w:sz w:val="20"/>
                <w:szCs w:val="20"/>
                <w:color w:val="auto"/>
              </w:rPr>
            </w:pPr>
            <w:r>
              <w:rPr>
                <w:rFonts w:ascii="Arial" w:cs="Arial" w:eastAsia="Arial" w:hAnsi="Arial"/>
                <w:sz w:val="14"/>
                <w:szCs w:val="14"/>
                <w:b w:val="1"/>
                <w:bCs w:val="1"/>
                <w:color w:val="auto"/>
              </w:rPr>
              <w:t>Automotive</w:t>
            </w: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Heartland Automotive Holdings, LLC </w:t>
            </w:r>
            <w:r>
              <w:rPr>
                <w:rFonts w:ascii="Arial" w:cs="Arial" w:eastAsia="Arial" w:hAnsi="Arial"/>
                <w:sz w:val="15"/>
                <w:szCs w:val="15"/>
                <w:color w:val="auto"/>
                <w:vertAlign w:val="superscript"/>
              </w:rPr>
              <w:t>(3)(5)</w:t>
            </w:r>
          </w:p>
        </w:tc>
        <w:tc>
          <w:tcPr>
            <w:tcW w:w="3000" w:type="dxa"/>
            <w:vAlign w:val="bottom"/>
            <w:gridSpan w:val="3"/>
            <w:shd w:val="clear" w:color="auto" w:fill="CCEEFF"/>
          </w:tcPr>
          <w:p>
            <w:pPr>
              <w:ind w:left="1340"/>
              <w:spacing w:after="0" w:line="138" w:lineRule="exact"/>
              <w:rPr>
                <w:sz w:val="20"/>
                <w:szCs w:val="20"/>
                <w:color w:val="auto"/>
              </w:rPr>
            </w:pPr>
            <w:r>
              <w:rPr>
                <w:rFonts w:ascii="Arial" w:cs="Arial" w:eastAsia="Arial" w:hAnsi="Arial"/>
                <w:sz w:val="14"/>
                <w:szCs w:val="14"/>
                <w:color w:val="auto"/>
                <w:w w:val="95"/>
              </w:rPr>
              <w:t>First-lien loan ($37,472 par,</w:t>
            </w: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shd w:val="clear" w:color="auto" w:fill="CCEEFF"/>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3000" w:type="dxa"/>
            <w:vAlign w:val="bottom"/>
            <w:gridSpan w:val="3"/>
            <w:shd w:val="clear" w:color="auto" w:fill="CCEEFF"/>
          </w:tcPr>
          <w:p>
            <w:pPr>
              <w:ind w:left="1340"/>
              <w:spacing w:after="0" w:line="159" w:lineRule="exact"/>
              <w:rPr>
                <w:sz w:val="20"/>
                <w:szCs w:val="20"/>
                <w:color w:val="auto"/>
              </w:rPr>
            </w:pPr>
            <w:r>
              <w:rPr>
                <w:rFonts w:ascii="Arial" w:cs="Arial" w:eastAsia="Arial" w:hAnsi="Arial"/>
                <w:sz w:val="14"/>
                <w:szCs w:val="14"/>
                <w:color w:val="auto"/>
              </w:rPr>
              <w:t>due 6/2017)</w:t>
            </w:r>
          </w:p>
        </w:tc>
        <w:tc>
          <w:tcPr>
            <w:tcW w:w="9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9.00%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8/28/2012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36,682</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36,723</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38"/>
        </w:trPr>
        <w:tc>
          <w:tcPr>
            <w:tcW w:w="6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3000" w:type="dxa"/>
            <w:vAlign w:val="bottom"/>
            <w:gridSpan w:val="3"/>
          </w:tcPr>
          <w:p>
            <w:pPr>
              <w:ind w:left="1340"/>
              <w:spacing w:after="0" w:line="138" w:lineRule="exact"/>
              <w:rPr>
                <w:sz w:val="20"/>
                <w:szCs w:val="20"/>
                <w:color w:val="auto"/>
              </w:rPr>
            </w:pPr>
            <w:r>
              <w:rPr>
                <w:rFonts w:ascii="Arial" w:cs="Arial" w:eastAsia="Arial" w:hAnsi="Arial"/>
                <w:sz w:val="14"/>
                <w:szCs w:val="14"/>
                <w:color w:val="auto"/>
              </w:rPr>
              <w:t>First-lien revolving loan</w:t>
            </w: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000" w:type="dxa"/>
            <w:vAlign w:val="bottom"/>
            <w:gridSpan w:val="3"/>
          </w:tcPr>
          <w:p>
            <w:pPr>
              <w:ind w:left="1340"/>
              <w:spacing w:after="0" w:line="159" w:lineRule="exact"/>
              <w:rPr>
                <w:sz w:val="20"/>
                <w:szCs w:val="20"/>
                <w:color w:val="auto"/>
              </w:rPr>
            </w:pPr>
            <w:r>
              <w:rPr>
                <w:rFonts w:ascii="Arial" w:cs="Arial" w:eastAsia="Arial" w:hAnsi="Arial"/>
                <w:sz w:val="14"/>
                <w:szCs w:val="14"/>
                <w:color w:val="auto"/>
              </w:rPr>
              <w:t>($2,778 par, due 6/2017)</w:t>
            </w:r>
          </w:p>
        </w:tc>
        <w:tc>
          <w:tcPr>
            <w:tcW w:w="9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10.00%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8/28/2012</w:t>
            </w:r>
          </w:p>
        </w:tc>
        <w:tc>
          <w:tcPr>
            <w:tcW w:w="2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2,659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2,667</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Sage Automotive Interiors, Inc. </w:t>
            </w:r>
            <w:r>
              <w:rPr>
                <w:rFonts w:ascii="Arial" w:cs="Arial" w:eastAsia="Arial" w:hAnsi="Arial"/>
                <w:sz w:val="15"/>
                <w:szCs w:val="15"/>
                <w:color w:val="auto"/>
                <w:vertAlign w:val="superscript"/>
              </w:rPr>
              <w:t>(3)(4)(5)</w:t>
            </w:r>
          </w:p>
        </w:tc>
        <w:tc>
          <w:tcPr>
            <w:tcW w:w="3000" w:type="dxa"/>
            <w:vAlign w:val="bottom"/>
            <w:gridSpan w:val="3"/>
            <w:shd w:val="clear" w:color="auto" w:fill="CCEEFF"/>
          </w:tcPr>
          <w:p>
            <w:pPr>
              <w:ind w:left="1340"/>
              <w:spacing w:after="0" w:line="138" w:lineRule="exact"/>
              <w:rPr>
                <w:sz w:val="20"/>
                <w:szCs w:val="20"/>
                <w:color w:val="auto"/>
              </w:rPr>
            </w:pPr>
            <w:r>
              <w:rPr>
                <w:rFonts w:ascii="Arial" w:cs="Arial" w:eastAsia="Arial" w:hAnsi="Arial"/>
                <w:sz w:val="14"/>
                <w:szCs w:val="14"/>
                <w:color w:val="auto"/>
                <w:w w:val="95"/>
              </w:rPr>
              <w:t>First-lien loan ($21,775 par,</w:t>
            </w: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shd w:val="clear" w:color="auto" w:fill="CCEEFF"/>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3000" w:type="dxa"/>
            <w:vAlign w:val="bottom"/>
            <w:gridSpan w:val="3"/>
            <w:shd w:val="clear" w:color="auto" w:fill="CCEEFF"/>
          </w:tcPr>
          <w:p>
            <w:pPr>
              <w:ind w:left="1340"/>
              <w:spacing w:after="0" w:line="159" w:lineRule="exact"/>
              <w:rPr>
                <w:sz w:val="20"/>
                <w:szCs w:val="20"/>
                <w:color w:val="auto"/>
              </w:rPr>
            </w:pPr>
            <w:r>
              <w:rPr>
                <w:rFonts w:ascii="Arial" w:cs="Arial" w:eastAsia="Arial" w:hAnsi="Arial"/>
                <w:sz w:val="14"/>
                <w:szCs w:val="14"/>
                <w:color w:val="auto"/>
              </w:rPr>
              <w:t>due 12/2016)</w:t>
            </w:r>
          </w:p>
        </w:tc>
        <w:tc>
          <w:tcPr>
            <w:tcW w:w="9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8.50%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1"/>
              </w:rPr>
              <w:t>12/31/2012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21,541</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21,666</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60,882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61,056</w:t>
            </w:r>
          </w:p>
        </w:tc>
        <w:tc>
          <w:tcPr>
            <w:tcW w:w="28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62"/>
        </w:trPr>
        <w:tc>
          <w:tcPr>
            <w:tcW w:w="660" w:type="dxa"/>
            <w:vAlign w:val="bottom"/>
            <w:shd w:val="clear" w:color="auto" w:fill="CCEEFF"/>
          </w:tcPr>
          <w:p>
            <w:pPr>
              <w:spacing w:after="0"/>
              <w:rPr>
                <w:sz w:val="14"/>
                <w:szCs w:val="14"/>
                <w:color w:val="auto"/>
              </w:rPr>
            </w:pPr>
          </w:p>
        </w:tc>
        <w:tc>
          <w:tcPr>
            <w:tcW w:w="316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Beverage, food and tobacco</w:t>
            </w:r>
          </w:p>
        </w:tc>
        <w:tc>
          <w:tcPr>
            <w:tcW w:w="1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2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AFS Technologies, Inc. </w:t>
            </w:r>
            <w:r>
              <w:rPr>
                <w:rFonts w:ascii="Arial" w:cs="Arial" w:eastAsia="Arial" w:hAnsi="Arial"/>
                <w:sz w:val="15"/>
                <w:szCs w:val="15"/>
                <w:color w:val="auto"/>
                <w:vertAlign w:val="superscript"/>
              </w:rPr>
              <w:t>(3)(4)(5)</w:t>
            </w:r>
          </w:p>
        </w:tc>
        <w:tc>
          <w:tcPr>
            <w:tcW w:w="3000" w:type="dxa"/>
            <w:vAlign w:val="bottom"/>
            <w:gridSpan w:val="3"/>
          </w:tcPr>
          <w:p>
            <w:pPr>
              <w:ind w:left="1340"/>
              <w:spacing w:after="0" w:line="138" w:lineRule="exact"/>
              <w:rPr>
                <w:sz w:val="20"/>
                <w:szCs w:val="20"/>
                <w:color w:val="auto"/>
              </w:rPr>
            </w:pPr>
            <w:r>
              <w:rPr>
                <w:rFonts w:ascii="Arial" w:cs="Arial" w:eastAsia="Arial" w:hAnsi="Arial"/>
                <w:sz w:val="14"/>
                <w:szCs w:val="14"/>
                <w:color w:val="auto"/>
                <w:w w:val="95"/>
              </w:rPr>
              <w:t>First-lien loan ($45,017 par,</w:t>
            </w: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000" w:type="dxa"/>
            <w:vAlign w:val="bottom"/>
            <w:gridSpan w:val="3"/>
          </w:tcPr>
          <w:p>
            <w:pPr>
              <w:ind w:left="1340"/>
              <w:spacing w:after="0" w:line="159" w:lineRule="exact"/>
              <w:rPr>
                <w:sz w:val="20"/>
                <w:szCs w:val="20"/>
                <w:color w:val="auto"/>
              </w:rPr>
            </w:pPr>
            <w:r>
              <w:rPr>
                <w:rFonts w:ascii="Arial" w:cs="Arial" w:eastAsia="Arial" w:hAnsi="Arial"/>
                <w:sz w:val="14"/>
                <w:szCs w:val="14"/>
                <w:color w:val="auto"/>
              </w:rPr>
              <w:t>due 8/2015)</w:t>
            </w:r>
          </w:p>
        </w:tc>
        <w:tc>
          <w:tcPr>
            <w:tcW w:w="9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7.75%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8/31/2011</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44,375</w:t>
            </w:r>
          </w:p>
        </w:tc>
        <w:tc>
          <w:tcPr>
            <w:tcW w:w="40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45,692</w:t>
            </w:r>
          </w:p>
        </w:tc>
        <w:tc>
          <w:tcPr>
            <w:tcW w:w="11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62"/>
        </w:trPr>
        <w:tc>
          <w:tcPr>
            <w:tcW w:w="660" w:type="dxa"/>
            <w:vAlign w:val="bottom"/>
            <w:shd w:val="clear" w:color="auto" w:fill="CCEEFF"/>
          </w:tcPr>
          <w:p>
            <w:pPr>
              <w:spacing w:after="0"/>
              <w:rPr>
                <w:sz w:val="14"/>
                <w:szCs w:val="14"/>
                <w:color w:val="auto"/>
              </w:rPr>
            </w:pPr>
          </w:p>
        </w:tc>
        <w:tc>
          <w:tcPr>
            <w:tcW w:w="316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Business services</w:t>
            </w:r>
          </w:p>
        </w:tc>
        <w:tc>
          <w:tcPr>
            <w:tcW w:w="1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820" w:type="dxa"/>
            <w:vAlign w:val="bottom"/>
            <w:gridSpan w:val="2"/>
          </w:tcPr>
          <w:p>
            <w:pPr>
              <w:spacing w:after="0" w:line="122" w:lineRule="exact"/>
              <w:rPr>
                <w:sz w:val="20"/>
                <w:szCs w:val="20"/>
                <w:color w:val="auto"/>
              </w:rPr>
            </w:pPr>
            <w:r>
              <w:rPr>
                <w:rFonts w:ascii="Arial" w:cs="Arial" w:eastAsia="Arial" w:hAnsi="Arial"/>
                <w:sz w:val="14"/>
                <w:szCs w:val="14"/>
                <w:color w:val="auto"/>
              </w:rPr>
              <w:t>Actian Corporation</w:t>
            </w:r>
          </w:p>
        </w:tc>
        <w:tc>
          <w:tcPr>
            <w:tcW w:w="3000" w:type="dxa"/>
            <w:vAlign w:val="bottom"/>
            <w:gridSpan w:val="3"/>
          </w:tcPr>
          <w:p>
            <w:pPr>
              <w:ind w:left="1340"/>
              <w:spacing w:after="0" w:line="122" w:lineRule="exact"/>
              <w:rPr>
                <w:sz w:val="20"/>
                <w:szCs w:val="20"/>
                <w:color w:val="auto"/>
              </w:rPr>
            </w:pPr>
            <w:r>
              <w:rPr>
                <w:rFonts w:ascii="Arial" w:cs="Arial" w:eastAsia="Arial" w:hAnsi="Arial"/>
                <w:sz w:val="14"/>
                <w:szCs w:val="14"/>
                <w:color w:val="auto"/>
                <w:w w:val="95"/>
              </w:rPr>
              <w:t>First-lien loan ($68,933 par,</w:t>
            </w: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60" w:type="dxa"/>
            <w:vAlign w:val="bottom"/>
          </w:tcPr>
          <w:p>
            <w:pPr>
              <w:ind w:left="220"/>
              <w:spacing w:after="0"/>
              <w:rPr>
                <w:sz w:val="20"/>
                <w:szCs w:val="20"/>
                <w:color w:val="auto"/>
              </w:rPr>
            </w:pPr>
            <w:r>
              <w:rPr>
                <w:rFonts w:ascii="Arial" w:cs="Arial" w:eastAsia="Arial" w:hAnsi="Arial"/>
                <w:sz w:val="11"/>
                <w:szCs w:val="11"/>
                <w:color w:val="auto"/>
              </w:rPr>
              <w:t>(3)(4)(5)</w:t>
            </w:r>
          </w:p>
        </w:tc>
        <w:tc>
          <w:tcPr>
            <w:tcW w:w="3160" w:type="dxa"/>
            <w:vAlign w:val="bottom"/>
          </w:tcPr>
          <w:p>
            <w:pPr>
              <w:spacing w:after="0"/>
              <w:rPr>
                <w:sz w:val="12"/>
                <w:szCs w:val="12"/>
                <w:color w:val="auto"/>
              </w:rPr>
            </w:pPr>
          </w:p>
        </w:tc>
        <w:tc>
          <w:tcPr>
            <w:tcW w:w="3000" w:type="dxa"/>
            <w:vAlign w:val="bottom"/>
            <w:gridSpan w:val="3"/>
            <w:vMerge w:val="restart"/>
          </w:tcPr>
          <w:p>
            <w:pPr>
              <w:ind w:left="1340"/>
              <w:spacing w:after="0"/>
              <w:rPr>
                <w:sz w:val="20"/>
                <w:szCs w:val="20"/>
                <w:color w:val="auto"/>
              </w:rPr>
            </w:pPr>
            <w:r>
              <w:rPr>
                <w:rFonts w:ascii="Arial" w:cs="Arial" w:eastAsia="Arial" w:hAnsi="Arial"/>
                <w:sz w:val="14"/>
                <w:szCs w:val="14"/>
                <w:color w:val="auto"/>
              </w:rPr>
              <w:t>due 4/2018)</w:t>
            </w: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8.50%</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4/11/2013</w:t>
            </w: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66,633</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66,865</w:t>
            </w:r>
          </w:p>
        </w:tc>
        <w:tc>
          <w:tcPr>
            <w:tcW w:w="118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0" w:type="dxa"/>
            <w:vAlign w:val="bottom"/>
            <w:gridSpan w:val="3"/>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38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Consona Holdings,</w:t>
            </w:r>
          </w:p>
        </w:tc>
        <w:tc>
          <w:tcPr>
            <w:tcW w:w="3000" w:type="dxa"/>
            <w:vAlign w:val="bottom"/>
            <w:gridSpan w:val="3"/>
            <w:shd w:val="clear" w:color="auto" w:fill="CCEEFF"/>
          </w:tcPr>
          <w:p>
            <w:pPr>
              <w:ind w:left="1340"/>
              <w:spacing w:after="0" w:line="122" w:lineRule="exact"/>
              <w:rPr>
                <w:sz w:val="20"/>
                <w:szCs w:val="20"/>
                <w:color w:val="auto"/>
              </w:rPr>
            </w:pPr>
            <w:r>
              <w:rPr>
                <w:rFonts w:ascii="Arial" w:cs="Arial" w:eastAsia="Arial" w:hAnsi="Arial"/>
                <w:sz w:val="14"/>
                <w:szCs w:val="14"/>
                <w:color w:val="auto"/>
                <w:w w:val="95"/>
              </w:rPr>
              <w:t>First-lien loan ($29,700 par,</w:t>
            </w:r>
          </w:p>
        </w:tc>
        <w:tc>
          <w:tcPr>
            <w:tcW w:w="6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8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20"/>
                <w:szCs w:val="20"/>
                <w:color w:val="auto"/>
                <w:vertAlign w:val="subscript"/>
              </w:rPr>
              <w:t>Inc.</w:t>
            </w:r>
            <w:r>
              <w:rPr>
                <w:rFonts w:ascii="Arial" w:cs="Arial" w:eastAsia="Arial" w:hAnsi="Arial"/>
                <w:sz w:val="9"/>
                <w:szCs w:val="9"/>
                <w:color w:val="auto"/>
              </w:rPr>
              <w:t xml:space="preserve"> (3)(5)</w:t>
            </w:r>
          </w:p>
        </w:tc>
        <w:tc>
          <w:tcPr>
            <w:tcW w:w="3000" w:type="dxa"/>
            <w:vAlign w:val="bottom"/>
            <w:gridSpan w:val="3"/>
            <w:shd w:val="clear" w:color="auto" w:fill="CCEEFF"/>
          </w:tcPr>
          <w:p>
            <w:pPr>
              <w:ind w:left="1340"/>
              <w:spacing w:after="0"/>
              <w:rPr>
                <w:sz w:val="20"/>
                <w:szCs w:val="20"/>
                <w:color w:val="auto"/>
              </w:rPr>
            </w:pPr>
            <w:r>
              <w:rPr>
                <w:rFonts w:ascii="Arial" w:cs="Arial" w:eastAsia="Arial" w:hAnsi="Arial"/>
                <w:sz w:val="14"/>
                <w:szCs w:val="14"/>
                <w:color w:val="auto"/>
              </w:rPr>
              <w:t>due 8/2018)</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7.25%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8/13/2012</w:t>
            </w:r>
          </w:p>
        </w:tc>
        <w:tc>
          <w:tcPr>
            <w:tcW w:w="20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29,337</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29,403</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22"/>
        </w:trPr>
        <w:tc>
          <w:tcPr>
            <w:tcW w:w="3820" w:type="dxa"/>
            <w:vAlign w:val="bottom"/>
            <w:gridSpan w:val="2"/>
          </w:tcPr>
          <w:p>
            <w:pPr>
              <w:spacing w:after="0" w:line="122" w:lineRule="exact"/>
              <w:rPr>
                <w:sz w:val="20"/>
                <w:szCs w:val="20"/>
                <w:color w:val="auto"/>
              </w:rPr>
            </w:pPr>
            <w:r>
              <w:rPr>
                <w:rFonts w:ascii="Arial" w:cs="Arial" w:eastAsia="Arial" w:hAnsi="Arial"/>
                <w:sz w:val="14"/>
                <w:szCs w:val="14"/>
                <w:color w:val="auto"/>
              </w:rPr>
              <w:t>Network Merchants,</w:t>
            </w:r>
          </w:p>
        </w:tc>
        <w:tc>
          <w:tcPr>
            <w:tcW w:w="3000" w:type="dxa"/>
            <w:vAlign w:val="bottom"/>
            <w:gridSpan w:val="3"/>
          </w:tcPr>
          <w:p>
            <w:pPr>
              <w:ind w:left="1340"/>
              <w:spacing w:after="0" w:line="122" w:lineRule="exact"/>
              <w:rPr>
                <w:sz w:val="20"/>
                <w:szCs w:val="20"/>
                <w:color w:val="auto"/>
              </w:rPr>
            </w:pPr>
            <w:r>
              <w:rPr>
                <w:rFonts w:ascii="Arial" w:cs="Arial" w:eastAsia="Arial" w:hAnsi="Arial"/>
                <w:sz w:val="14"/>
                <w:szCs w:val="14"/>
                <w:color w:val="auto"/>
                <w:w w:val="95"/>
              </w:rPr>
              <w:t>First-lien loan ($29,659 par,</w:t>
            </w: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820" w:type="dxa"/>
            <w:vAlign w:val="bottom"/>
            <w:gridSpan w:val="2"/>
          </w:tcPr>
          <w:p>
            <w:pPr>
              <w:ind w:left="220"/>
              <w:spacing w:after="0" w:line="176" w:lineRule="exact"/>
              <w:rPr>
                <w:sz w:val="20"/>
                <w:szCs w:val="20"/>
                <w:color w:val="auto"/>
              </w:rPr>
            </w:pPr>
            <w:r>
              <w:rPr>
                <w:rFonts w:ascii="Arial" w:cs="Arial" w:eastAsia="Arial" w:hAnsi="Arial"/>
                <w:sz w:val="13"/>
                <w:szCs w:val="13"/>
                <w:color w:val="auto"/>
              </w:rPr>
              <w:t xml:space="preserve">Inc </w:t>
            </w:r>
            <w:r>
              <w:rPr>
                <w:rFonts w:ascii="Arial" w:cs="Arial" w:eastAsia="Arial" w:hAnsi="Arial"/>
                <w:sz w:val="20"/>
                <w:szCs w:val="20"/>
                <w:color w:val="auto"/>
                <w:vertAlign w:val="superscript"/>
              </w:rPr>
              <w:t>(3)</w:t>
            </w:r>
          </w:p>
        </w:tc>
        <w:tc>
          <w:tcPr>
            <w:tcW w:w="3000" w:type="dxa"/>
            <w:vAlign w:val="bottom"/>
            <w:gridSpan w:val="3"/>
          </w:tcPr>
          <w:p>
            <w:pPr>
              <w:ind w:left="1340"/>
              <w:spacing w:after="0"/>
              <w:rPr>
                <w:sz w:val="20"/>
                <w:szCs w:val="20"/>
                <w:color w:val="auto"/>
              </w:rPr>
            </w:pPr>
            <w:r>
              <w:rPr>
                <w:rFonts w:ascii="Arial" w:cs="Arial" w:eastAsia="Arial" w:hAnsi="Arial"/>
                <w:sz w:val="14"/>
                <w:szCs w:val="14"/>
                <w:color w:val="auto"/>
              </w:rPr>
              <w:t>due 9/2018)</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8.75%</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9/12/2013</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29,055</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29,050</w:t>
            </w:r>
          </w:p>
        </w:tc>
        <w:tc>
          <w:tcPr>
            <w:tcW w:w="28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6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125,025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125,318</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3160" w:type="dxa"/>
            <w:vAlign w:val="bottom"/>
          </w:tcPr>
          <w:p>
            <w:pPr>
              <w:ind w:left="220"/>
              <w:spacing w:after="0"/>
              <w:rPr>
                <w:sz w:val="20"/>
                <w:szCs w:val="20"/>
                <w:color w:val="auto"/>
              </w:rPr>
            </w:pPr>
            <w:r>
              <w:rPr>
                <w:rFonts w:ascii="Arial" w:cs="Arial" w:eastAsia="Arial" w:hAnsi="Arial"/>
                <w:sz w:val="14"/>
                <w:szCs w:val="14"/>
                <w:b w:val="1"/>
                <w:bCs w:val="1"/>
                <w:color w:val="auto"/>
              </w:rPr>
              <w:t>Construction and building</w:t>
            </w: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8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Mannington Mills,</w:t>
            </w:r>
          </w:p>
        </w:tc>
        <w:tc>
          <w:tcPr>
            <w:tcW w:w="3000" w:type="dxa"/>
            <w:vAlign w:val="bottom"/>
            <w:gridSpan w:val="3"/>
            <w:shd w:val="clear" w:color="auto" w:fill="CCEEFF"/>
          </w:tcPr>
          <w:p>
            <w:pPr>
              <w:ind w:left="1340"/>
              <w:spacing w:after="0" w:line="122" w:lineRule="exact"/>
              <w:rPr>
                <w:sz w:val="20"/>
                <w:szCs w:val="20"/>
                <w:color w:val="auto"/>
              </w:rPr>
            </w:pPr>
            <w:r>
              <w:rPr>
                <w:rFonts w:ascii="Arial" w:cs="Arial" w:eastAsia="Arial" w:hAnsi="Arial"/>
                <w:sz w:val="14"/>
                <w:szCs w:val="14"/>
                <w:color w:val="auto"/>
              </w:rPr>
              <w:t>Second-lien loan ($47,488</w:t>
            </w:r>
          </w:p>
        </w:tc>
        <w:tc>
          <w:tcPr>
            <w:tcW w:w="96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4"/>
                <w:szCs w:val="14"/>
                <w:color w:val="auto"/>
              </w:rPr>
              <w:t>14.00%</w:t>
            </w: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82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9"/>
                <w:szCs w:val="19"/>
                <w:color w:val="auto"/>
                <w:vertAlign w:val="subscript"/>
              </w:rPr>
              <w:t>Inc.</w:t>
            </w:r>
            <w:r>
              <w:rPr>
                <w:rFonts w:ascii="Arial" w:cs="Arial" w:eastAsia="Arial" w:hAnsi="Arial"/>
                <w:sz w:val="9"/>
                <w:szCs w:val="9"/>
                <w:color w:val="auto"/>
              </w:rPr>
              <w:t xml:space="preserve"> (3)(5)</w:t>
            </w:r>
          </w:p>
        </w:tc>
        <w:tc>
          <w:tcPr>
            <w:tcW w:w="3000" w:type="dxa"/>
            <w:vAlign w:val="bottom"/>
            <w:gridSpan w:val="3"/>
            <w:shd w:val="clear" w:color="auto" w:fill="CCEEFF"/>
          </w:tcPr>
          <w:p>
            <w:pPr>
              <w:ind w:left="1340"/>
              <w:spacing w:after="0"/>
              <w:rPr>
                <w:sz w:val="20"/>
                <w:szCs w:val="20"/>
                <w:color w:val="auto"/>
              </w:rPr>
            </w:pPr>
            <w:r>
              <w:rPr>
                <w:rFonts w:ascii="Arial" w:cs="Arial" w:eastAsia="Arial" w:hAnsi="Arial"/>
                <w:sz w:val="14"/>
                <w:szCs w:val="14"/>
                <w:color w:val="auto"/>
              </w:rPr>
              <w:t>par, due 3/2017)</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5"/>
              </w:rPr>
              <w:t>(incl. 2.00%</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6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PIK)</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3/2/2012</w:t>
            </w:r>
          </w:p>
        </w:tc>
        <w:tc>
          <w:tcPr>
            <w:tcW w:w="20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46,543</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52,238</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160" w:type="dxa"/>
            <w:vAlign w:val="bottom"/>
          </w:tcPr>
          <w:p>
            <w:pPr>
              <w:ind w:left="220"/>
              <w:spacing w:after="0"/>
              <w:rPr>
                <w:sz w:val="20"/>
                <w:szCs w:val="20"/>
                <w:color w:val="auto"/>
              </w:rPr>
            </w:pPr>
            <w:r>
              <w:rPr>
                <w:rFonts w:ascii="Arial" w:cs="Arial" w:eastAsia="Arial" w:hAnsi="Arial"/>
                <w:sz w:val="14"/>
                <w:szCs w:val="14"/>
                <w:b w:val="1"/>
                <w:bCs w:val="1"/>
                <w:color w:val="auto"/>
              </w:rPr>
              <w:t>Containers and packaging</w:t>
            </w: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The Newark Group, Inc. </w:t>
            </w:r>
            <w:r>
              <w:rPr>
                <w:rFonts w:ascii="Arial" w:cs="Arial" w:eastAsia="Arial" w:hAnsi="Arial"/>
                <w:sz w:val="15"/>
                <w:szCs w:val="15"/>
                <w:color w:val="auto"/>
                <w:vertAlign w:val="superscript"/>
              </w:rPr>
              <w:t>(3)(5)</w:t>
            </w:r>
          </w:p>
        </w:tc>
        <w:tc>
          <w:tcPr>
            <w:tcW w:w="3000" w:type="dxa"/>
            <w:vAlign w:val="bottom"/>
            <w:gridSpan w:val="3"/>
            <w:shd w:val="clear" w:color="auto" w:fill="CCEEFF"/>
          </w:tcPr>
          <w:p>
            <w:pPr>
              <w:ind w:left="1340"/>
              <w:spacing w:after="0" w:line="138" w:lineRule="exact"/>
              <w:rPr>
                <w:sz w:val="20"/>
                <w:szCs w:val="20"/>
                <w:color w:val="auto"/>
              </w:rPr>
            </w:pPr>
            <w:r>
              <w:rPr>
                <w:rFonts w:ascii="Arial" w:cs="Arial" w:eastAsia="Arial" w:hAnsi="Arial"/>
                <w:sz w:val="14"/>
                <w:szCs w:val="14"/>
                <w:color w:val="auto"/>
                <w:w w:val="95"/>
              </w:rPr>
              <w:t>First-lien loan ($47,040 par,</w:t>
            </w: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shd w:val="clear" w:color="auto" w:fill="CCEEFF"/>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3000" w:type="dxa"/>
            <w:vAlign w:val="bottom"/>
            <w:gridSpan w:val="3"/>
            <w:shd w:val="clear" w:color="auto" w:fill="CCEEFF"/>
          </w:tcPr>
          <w:p>
            <w:pPr>
              <w:ind w:left="1340"/>
              <w:spacing w:after="0" w:line="159" w:lineRule="exact"/>
              <w:rPr>
                <w:sz w:val="20"/>
                <w:szCs w:val="20"/>
                <w:color w:val="auto"/>
              </w:rPr>
            </w:pPr>
            <w:r>
              <w:rPr>
                <w:rFonts w:ascii="Arial" w:cs="Arial" w:eastAsia="Arial" w:hAnsi="Arial"/>
                <w:sz w:val="14"/>
                <w:szCs w:val="14"/>
                <w:color w:val="auto"/>
              </w:rPr>
              <w:t>due 2/2018)</w:t>
            </w:r>
          </w:p>
        </w:tc>
        <w:tc>
          <w:tcPr>
            <w:tcW w:w="9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8.50%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2/8/2013</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46,619</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47,510</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160" w:type="dxa"/>
            <w:vAlign w:val="bottom"/>
          </w:tcPr>
          <w:p>
            <w:pPr>
              <w:ind w:left="220"/>
              <w:spacing w:after="0"/>
              <w:rPr>
                <w:sz w:val="20"/>
                <w:szCs w:val="20"/>
                <w:color w:val="auto"/>
              </w:rPr>
            </w:pPr>
            <w:r>
              <w:rPr>
                <w:rFonts w:ascii="Arial" w:cs="Arial" w:eastAsia="Arial" w:hAnsi="Arial"/>
                <w:sz w:val="14"/>
                <w:szCs w:val="14"/>
                <w:b w:val="1"/>
                <w:bCs w:val="1"/>
                <w:color w:val="auto"/>
              </w:rPr>
              <w:t>Education</w:t>
            </w: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8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Campus Management,</w:t>
            </w:r>
          </w:p>
        </w:tc>
        <w:tc>
          <w:tcPr>
            <w:tcW w:w="3000" w:type="dxa"/>
            <w:vAlign w:val="bottom"/>
            <w:gridSpan w:val="3"/>
            <w:shd w:val="clear" w:color="auto" w:fill="CCEEFF"/>
          </w:tcPr>
          <w:p>
            <w:pPr>
              <w:ind w:left="1340"/>
              <w:spacing w:after="0" w:line="122" w:lineRule="exact"/>
              <w:rPr>
                <w:sz w:val="20"/>
                <w:szCs w:val="20"/>
                <w:color w:val="auto"/>
              </w:rPr>
            </w:pPr>
            <w:r>
              <w:rPr>
                <w:rFonts w:ascii="Arial" w:cs="Arial" w:eastAsia="Arial" w:hAnsi="Arial"/>
                <w:sz w:val="14"/>
                <w:szCs w:val="14"/>
                <w:color w:val="auto"/>
                <w:w w:val="95"/>
              </w:rPr>
              <w:t>First-lien loan ($30,000 par,</w:t>
            </w:r>
          </w:p>
        </w:tc>
        <w:tc>
          <w:tcPr>
            <w:tcW w:w="6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8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20"/>
                <w:szCs w:val="20"/>
                <w:color w:val="auto"/>
                <w:vertAlign w:val="subscript"/>
              </w:rPr>
              <w:t>Inc.</w:t>
            </w:r>
            <w:r>
              <w:rPr>
                <w:rFonts w:ascii="Arial" w:cs="Arial" w:eastAsia="Arial" w:hAnsi="Arial"/>
                <w:sz w:val="9"/>
                <w:szCs w:val="9"/>
                <w:color w:val="auto"/>
              </w:rPr>
              <w:t xml:space="preserve"> (3)(4)</w:t>
            </w:r>
          </w:p>
        </w:tc>
        <w:tc>
          <w:tcPr>
            <w:tcW w:w="3000" w:type="dxa"/>
            <w:vAlign w:val="bottom"/>
            <w:gridSpan w:val="3"/>
            <w:shd w:val="clear" w:color="auto" w:fill="CCEEFF"/>
          </w:tcPr>
          <w:p>
            <w:pPr>
              <w:ind w:left="1340"/>
              <w:spacing w:after="0"/>
              <w:rPr>
                <w:sz w:val="20"/>
                <w:szCs w:val="20"/>
                <w:color w:val="auto"/>
              </w:rPr>
            </w:pPr>
            <w:r>
              <w:rPr>
                <w:rFonts w:ascii="Arial" w:cs="Arial" w:eastAsia="Arial" w:hAnsi="Arial"/>
                <w:sz w:val="14"/>
                <w:szCs w:val="14"/>
                <w:color w:val="auto"/>
              </w:rPr>
              <w:t>due 9/2018)</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8.75%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9/30/2013</w:t>
            </w:r>
          </w:p>
        </w:tc>
        <w:tc>
          <w:tcPr>
            <w:tcW w:w="20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29,250</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29,250</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160" w:type="dxa"/>
            <w:vAlign w:val="bottom"/>
          </w:tcPr>
          <w:p>
            <w:pPr>
              <w:ind w:left="220"/>
              <w:spacing w:after="0"/>
              <w:rPr>
                <w:sz w:val="20"/>
                <w:szCs w:val="20"/>
                <w:color w:val="auto"/>
              </w:rPr>
            </w:pPr>
            <w:r>
              <w:rPr>
                <w:rFonts w:ascii="Arial" w:cs="Arial" w:eastAsia="Arial" w:hAnsi="Arial"/>
                <w:sz w:val="14"/>
                <w:szCs w:val="14"/>
                <w:b w:val="1"/>
                <w:bCs w:val="1"/>
                <w:color w:val="auto"/>
              </w:rPr>
              <w:t>Financial services</w:t>
            </w: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Embarcadero Technologies, Inc. </w:t>
            </w:r>
            <w:r>
              <w:rPr>
                <w:rFonts w:ascii="Arial" w:cs="Arial" w:eastAsia="Arial" w:hAnsi="Arial"/>
                <w:sz w:val="15"/>
                <w:szCs w:val="15"/>
                <w:color w:val="auto"/>
                <w:vertAlign w:val="superscript"/>
              </w:rPr>
              <w:t>(3)(4)(5)</w:t>
            </w:r>
          </w:p>
        </w:tc>
        <w:tc>
          <w:tcPr>
            <w:tcW w:w="3000" w:type="dxa"/>
            <w:vAlign w:val="bottom"/>
            <w:gridSpan w:val="3"/>
            <w:shd w:val="clear" w:color="auto" w:fill="CCEEFF"/>
          </w:tcPr>
          <w:p>
            <w:pPr>
              <w:ind w:left="1340"/>
              <w:spacing w:after="0" w:line="138" w:lineRule="exact"/>
              <w:rPr>
                <w:sz w:val="20"/>
                <w:szCs w:val="20"/>
                <w:color w:val="auto"/>
              </w:rPr>
            </w:pPr>
            <w:r>
              <w:rPr>
                <w:rFonts w:ascii="Arial" w:cs="Arial" w:eastAsia="Arial" w:hAnsi="Arial"/>
                <w:sz w:val="14"/>
                <w:szCs w:val="14"/>
                <w:color w:val="auto"/>
                <w:w w:val="95"/>
              </w:rPr>
              <w:t>First-lien loan ($43,596 par,</w:t>
            </w: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shd w:val="clear" w:color="auto" w:fill="CCEEFF"/>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3000" w:type="dxa"/>
            <w:vAlign w:val="bottom"/>
            <w:gridSpan w:val="3"/>
            <w:shd w:val="clear" w:color="auto" w:fill="CCEEFF"/>
          </w:tcPr>
          <w:p>
            <w:pPr>
              <w:ind w:left="1340"/>
              <w:spacing w:after="0" w:line="159" w:lineRule="exact"/>
              <w:rPr>
                <w:sz w:val="20"/>
                <w:szCs w:val="20"/>
                <w:color w:val="auto"/>
              </w:rPr>
            </w:pPr>
            <w:r>
              <w:rPr>
                <w:rFonts w:ascii="Arial" w:cs="Arial" w:eastAsia="Arial" w:hAnsi="Arial"/>
                <w:sz w:val="14"/>
                <w:szCs w:val="14"/>
                <w:color w:val="auto"/>
              </w:rPr>
              <w:t>due 12/2017)</w:t>
            </w:r>
          </w:p>
        </w:tc>
        <w:tc>
          <w:tcPr>
            <w:tcW w:w="9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1"/>
              </w:rPr>
              <w:t>12/28/2012</w:t>
            </w:r>
          </w:p>
        </w:tc>
        <w:tc>
          <w:tcPr>
            <w:tcW w:w="2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42,644</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43,487</w:t>
            </w:r>
          </w:p>
        </w:tc>
        <w:tc>
          <w:tcPr>
            <w:tcW w:w="11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38"/>
        </w:trPr>
        <w:tc>
          <w:tcPr>
            <w:tcW w:w="382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Rogue Wave Holdings, Inc. </w:t>
            </w:r>
            <w:r>
              <w:rPr>
                <w:rFonts w:ascii="Arial" w:cs="Arial" w:eastAsia="Arial" w:hAnsi="Arial"/>
                <w:sz w:val="15"/>
                <w:szCs w:val="15"/>
                <w:color w:val="auto"/>
                <w:vertAlign w:val="superscript"/>
              </w:rPr>
              <w:t>(3)(4)(5)</w:t>
            </w:r>
          </w:p>
        </w:tc>
        <w:tc>
          <w:tcPr>
            <w:tcW w:w="3000" w:type="dxa"/>
            <w:vAlign w:val="bottom"/>
            <w:gridSpan w:val="3"/>
          </w:tcPr>
          <w:p>
            <w:pPr>
              <w:ind w:left="1340"/>
              <w:spacing w:after="0" w:line="138" w:lineRule="exact"/>
              <w:rPr>
                <w:sz w:val="20"/>
                <w:szCs w:val="20"/>
                <w:color w:val="auto"/>
              </w:rPr>
            </w:pPr>
            <w:r>
              <w:rPr>
                <w:rFonts w:ascii="Arial" w:cs="Arial" w:eastAsia="Arial" w:hAnsi="Arial"/>
                <w:sz w:val="14"/>
                <w:szCs w:val="14"/>
                <w:color w:val="auto"/>
                <w:w w:val="95"/>
              </w:rPr>
              <w:t>First-lien loan ($45,975 par,</w:t>
            </w: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000" w:type="dxa"/>
            <w:vAlign w:val="bottom"/>
            <w:gridSpan w:val="3"/>
          </w:tcPr>
          <w:p>
            <w:pPr>
              <w:ind w:left="1340"/>
              <w:spacing w:after="0" w:line="159" w:lineRule="exact"/>
              <w:rPr>
                <w:sz w:val="20"/>
                <w:szCs w:val="20"/>
                <w:color w:val="auto"/>
              </w:rPr>
            </w:pPr>
            <w:r>
              <w:rPr>
                <w:rFonts w:ascii="Arial" w:cs="Arial" w:eastAsia="Arial" w:hAnsi="Arial"/>
                <w:sz w:val="14"/>
                <w:szCs w:val="14"/>
                <w:color w:val="auto"/>
              </w:rPr>
              <w:t>due 11/2017)</w:t>
            </w:r>
          </w:p>
        </w:tc>
        <w:tc>
          <w:tcPr>
            <w:tcW w:w="9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8.25%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11/21/2012</w:t>
            </w:r>
          </w:p>
        </w:tc>
        <w:tc>
          <w:tcPr>
            <w:tcW w:w="2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44,948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45,745</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6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87,592</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89,232</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Interest</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7"/>
              </w:rPr>
              <w:t>Amortized</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2"/>
        </w:trPr>
        <w:tc>
          <w:tcPr>
            <w:tcW w:w="5000" w:type="dxa"/>
            <w:vAlign w:val="bottom"/>
            <w:gridSpan w:val="2"/>
            <w:vMerge w:val="continue"/>
          </w:tcPr>
          <w:p>
            <w:pPr>
              <w:spacing w:after="0"/>
              <w:rPr>
                <w:sz w:val="15"/>
                <w:szCs w:val="15"/>
                <w:color w:val="auto"/>
              </w:rPr>
            </w:pPr>
          </w:p>
        </w:tc>
        <w:tc>
          <w:tcPr>
            <w:tcW w:w="1700" w:type="dxa"/>
            <w:vAlign w:val="bottom"/>
            <w:gridSpan w:val="2"/>
          </w:tcPr>
          <w:p>
            <w:pPr>
              <w:ind w:left="480"/>
              <w:spacing w:after="0"/>
              <w:rPr>
                <w:sz w:val="20"/>
                <w:szCs w:val="20"/>
                <w:color w:val="auto"/>
              </w:rPr>
            </w:pPr>
            <w:r>
              <w:rPr>
                <w:rFonts w:ascii="Arial" w:cs="Arial" w:eastAsia="Arial" w:hAnsi="Arial"/>
                <w:sz w:val="14"/>
                <w:szCs w:val="14"/>
                <w:b w:val="1"/>
                <w:bCs w:val="1"/>
                <w:color w:val="auto"/>
              </w:rPr>
              <w:t>Investment</w:t>
            </w: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Rate</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right"/>
              <w:ind w:right="33"/>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8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2"/>
              </w:rPr>
              <w:t>of Net Assets</w:t>
            </w:r>
          </w:p>
        </w:tc>
        <w:tc>
          <w:tcPr>
            <w:tcW w:w="0" w:type="dxa"/>
            <w:vAlign w:val="bottom"/>
          </w:tcPr>
          <w:p>
            <w:pPr>
              <w:spacing w:after="0"/>
              <w:rPr>
                <w:sz w:val="1"/>
                <w:szCs w:val="1"/>
                <w:color w:val="auto"/>
              </w:rPr>
            </w:pPr>
          </w:p>
        </w:tc>
      </w:tr>
      <w:tr>
        <w:trPr>
          <w:trHeight w:val="41"/>
        </w:trPr>
        <w:tc>
          <w:tcPr>
            <w:tcW w:w="660" w:type="dxa"/>
            <w:vAlign w:val="bottom"/>
            <w:tcBorders>
              <w:top w:val="single" w:sz="8" w:color="auto"/>
            </w:tcBorders>
          </w:tcPr>
          <w:p>
            <w:pPr>
              <w:spacing w:after="0"/>
              <w:rPr>
                <w:sz w:val="3"/>
                <w:szCs w:val="3"/>
                <w:color w:val="auto"/>
              </w:rPr>
            </w:pPr>
          </w:p>
        </w:tc>
        <w:tc>
          <w:tcPr>
            <w:tcW w:w="4340" w:type="dxa"/>
            <w:vAlign w:val="bottom"/>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660" w:type="dxa"/>
            <w:vAlign w:val="bottom"/>
            <w:shd w:val="clear" w:color="auto" w:fill="CCEEFF"/>
          </w:tcPr>
          <w:p>
            <w:pPr>
              <w:spacing w:after="0"/>
              <w:rPr>
                <w:sz w:val="14"/>
                <w:szCs w:val="14"/>
                <w:color w:val="auto"/>
              </w:rPr>
            </w:pPr>
          </w:p>
        </w:tc>
        <w:tc>
          <w:tcPr>
            <w:tcW w:w="434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Healthcare and pharmaceuticals</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0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Intelident Solutions, Inc. </w:t>
            </w:r>
            <w:r>
              <w:rPr>
                <w:rFonts w:ascii="Arial" w:cs="Arial" w:eastAsia="Arial" w:hAnsi="Arial"/>
                <w:sz w:val="15"/>
                <w:szCs w:val="15"/>
                <w:color w:val="auto"/>
                <w:vertAlign w:val="superscript"/>
              </w:rPr>
              <w:t>(3)</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8"/>
              </w:rPr>
              <w:t>First-lien loan ($27,555 par,</w:t>
            </w:r>
          </w:p>
        </w:tc>
        <w:tc>
          <w:tcPr>
            <w:tcW w:w="98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8.00%</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due 8/2016)</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(inc. 2.00%</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PIK)</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6/4/2013</w:t>
            </w:r>
          </w:p>
        </w:tc>
        <w:tc>
          <w:tcPr>
            <w:tcW w:w="640" w:type="dxa"/>
            <w:vAlign w:val="bottom"/>
          </w:tcPr>
          <w:p>
            <w:pPr>
              <w:jc w:val="right"/>
              <w:spacing w:after="0"/>
              <w:rPr>
                <w:sz w:val="20"/>
                <w:szCs w:val="20"/>
                <w:color w:val="auto"/>
              </w:rPr>
            </w:pPr>
            <w:r>
              <w:rPr>
                <w:rFonts w:ascii="Arial" w:cs="Arial" w:eastAsia="Arial" w:hAnsi="Arial"/>
                <w:sz w:val="14"/>
                <w:szCs w:val="14"/>
                <w:color w:val="auto"/>
              </w:rPr>
              <w:t>26,848</w:t>
            </w:r>
          </w:p>
        </w:tc>
        <w:tc>
          <w:tcPr>
            <w:tcW w:w="1200" w:type="dxa"/>
            <w:vAlign w:val="bottom"/>
            <w:gridSpan w:val="3"/>
          </w:tcPr>
          <w:p>
            <w:pPr>
              <w:jc w:val="right"/>
              <w:ind w:right="280"/>
              <w:spacing w:after="0"/>
              <w:rPr>
                <w:sz w:val="20"/>
                <w:szCs w:val="20"/>
                <w:color w:val="auto"/>
              </w:rPr>
            </w:pPr>
            <w:r>
              <w:rPr>
                <w:rFonts w:ascii="Arial" w:cs="Arial" w:eastAsia="Arial" w:hAnsi="Arial"/>
                <w:sz w:val="14"/>
                <w:szCs w:val="14"/>
                <w:color w:val="auto"/>
              </w:rPr>
              <w:t>26,807</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8"/>
        </w:trPr>
        <w:tc>
          <w:tcPr>
            <w:tcW w:w="660" w:type="dxa"/>
            <w:vAlign w:val="bottom"/>
            <w:shd w:val="clear" w:color="auto" w:fill="CCEEFF"/>
          </w:tcPr>
          <w:p>
            <w:pPr>
              <w:spacing w:after="0"/>
              <w:rPr>
                <w:sz w:val="11"/>
                <w:szCs w:val="11"/>
                <w:color w:val="auto"/>
              </w:rPr>
            </w:pPr>
          </w:p>
        </w:tc>
        <w:tc>
          <w:tcPr>
            <w:tcW w:w="434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revolving loan</w:t>
            </w: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shd w:val="clear" w:color="auto" w:fill="CCEEFF"/>
          </w:tcPr>
          <w:p>
            <w:pPr>
              <w:spacing w:after="0"/>
              <w:rPr>
                <w:sz w:val="13"/>
                <w:szCs w:val="13"/>
                <w:color w:val="auto"/>
              </w:rPr>
            </w:pPr>
          </w:p>
        </w:tc>
        <w:tc>
          <w:tcPr>
            <w:tcW w:w="434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($1,642 par, due 8/2016)</w:t>
            </w:r>
          </w:p>
        </w:tc>
        <w:tc>
          <w:tcPr>
            <w:tcW w:w="9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8.00%</w:t>
            </w:r>
          </w:p>
        </w:tc>
        <w:tc>
          <w:tcPr>
            <w:tcW w:w="9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6/4/2013</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1,643</w:t>
            </w:r>
          </w:p>
        </w:tc>
        <w:tc>
          <w:tcPr>
            <w:tcW w:w="120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1,634</w:t>
            </w: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8"/>
        </w:trPr>
        <w:tc>
          <w:tcPr>
            <w:tcW w:w="50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Mediware Information Systems, Inc. </w:t>
            </w:r>
            <w:r>
              <w:rPr>
                <w:rFonts w:ascii="Arial" w:cs="Arial" w:eastAsia="Arial" w:hAnsi="Arial"/>
                <w:sz w:val="15"/>
                <w:szCs w:val="15"/>
                <w:color w:val="auto"/>
                <w:vertAlign w:val="superscript"/>
              </w:rPr>
              <w:t>(3)(4)(5)</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8"/>
              </w:rPr>
              <w:t>First-lien loan ($72,092 par,</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due 5/2018)</w:t>
            </w:r>
          </w:p>
        </w:tc>
        <w:tc>
          <w:tcPr>
            <w:tcW w:w="9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8.00%</w:t>
            </w: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11/9/2012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70,496</w:t>
            </w:r>
          </w:p>
        </w:tc>
        <w:tc>
          <w:tcPr>
            <w:tcW w:w="120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71,371</w:t>
            </w: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38"/>
        </w:trPr>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SRS Software, LLC </w:t>
            </w:r>
            <w:r>
              <w:rPr>
                <w:rFonts w:ascii="Arial" w:cs="Arial" w:eastAsia="Arial" w:hAnsi="Arial"/>
                <w:sz w:val="15"/>
                <w:szCs w:val="15"/>
                <w:color w:val="auto"/>
                <w:vertAlign w:val="superscript"/>
              </w:rPr>
              <w:t>(3)(5)</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8"/>
              </w:rPr>
              <w:t>First-lien loan ($36,094 par,</w:t>
            </w: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shd w:val="clear" w:color="auto" w:fill="CCEEFF"/>
          </w:tcPr>
          <w:p>
            <w:pPr>
              <w:spacing w:after="0"/>
              <w:rPr>
                <w:sz w:val="13"/>
                <w:szCs w:val="13"/>
                <w:color w:val="auto"/>
              </w:rPr>
            </w:pPr>
          </w:p>
        </w:tc>
        <w:tc>
          <w:tcPr>
            <w:tcW w:w="434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12/2017)</w:t>
            </w:r>
          </w:p>
        </w:tc>
        <w:tc>
          <w:tcPr>
            <w:tcW w:w="9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8.75%</w:t>
            </w:r>
          </w:p>
        </w:tc>
        <w:tc>
          <w:tcPr>
            <w:tcW w:w="9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w w:val="94"/>
              </w:rPr>
              <w:t>12/28/2012</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35,196</w:t>
            </w:r>
          </w:p>
        </w:tc>
        <w:tc>
          <w:tcPr>
            <w:tcW w:w="120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35,191</w:t>
            </w: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8"/>
        </w:trPr>
        <w:tc>
          <w:tcPr>
            <w:tcW w:w="66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rPr>
              <w:t>First-lien revolving loan</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($2,000 par, due 12/2017)</w:t>
            </w:r>
          </w:p>
        </w:tc>
        <w:tc>
          <w:tcPr>
            <w:tcW w:w="9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8.75%</w:t>
            </w: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4"/>
              </w:rPr>
              <w:t>12/28/2012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2,000</w:t>
            </w:r>
          </w:p>
        </w:tc>
        <w:tc>
          <w:tcPr>
            <w:tcW w:w="2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1,950</w:t>
            </w:r>
          </w:p>
        </w:tc>
        <w:tc>
          <w:tcPr>
            <w:tcW w:w="280" w:type="dxa"/>
            <w:vAlign w:val="bottom"/>
          </w:tcPr>
          <w:p>
            <w:pPr>
              <w:spacing w:after="0"/>
              <w:rPr>
                <w:sz w:val="13"/>
                <w:szCs w:val="13"/>
                <w:color w:val="auto"/>
              </w:rPr>
            </w:pP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60" w:type="dxa"/>
            <w:vAlign w:val="bottom"/>
            <w:shd w:val="clear" w:color="auto" w:fill="CCEEFF"/>
          </w:tcPr>
          <w:p>
            <w:pPr>
              <w:spacing w:after="0"/>
              <w:rPr>
                <w:sz w:val="12"/>
                <w:szCs w:val="12"/>
                <w:color w:val="auto"/>
              </w:rPr>
            </w:pPr>
          </w:p>
        </w:tc>
        <w:tc>
          <w:tcPr>
            <w:tcW w:w="43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136,183</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136,953</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4340" w:type="dxa"/>
            <w:vAlign w:val="bottom"/>
          </w:tcPr>
          <w:p>
            <w:pPr>
              <w:ind w:left="220"/>
              <w:spacing w:after="0"/>
              <w:rPr>
                <w:sz w:val="20"/>
                <w:szCs w:val="20"/>
                <w:color w:val="auto"/>
              </w:rPr>
            </w:pPr>
            <w:r>
              <w:rPr>
                <w:rFonts w:ascii="Arial" w:cs="Arial" w:eastAsia="Arial" w:hAnsi="Arial"/>
                <w:sz w:val="14"/>
                <w:szCs w:val="14"/>
                <w:b w:val="1"/>
                <w:bCs w:val="1"/>
                <w:color w:val="auto"/>
              </w:rPr>
              <w:t>Hotel, Gaming, &amp; Leisure</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 xml:space="preserve">AMF Bowling Worldwide, Inc. </w:t>
            </w:r>
            <w:r>
              <w:rPr>
                <w:rFonts w:ascii="Arial" w:cs="Arial" w:eastAsia="Arial" w:hAnsi="Arial"/>
                <w:sz w:val="16"/>
                <w:szCs w:val="16"/>
                <w:color w:val="auto"/>
                <w:vertAlign w:val="superscript"/>
              </w:rPr>
              <w:t>(3)(5)</w:t>
            </w:r>
          </w:p>
        </w:tc>
        <w:tc>
          <w:tcPr>
            <w:tcW w:w="17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w w:val="98"/>
              </w:rPr>
              <w:t>First-lien loan ($14,906 par,</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60" w:type="dxa"/>
            <w:vAlign w:val="bottom"/>
            <w:shd w:val="clear" w:color="auto" w:fill="CCEEFF"/>
          </w:tcPr>
          <w:p>
            <w:pPr>
              <w:spacing w:after="0"/>
              <w:rPr>
                <w:sz w:val="13"/>
                <w:szCs w:val="13"/>
                <w:color w:val="auto"/>
              </w:rPr>
            </w:pPr>
          </w:p>
        </w:tc>
        <w:tc>
          <w:tcPr>
            <w:tcW w:w="434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6/2018)</w:t>
            </w:r>
          </w:p>
        </w:tc>
        <w:tc>
          <w:tcPr>
            <w:tcW w:w="9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8.78%</w:t>
            </w:r>
          </w:p>
        </w:tc>
        <w:tc>
          <w:tcPr>
            <w:tcW w:w="9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7/2/2013</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13,716</w:t>
            </w:r>
          </w:p>
        </w:tc>
        <w:tc>
          <w:tcPr>
            <w:tcW w:w="120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14,666</w:t>
            </w: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8"/>
        </w:trPr>
        <w:tc>
          <w:tcPr>
            <w:tcW w:w="50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Centaur, LLC </w:t>
            </w:r>
            <w:r>
              <w:rPr>
                <w:rFonts w:ascii="Arial" w:cs="Arial" w:eastAsia="Arial" w:hAnsi="Arial"/>
                <w:sz w:val="15"/>
                <w:szCs w:val="15"/>
                <w:color w:val="auto"/>
                <w:vertAlign w:val="superscript"/>
              </w:rPr>
              <w:t>(3)</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rPr>
              <w:t>Second-lien loan ($10,000</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par, due 2/2020)</w:t>
            </w:r>
          </w:p>
        </w:tc>
        <w:tc>
          <w:tcPr>
            <w:tcW w:w="9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8.75%</w:t>
            </w: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2/15/2013</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9,920</w:t>
            </w:r>
          </w:p>
        </w:tc>
        <w:tc>
          <w:tcPr>
            <w:tcW w:w="120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10,050</w:t>
            </w: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8"/>
        </w:trPr>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Mandalay Baseball Properties, LLC </w:t>
            </w:r>
            <w:r>
              <w:rPr>
                <w:rFonts w:ascii="Arial" w:cs="Arial" w:eastAsia="Arial" w:hAnsi="Arial"/>
                <w:sz w:val="15"/>
                <w:szCs w:val="15"/>
                <w:color w:val="auto"/>
                <w:vertAlign w:val="superscript"/>
              </w:rPr>
              <w:t>(3)(5)</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8"/>
              </w:rPr>
              <w:t>First-lien loan ($34,489 par,</w:t>
            </w:r>
          </w:p>
        </w:tc>
        <w:tc>
          <w:tcPr>
            <w:tcW w:w="9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12.00%</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0" w:type="dxa"/>
            <w:vAlign w:val="bottom"/>
            <w:shd w:val="clear" w:color="auto" w:fill="CCEEFF"/>
          </w:tcPr>
          <w:p>
            <w:pPr>
              <w:spacing w:after="0"/>
              <w:rPr>
                <w:sz w:val="12"/>
                <w:szCs w:val="12"/>
                <w:color w:val="auto"/>
              </w:rPr>
            </w:pPr>
          </w:p>
        </w:tc>
        <w:tc>
          <w:tcPr>
            <w:tcW w:w="43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due 3/2017)</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(incl. 4.50%</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PIK)</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4/12/2012</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33,869</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35,362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8"/>
        </w:trPr>
        <w:tc>
          <w:tcPr>
            <w:tcW w:w="50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Soho House </w:t>
            </w:r>
            <w:r>
              <w:rPr>
                <w:rFonts w:ascii="Arial" w:cs="Arial" w:eastAsia="Arial" w:hAnsi="Arial"/>
                <w:sz w:val="15"/>
                <w:szCs w:val="15"/>
                <w:color w:val="auto"/>
                <w:vertAlign w:val="superscript"/>
              </w:rPr>
              <w:t>(6)</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rPr>
              <w:t>Second-lien bond (GBP</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7,000 par, due 10/2018)</w:t>
            </w:r>
          </w:p>
        </w:tc>
        <w:tc>
          <w:tcPr>
            <w:tcW w:w="9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9.13%</w:t>
            </w: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9/20/2013</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11,200</w:t>
            </w:r>
          </w:p>
        </w:tc>
        <w:tc>
          <w:tcPr>
            <w:tcW w:w="2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11,455</w:t>
            </w:r>
          </w:p>
        </w:tc>
        <w:tc>
          <w:tcPr>
            <w:tcW w:w="280" w:type="dxa"/>
            <w:vAlign w:val="bottom"/>
          </w:tcPr>
          <w:p>
            <w:pPr>
              <w:spacing w:after="0"/>
              <w:rPr>
                <w:sz w:val="13"/>
                <w:szCs w:val="13"/>
                <w:color w:val="auto"/>
              </w:rPr>
            </w:pP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60" w:type="dxa"/>
            <w:vAlign w:val="bottom"/>
            <w:shd w:val="clear" w:color="auto" w:fill="CCEEFF"/>
          </w:tcPr>
          <w:p>
            <w:pPr>
              <w:spacing w:after="0"/>
              <w:rPr>
                <w:sz w:val="12"/>
                <w:szCs w:val="12"/>
                <w:color w:val="auto"/>
              </w:rPr>
            </w:pPr>
          </w:p>
        </w:tc>
        <w:tc>
          <w:tcPr>
            <w:tcW w:w="43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68,705</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71,533</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4340" w:type="dxa"/>
            <w:vAlign w:val="bottom"/>
          </w:tcPr>
          <w:p>
            <w:pPr>
              <w:ind w:left="220"/>
              <w:spacing w:after="0"/>
              <w:rPr>
                <w:sz w:val="20"/>
                <w:szCs w:val="20"/>
                <w:color w:val="auto"/>
              </w:rPr>
            </w:pPr>
            <w:r>
              <w:rPr>
                <w:rFonts w:ascii="Arial" w:cs="Arial" w:eastAsia="Arial" w:hAnsi="Arial"/>
                <w:sz w:val="14"/>
                <w:szCs w:val="14"/>
                <w:b w:val="1"/>
                <w:bCs w:val="1"/>
                <w:color w:val="auto"/>
              </w:rPr>
              <w:t>Human resource support services</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00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 xml:space="preserve">Pai Group, Inc. </w:t>
            </w:r>
            <w:r>
              <w:rPr>
                <w:rFonts w:ascii="Arial" w:cs="Arial" w:eastAsia="Arial" w:hAnsi="Arial"/>
                <w:sz w:val="16"/>
                <w:szCs w:val="16"/>
                <w:color w:val="auto"/>
                <w:vertAlign w:val="superscript"/>
              </w:rPr>
              <w:t>(3)(5)</w:t>
            </w:r>
          </w:p>
        </w:tc>
        <w:tc>
          <w:tcPr>
            <w:tcW w:w="17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w w:val="98"/>
              </w:rPr>
              <w:t>First-lien loan ($34,825 par,</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60" w:type="dxa"/>
            <w:vAlign w:val="bottom"/>
            <w:shd w:val="clear" w:color="auto" w:fill="CCEEFF"/>
          </w:tcPr>
          <w:p>
            <w:pPr>
              <w:spacing w:after="0"/>
              <w:rPr>
                <w:sz w:val="13"/>
                <w:szCs w:val="13"/>
                <w:color w:val="auto"/>
              </w:rPr>
            </w:pPr>
          </w:p>
        </w:tc>
        <w:tc>
          <w:tcPr>
            <w:tcW w:w="434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5/2018)</w:t>
            </w:r>
          </w:p>
        </w:tc>
        <w:tc>
          <w:tcPr>
            <w:tcW w:w="9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10.50%</w:t>
            </w:r>
          </w:p>
        </w:tc>
        <w:tc>
          <w:tcPr>
            <w:tcW w:w="9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5/8/2013</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34,031</w:t>
            </w:r>
          </w:p>
        </w:tc>
        <w:tc>
          <w:tcPr>
            <w:tcW w:w="120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34,029</w:t>
            </w: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38"/>
        </w:trPr>
        <w:tc>
          <w:tcPr>
            <w:tcW w:w="50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SumTotal Systems, LLC </w:t>
            </w:r>
            <w:r>
              <w:rPr>
                <w:rFonts w:ascii="Arial" w:cs="Arial" w:eastAsia="Arial" w:hAnsi="Arial"/>
                <w:sz w:val="15"/>
                <w:szCs w:val="15"/>
                <w:color w:val="auto"/>
                <w:vertAlign w:val="superscript"/>
              </w:rPr>
              <w:t>(3)</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rPr>
              <w:t>First-lien loan ($7,503 par,</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due 11/2018)</w:t>
            </w:r>
          </w:p>
        </w:tc>
        <w:tc>
          <w:tcPr>
            <w:tcW w:w="9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6.25%</w:t>
            </w: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4"/>
              </w:rPr>
              <w:t>11/16/2012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7,422</w:t>
            </w:r>
          </w:p>
        </w:tc>
        <w:tc>
          <w:tcPr>
            <w:tcW w:w="120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7,463</w:t>
            </w: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8"/>
        </w:trPr>
        <w:tc>
          <w:tcPr>
            <w:tcW w:w="660" w:type="dxa"/>
            <w:vAlign w:val="bottom"/>
            <w:shd w:val="clear" w:color="auto" w:fill="CCEEFF"/>
          </w:tcPr>
          <w:p>
            <w:pPr>
              <w:spacing w:after="0"/>
              <w:rPr>
                <w:sz w:val="11"/>
                <w:szCs w:val="11"/>
                <w:color w:val="auto"/>
              </w:rPr>
            </w:pPr>
          </w:p>
        </w:tc>
        <w:tc>
          <w:tcPr>
            <w:tcW w:w="434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Second-lien loan ($10,000</w:t>
            </w: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shd w:val="clear" w:color="auto" w:fill="CCEEFF"/>
          </w:tcPr>
          <w:p>
            <w:pPr>
              <w:spacing w:after="0"/>
              <w:rPr>
                <w:sz w:val="13"/>
                <w:szCs w:val="13"/>
                <w:color w:val="auto"/>
              </w:rPr>
            </w:pPr>
          </w:p>
        </w:tc>
        <w:tc>
          <w:tcPr>
            <w:tcW w:w="434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par, due 5/2019)</w:t>
            </w:r>
          </w:p>
        </w:tc>
        <w:tc>
          <w:tcPr>
            <w:tcW w:w="9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10.25%</w:t>
            </w:r>
          </w:p>
        </w:tc>
        <w:tc>
          <w:tcPr>
            <w:tcW w:w="9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w w:val="94"/>
              </w:rPr>
              <w:t>11/16/2012</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9,945</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9,925</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51,398</w:t>
            </w:r>
          </w:p>
        </w:tc>
        <w:tc>
          <w:tcPr>
            <w:tcW w:w="28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51,417</w:t>
            </w:r>
          </w:p>
        </w:tc>
        <w:tc>
          <w:tcPr>
            <w:tcW w:w="280" w:type="dxa"/>
            <w:vAlign w:val="bottom"/>
          </w:tcPr>
          <w:p>
            <w:pPr>
              <w:spacing w:after="0"/>
              <w:rPr>
                <w:sz w:val="14"/>
                <w:szCs w:val="14"/>
                <w:color w:val="auto"/>
              </w:rPr>
            </w:pPr>
          </w:p>
        </w:tc>
        <w:tc>
          <w:tcPr>
            <w:tcW w:w="9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62"/>
        </w:trPr>
        <w:tc>
          <w:tcPr>
            <w:tcW w:w="660" w:type="dxa"/>
            <w:vAlign w:val="bottom"/>
            <w:shd w:val="clear" w:color="auto" w:fill="CCEEFF"/>
          </w:tcPr>
          <w:p>
            <w:pPr>
              <w:spacing w:after="0"/>
              <w:rPr>
                <w:sz w:val="14"/>
                <w:szCs w:val="14"/>
                <w:color w:val="auto"/>
              </w:rPr>
            </w:pPr>
          </w:p>
        </w:tc>
        <w:tc>
          <w:tcPr>
            <w:tcW w:w="434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Insurance</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0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Infogix, Inc. </w:t>
            </w:r>
            <w:r>
              <w:rPr>
                <w:rFonts w:ascii="Arial" w:cs="Arial" w:eastAsia="Arial" w:hAnsi="Arial"/>
                <w:sz w:val="15"/>
                <w:szCs w:val="15"/>
                <w:color w:val="auto"/>
                <w:vertAlign w:val="superscript"/>
              </w:rPr>
              <w:t>(3)(5)</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8"/>
              </w:rPr>
              <w:t>First-lien loan ($32,306 par,</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due 6/2017)</w:t>
            </w:r>
          </w:p>
        </w:tc>
        <w:tc>
          <w:tcPr>
            <w:tcW w:w="9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10.00%</w:t>
            </w: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6/1/2012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31,815</w:t>
            </w:r>
          </w:p>
        </w:tc>
        <w:tc>
          <w:tcPr>
            <w:tcW w:w="120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32,225</w:t>
            </w: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38"/>
        </w:trPr>
        <w:tc>
          <w:tcPr>
            <w:tcW w:w="660" w:type="dxa"/>
            <w:vAlign w:val="bottom"/>
            <w:shd w:val="clear" w:color="auto" w:fill="CCEEFF"/>
          </w:tcPr>
          <w:p>
            <w:pPr>
              <w:spacing w:after="0"/>
              <w:rPr>
                <w:sz w:val="11"/>
                <w:szCs w:val="11"/>
                <w:color w:val="auto"/>
              </w:rPr>
            </w:pPr>
          </w:p>
        </w:tc>
        <w:tc>
          <w:tcPr>
            <w:tcW w:w="434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First-lien revolving loan</w:t>
            </w: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shd w:val="clear" w:color="auto" w:fill="CCEEFF"/>
          </w:tcPr>
          <w:p>
            <w:pPr>
              <w:spacing w:after="0"/>
              <w:rPr>
                <w:sz w:val="13"/>
                <w:szCs w:val="13"/>
                <w:color w:val="auto"/>
              </w:rPr>
            </w:pPr>
          </w:p>
        </w:tc>
        <w:tc>
          <w:tcPr>
            <w:tcW w:w="434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($3,300 par, due 6/2017)</w:t>
            </w:r>
          </w:p>
        </w:tc>
        <w:tc>
          <w:tcPr>
            <w:tcW w:w="9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10.00%</w:t>
            </w:r>
          </w:p>
        </w:tc>
        <w:tc>
          <w:tcPr>
            <w:tcW w:w="9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6/1/2012</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3,227</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3,288</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35,042</w:t>
            </w:r>
          </w:p>
        </w:tc>
        <w:tc>
          <w:tcPr>
            <w:tcW w:w="28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35,513</w:t>
            </w:r>
          </w:p>
        </w:tc>
        <w:tc>
          <w:tcPr>
            <w:tcW w:w="280" w:type="dxa"/>
            <w:vAlign w:val="bottom"/>
          </w:tcPr>
          <w:p>
            <w:pPr>
              <w:spacing w:after="0"/>
              <w:rPr>
                <w:sz w:val="14"/>
                <w:szCs w:val="14"/>
                <w:color w:val="auto"/>
              </w:rPr>
            </w:pPr>
          </w:p>
        </w:tc>
        <w:tc>
          <w:tcPr>
            <w:tcW w:w="9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62"/>
        </w:trPr>
        <w:tc>
          <w:tcPr>
            <w:tcW w:w="660" w:type="dxa"/>
            <w:vAlign w:val="bottom"/>
            <w:shd w:val="clear" w:color="auto" w:fill="CCEEFF"/>
          </w:tcPr>
          <w:p>
            <w:pPr>
              <w:spacing w:after="0"/>
              <w:rPr>
                <w:sz w:val="14"/>
                <w:szCs w:val="14"/>
                <w:color w:val="auto"/>
              </w:rPr>
            </w:pPr>
          </w:p>
        </w:tc>
        <w:tc>
          <w:tcPr>
            <w:tcW w:w="434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Manufacturing</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0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Jeeves Information Systems AB </w:t>
            </w:r>
            <w:r>
              <w:rPr>
                <w:rFonts w:ascii="Arial" w:cs="Arial" w:eastAsia="Arial" w:hAnsi="Arial"/>
                <w:sz w:val="15"/>
                <w:szCs w:val="15"/>
                <w:color w:val="auto"/>
                <w:vertAlign w:val="superscript"/>
              </w:rPr>
              <w:t>(3)(6)</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5"/>
              </w:rPr>
              <w:t>First-lien loan (SEK 177,608</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par, due 6/2018)</w:t>
            </w:r>
          </w:p>
        </w:tc>
        <w:tc>
          <w:tcPr>
            <w:tcW w:w="9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9.25%</w:t>
            </w: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6/5/2013</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26,446</w:t>
            </w:r>
          </w:p>
        </w:tc>
        <w:tc>
          <w:tcPr>
            <w:tcW w:w="120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27,061</w:t>
            </w: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2"/>
        </w:trPr>
        <w:tc>
          <w:tcPr>
            <w:tcW w:w="660" w:type="dxa"/>
            <w:vAlign w:val="bottom"/>
            <w:shd w:val="clear" w:color="auto" w:fill="CCEEFF"/>
          </w:tcPr>
          <w:p>
            <w:pPr>
              <w:spacing w:after="0"/>
              <w:rPr>
                <w:sz w:val="14"/>
                <w:szCs w:val="14"/>
                <w:color w:val="auto"/>
              </w:rPr>
            </w:pPr>
          </w:p>
        </w:tc>
        <w:tc>
          <w:tcPr>
            <w:tcW w:w="434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Office Products</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0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Ecommerce Industries, Inc. </w:t>
            </w:r>
            <w:r>
              <w:rPr>
                <w:rFonts w:ascii="Arial" w:cs="Arial" w:eastAsia="Arial" w:hAnsi="Arial"/>
                <w:sz w:val="15"/>
                <w:szCs w:val="15"/>
                <w:color w:val="auto"/>
                <w:vertAlign w:val="superscript"/>
              </w:rPr>
              <w:t>(3)(4)(5)</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8"/>
              </w:rPr>
              <w:t>First-lien loan ($20,217 par,</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due 10/2016)</w:t>
            </w:r>
          </w:p>
        </w:tc>
        <w:tc>
          <w:tcPr>
            <w:tcW w:w="9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8.00%</w:t>
            </w: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4"/>
              </w:rPr>
              <w:t>10/17/2011</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20,001</w:t>
            </w:r>
          </w:p>
        </w:tc>
        <w:tc>
          <w:tcPr>
            <w:tcW w:w="120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20,419</w:t>
            </w: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660" w:type="dxa"/>
            <w:vAlign w:val="bottom"/>
            <w:shd w:val="clear" w:color="auto" w:fill="CCEEFF"/>
          </w:tcPr>
          <w:p>
            <w:pPr>
              <w:spacing w:after="0"/>
              <w:rPr>
                <w:sz w:val="14"/>
                <w:szCs w:val="14"/>
                <w:color w:val="auto"/>
              </w:rPr>
            </w:pPr>
          </w:p>
        </w:tc>
        <w:tc>
          <w:tcPr>
            <w:tcW w:w="434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Oil, Gas &amp; Consumable Fuels</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0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Global Geophysical </w:t>
            </w:r>
            <w:r>
              <w:rPr>
                <w:rFonts w:ascii="Arial" w:cs="Arial" w:eastAsia="Arial" w:hAnsi="Arial"/>
                <w:sz w:val="15"/>
                <w:szCs w:val="15"/>
                <w:color w:val="auto"/>
                <w:vertAlign w:val="superscript"/>
              </w:rPr>
              <w:t>(3)(5)</w:t>
            </w:r>
          </w:p>
        </w:tc>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w w:val="98"/>
              </w:rPr>
              <w:t>First-lien loan ($41,000 par,</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700" w:type="dxa"/>
            <w:vAlign w:val="bottom"/>
            <w:gridSpan w:val="2"/>
          </w:tcPr>
          <w:p>
            <w:pPr>
              <w:spacing w:after="0" w:line="159" w:lineRule="exact"/>
              <w:rPr>
                <w:sz w:val="20"/>
                <w:szCs w:val="20"/>
                <w:color w:val="auto"/>
              </w:rPr>
            </w:pPr>
            <w:r>
              <w:rPr>
                <w:rFonts w:ascii="Arial" w:cs="Arial" w:eastAsia="Arial" w:hAnsi="Arial"/>
                <w:sz w:val="14"/>
                <w:szCs w:val="14"/>
                <w:color w:val="auto"/>
              </w:rPr>
              <w:t>due 9/2016)</w:t>
            </w:r>
          </w:p>
        </w:tc>
        <w:tc>
          <w:tcPr>
            <w:tcW w:w="9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10.75%</w:t>
            </w: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9/30/2013</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40,262</w:t>
            </w:r>
          </w:p>
        </w:tc>
        <w:tc>
          <w:tcPr>
            <w:tcW w:w="2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40,262</w:t>
            </w:r>
          </w:p>
        </w:tc>
        <w:tc>
          <w:tcPr>
            <w:tcW w:w="280" w:type="dxa"/>
            <w:vAlign w:val="bottom"/>
          </w:tcPr>
          <w:p>
            <w:pPr>
              <w:spacing w:after="0"/>
              <w:rPr>
                <w:sz w:val="13"/>
                <w:szCs w:val="13"/>
                <w:color w:val="auto"/>
              </w:rPr>
            </w:pP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0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Total Debt Investments</w:t>
            </w: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871,800</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887,610</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158.3%</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Interest</w:t>
            </w: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Acquisition</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Amortized</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2"/>
        </w:trPr>
        <w:tc>
          <w:tcPr>
            <w:tcW w:w="4920" w:type="dxa"/>
            <w:vAlign w:val="bottom"/>
            <w:gridSpan w:val="3"/>
            <w:vMerge w:val="continue"/>
          </w:tcPr>
          <w:p>
            <w:pPr>
              <w:spacing w:after="0"/>
              <w:rPr>
                <w:sz w:val="15"/>
                <w:szCs w:val="15"/>
                <w:color w:val="auto"/>
              </w:rPr>
            </w:pPr>
          </w:p>
        </w:tc>
        <w:tc>
          <w:tcPr>
            <w:tcW w:w="1760" w:type="dxa"/>
            <w:vAlign w:val="bottom"/>
            <w:gridSpan w:val="2"/>
          </w:tcPr>
          <w:p>
            <w:pPr>
              <w:ind w:left="460"/>
              <w:spacing w:after="0"/>
              <w:rPr>
                <w:sz w:val="20"/>
                <w:szCs w:val="20"/>
                <w:color w:val="auto"/>
              </w:rPr>
            </w:pPr>
            <w:r>
              <w:rPr>
                <w:rFonts w:ascii="Arial" w:cs="Arial" w:eastAsia="Arial" w:hAnsi="Arial"/>
                <w:sz w:val="14"/>
                <w:szCs w:val="14"/>
                <w:b w:val="1"/>
                <w:bCs w:val="1"/>
                <w:color w:val="auto"/>
              </w:rPr>
              <w:t>Investment</w:t>
            </w: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Rate</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Date</w:t>
            </w:r>
          </w:p>
        </w:tc>
        <w:tc>
          <w:tcPr>
            <w:tcW w:w="820" w:type="dxa"/>
            <w:vAlign w:val="bottom"/>
            <w:gridSpan w:val="2"/>
          </w:tcPr>
          <w:p>
            <w:pPr>
              <w:jc w:val="center"/>
              <w:ind w:right="180"/>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00" w:type="dxa"/>
            <w:vAlign w:val="bottom"/>
          </w:tcPr>
          <w:p>
            <w:pPr>
              <w:spacing w:after="0"/>
              <w:rPr>
                <w:sz w:val="15"/>
                <w:szCs w:val="15"/>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Fair Value</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Equity</w:t>
            </w:r>
          </w:p>
        </w:tc>
        <w:tc>
          <w:tcPr>
            <w:tcW w:w="4260" w:type="dxa"/>
            <w:vAlign w:val="bottom"/>
            <w:tcBorders>
              <w:top w:val="single" w:sz="8" w:color="CCEEFF"/>
            </w:tcBorders>
            <w:shd w:val="clear" w:color="auto" w:fill="CCEEFF"/>
          </w:tcPr>
          <w:p>
            <w:pPr>
              <w:spacing w:after="0"/>
              <w:rPr>
                <w:sz w:val="10"/>
                <w:szCs w:val="10"/>
                <w:color w:val="auto"/>
              </w:rPr>
            </w:pPr>
          </w:p>
        </w:tc>
        <w:tc>
          <w:tcPr>
            <w:tcW w:w="15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60" w:type="dxa"/>
            <w:vAlign w:val="bottom"/>
          </w:tcPr>
          <w:p>
            <w:pPr>
              <w:ind w:left="220"/>
              <w:spacing w:after="0"/>
              <w:rPr>
                <w:sz w:val="20"/>
                <w:szCs w:val="20"/>
                <w:color w:val="auto"/>
              </w:rPr>
            </w:pPr>
            <w:r>
              <w:rPr>
                <w:rFonts w:ascii="Arial" w:cs="Arial" w:eastAsia="Arial" w:hAnsi="Arial"/>
                <w:sz w:val="14"/>
                <w:szCs w:val="14"/>
                <w:b w:val="1"/>
                <w:bCs w:val="1"/>
                <w:color w:val="auto"/>
              </w:rPr>
              <w:t>Business Services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9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Network Merchants, Inc</w:t>
            </w:r>
          </w:p>
        </w:tc>
        <w:tc>
          <w:tcPr>
            <w:tcW w:w="17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Non-Voting Preferred Units</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6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(774,099 units)</w:t>
            </w: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9/12/2013</w:t>
            </w:r>
          </w:p>
        </w:tc>
        <w:tc>
          <w:tcPr>
            <w:tcW w:w="8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780</w:t>
            </w:r>
          </w:p>
        </w:tc>
        <w:tc>
          <w:tcPr>
            <w:tcW w:w="120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780</w:t>
            </w: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60" w:type="dxa"/>
            <w:vAlign w:val="bottom"/>
          </w:tcPr>
          <w:p>
            <w:pPr>
              <w:ind w:left="220"/>
              <w:spacing w:after="0"/>
              <w:rPr>
                <w:sz w:val="20"/>
                <w:szCs w:val="20"/>
                <w:color w:val="auto"/>
              </w:rPr>
            </w:pPr>
            <w:r>
              <w:rPr>
                <w:rFonts w:ascii="Arial" w:cs="Arial" w:eastAsia="Arial" w:hAnsi="Arial"/>
                <w:sz w:val="14"/>
                <w:szCs w:val="14"/>
                <w:b w:val="1"/>
                <w:bCs w:val="1"/>
                <w:color w:val="auto"/>
              </w:rPr>
              <w:t>Healthcare and pharmaceuticals</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SRS Parent Corp.</w:t>
            </w:r>
          </w:p>
        </w:tc>
        <w:tc>
          <w:tcPr>
            <w:tcW w:w="17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Common Shares Class A</w:t>
            </w: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6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(1,980 shares)</w:t>
            </w: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w w:val="94"/>
              </w:rPr>
              <w:t>12/28/2012</w:t>
            </w:r>
          </w:p>
        </w:tc>
        <w:tc>
          <w:tcPr>
            <w:tcW w:w="8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1,980</w:t>
            </w:r>
          </w:p>
        </w:tc>
        <w:tc>
          <w:tcPr>
            <w:tcW w:w="120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931</w:t>
            </w: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760" w:type="dxa"/>
            <w:vAlign w:val="bottom"/>
            <w:gridSpan w:val="2"/>
          </w:tcPr>
          <w:p>
            <w:pPr>
              <w:spacing w:after="0" w:line="138" w:lineRule="exact"/>
              <w:rPr>
                <w:sz w:val="20"/>
                <w:szCs w:val="20"/>
                <w:color w:val="auto"/>
              </w:rPr>
            </w:pPr>
            <w:r>
              <w:rPr>
                <w:rFonts w:ascii="Arial" w:cs="Arial" w:eastAsia="Arial" w:hAnsi="Arial"/>
                <w:sz w:val="14"/>
                <w:szCs w:val="14"/>
                <w:color w:val="auto"/>
              </w:rPr>
              <w:t>Common Shares Class B</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760" w:type="dxa"/>
            <w:vAlign w:val="bottom"/>
            <w:gridSpan w:val="2"/>
          </w:tcPr>
          <w:p>
            <w:pPr>
              <w:spacing w:after="0" w:line="159" w:lineRule="exact"/>
              <w:rPr>
                <w:sz w:val="20"/>
                <w:szCs w:val="20"/>
                <w:color w:val="auto"/>
              </w:rPr>
            </w:pPr>
            <w:r>
              <w:rPr>
                <w:rFonts w:ascii="Arial" w:cs="Arial" w:eastAsia="Arial" w:hAnsi="Arial"/>
                <w:sz w:val="14"/>
                <w:szCs w:val="14"/>
                <w:color w:val="auto"/>
              </w:rPr>
              <w:t>(2,953,020 shares)</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w w:val="94"/>
              </w:rPr>
              <w:t>12/28/2012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9</w:t>
            </w: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940</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 Equity Investments</w:t>
            </w: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gridSpan w:val="2"/>
            <w:vMerge w:val="continue"/>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2,780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1,720</w:t>
            </w:r>
          </w:p>
        </w:tc>
        <w:tc>
          <w:tcPr>
            <w:tcW w:w="9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1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  874,580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  889,330</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80" w:right="340" w:hanging="572"/>
        <w:spacing w:after="0" w:line="253" w:lineRule="auto"/>
        <w:tabs>
          <w:tab w:leader="none" w:pos="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September 30, 2013, the Company does not “control” any of the portfolio companies nor are any of its portfolio companies considered to be “affiliates.” See Note 4. Certain portfolio company investments are subject to contractual restrictions on sales.</w:t>
      </w:r>
    </w:p>
    <w:p>
      <w:pPr>
        <w:ind w:left="580" w:right="380" w:hanging="572"/>
        <w:spacing w:after="0" w:line="250" w:lineRule="auto"/>
        <w:tabs>
          <w:tab w:leader="none" w:pos="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80" w:right="40" w:hanging="572"/>
        <w:spacing w:after="0" w:line="281" w:lineRule="auto"/>
        <w:tabs>
          <w:tab w:leader="none" w:pos="5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 In addition to the interest earned based on the stated interest rate of this loan, the Company may be entitled to receive additional interest as a result of its arrangement with other lenders in a syndication.</w:t>
      </w:r>
    </w:p>
    <w:p>
      <w:pPr>
        <w:spacing w:after="0" w:line="2" w:lineRule="exact"/>
        <w:rPr>
          <w:rFonts w:ascii="Arial" w:cs="Arial" w:eastAsia="Arial" w:hAnsi="Arial"/>
          <w:sz w:val="16"/>
          <w:szCs w:val="16"/>
          <w:color w:val="auto"/>
        </w:rPr>
      </w:pPr>
    </w:p>
    <w:p>
      <w:pPr>
        <w:ind w:left="580" w:right="160" w:hanging="572"/>
        <w:spacing w:after="0" w:line="250" w:lineRule="auto"/>
        <w:tabs>
          <w:tab w:leader="none" w:pos="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the Company may be entitled to receive additional interest as a result of its arrangement with other lenders in a syndication.</w:t>
      </w:r>
    </w:p>
    <w:p>
      <w:pPr>
        <w:ind w:left="580" w:right="740" w:hanging="572"/>
        <w:spacing w:after="0" w:line="250" w:lineRule="auto"/>
        <w:tabs>
          <w:tab w:leader="none" w:pos="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7.</w:t>
      </w:r>
    </w:p>
    <w:p>
      <w:pPr>
        <w:jc w:val="both"/>
        <w:ind w:left="580" w:right="200" w:hanging="572"/>
        <w:spacing w:after="0" w:line="361" w:lineRule="auto"/>
        <w:tabs>
          <w:tab w:leader="none" w:pos="58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Consolidated Schedule of Investments as of December 31,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2880" w:type="dxa"/>
            <w:vAlign w:val="bottom"/>
            <w:vMerge w:val="restart"/>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Interest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Acquisition</w:t>
            </w: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Amortized</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vMerge w:val="continue"/>
          </w:tcPr>
          <w:p>
            <w:pPr>
              <w:spacing w:after="0"/>
              <w:rPr>
                <w:sz w:val="15"/>
                <w:szCs w:val="15"/>
                <w:color w:val="auto"/>
              </w:rPr>
            </w:pPr>
          </w:p>
        </w:tc>
        <w:tc>
          <w:tcPr>
            <w:tcW w:w="288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1760" w:type="dxa"/>
            <w:vAlign w:val="bottom"/>
            <w:gridSpan w:val="2"/>
          </w:tcPr>
          <w:p>
            <w:pPr>
              <w:ind w:left="460"/>
              <w:spacing w:after="0"/>
              <w:rPr>
                <w:sz w:val="20"/>
                <w:szCs w:val="20"/>
                <w:color w:val="auto"/>
              </w:rPr>
            </w:pPr>
            <w:r>
              <w:rPr>
                <w:rFonts w:ascii="Arial" w:cs="Arial" w:eastAsia="Arial" w:hAnsi="Arial"/>
                <w:sz w:val="14"/>
                <w:szCs w:val="14"/>
                <w:b w:val="1"/>
                <w:bCs w:val="1"/>
                <w:color w:val="auto"/>
              </w:rPr>
              <w:t>Investment</w:t>
            </w:r>
          </w:p>
        </w:tc>
        <w:tc>
          <w:tcPr>
            <w:tcW w:w="10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Rate</w:t>
            </w: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Date</w:t>
            </w:r>
          </w:p>
        </w:tc>
        <w:tc>
          <w:tcPr>
            <w:tcW w:w="1000" w:type="dxa"/>
            <w:vAlign w:val="bottom"/>
            <w:gridSpan w:val="2"/>
          </w:tcPr>
          <w:p>
            <w:pPr>
              <w:jc w:val="center"/>
              <w:ind w:right="380"/>
              <w:spacing w:after="0" w:line="162" w:lineRule="exact"/>
              <w:rPr>
                <w:sz w:val="20"/>
                <w:szCs w:val="20"/>
                <w:color w:val="auto"/>
              </w:rPr>
            </w:pPr>
            <w:r>
              <w:rPr>
                <w:rFonts w:ascii="Arial" w:cs="Arial" w:eastAsia="Arial" w:hAnsi="Arial"/>
                <w:sz w:val="12"/>
                <w:szCs w:val="12"/>
                <w:b w:val="1"/>
                <w:bCs w:val="1"/>
                <w:color w:val="auto"/>
                <w:w w:val="93"/>
              </w:rPr>
              <w:t xml:space="preserve">Cost </w:t>
            </w:r>
            <w:r>
              <w:rPr>
                <w:rFonts w:ascii="Arial" w:cs="Arial" w:eastAsia="Arial" w:hAnsi="Arial"/>
                <w:sz w:val="18"/>
                <w:szCs w:val="18"/>
                <w:b w:val="1"/>
                <w:bCs w:val="1"/>
                <w:color w:val="auto"/>
                <w:w w:val="93"/>
                <w:vertAlign w:val="superscript"/>
              </w:rPr>
              <w:t>(2)</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6"/>
              </w:rPr>
              <w:t>Fair Value</w:t>
            </w:r>
          </w:p>
        </w:tc>
        <w:tc>
          <w:tcPr>
            <w:tcW w:w="3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22"/>
        </w:trPr>
        <w:tc>
          <w:tcPr>
            <w:tcW w:w="364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Debt Investments</w:t>
            </w:r>
          </w:p>
        </w:tc>
        <w:tc>
          <w:tcPr>
            <w:tcW w:w="1060" w:type="dxa"/>
            <w:vAlign w:val="bottom"/>
            <w:tcBorders>
              <w:top w:val="single" w:sz="8" w:color="CCEEFF"/>
            </w:tcBorders>
            <w:shd w:val="clear" w:color="auto" w:fill="CCEEFF"/>
          </w:tcPr>
          <w:p>
            <w:pPr>
              <w:spacing w:after="0"/>
              <w:rPr>
                <w:sz w:val="10"/>
                <w:szCs w:val="10"/>
                <w:color w:val="auto"/>
              </w:rPr>
            </w:pPr>
          </w:p>
        </w:tc>
        <w:tc>
          <w:tcPr>
            <w:tcW w:w="15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880" w:type="dxa"/>
            <w:vAlign w:val="bottom"/>
          </w:tcPr>
          <w:p>
            <w:pPr>
              <w:ind w:left="240"/>
              <w:spacing w:after="0"/>
              <w:rPr>
                <w:sz w:val="20"/>
                <w:szCs w:val="20"/>
                <w:color w:val="auto"/>
              </w:rPr>
            </w:pPr>
            <w:r>
              <w:rPr>
                <w:rFonts w:ascii="Arial" w:cs="Arial" w:eastAsia="Arial" w:hAnsi="Arial"/>
                <w:sz w:val="14"/>
                <w:szCs w:val="14"/>
                <w:b w:val="1"/>
                <w:bCs w:val="1"/>
                <w:color w:val="auto"/>
              </w:rPr>
              <w:t>Aerospace and defense</w:t>
            </w: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 xml:space="preserve">MSC.Software Corporation </w:t>
            </w:r>
            <w:r>
              <w:rPr>
                <w:rFonts w:ascii="Arial" w:cs="Arial" w:eastAsia="Arial" w:hAnsi="Arial"/>
                <w:sz w:val="16"/>
                <w:szCs w:val="16"/>
                <w:color w:val="auto"/>
                <w:vertAlign w:val="superscript"/>
              </w:rPr>
              <w:t>(3)(4)(5)</w:t>
            </w:r>
          </w:p>
        </w:tc>
        <w:tc>
          <w:tcPr>
            <w:tcW w:w="2820" w:type="dxa"/>
            <w:vAlign w:val="bottom"/>
            <w:gridSpan w:val="3"/>
            <w:shd w:val="clear" w:color="auto" w:fill="CCEEFF"/>
          </w:tcPr>
          <w:p>
            <w:pPr>
              <w:ind w:left="1060"/>
              <w:spacing w:after="0" w:line="139" w:lineRule="exact"/>
              <w:rPr>
                <w:sz w:val="20"/>
                <w:szCs w:val="20"/>
                <w:color w:val="auto"/>
              </w:rPr>
            </w:pPr>
            <w:r>
              <w:rPr>
                <w:rFonts w:ascii="Arial" w:cs="Arial" w:eastAsia="Arial" w:hAnsi="Arial"/>
                <w:sz w:val="14"/>
                <w:szCs w:val="14"/>
                <w:color w:val="auto"/>
              </w:rPr>
              <w:t>First-lien loan ($56,266 par,</w:t>
            </w: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820" w:type="dxa"/>
            <w:vAlign w:val="bottom"/>
            <w:gridSpan w:val="3"/>
            <w:shd w:val="clear" w:color="auto" w:fill="CCEEFF"/>
          </w:tcPr>
          <w:p>
            <w:pPr>
              <w:ind w:left="1060"/>
              <w:spacing w:after="0" w:line="159" w:lineRule="exact"/>
              <w:rPr>
                <w:sz w:val="20"/>
                <w:szCs w:val="20"/>
                <w:color w:val="auto"/>
              </w:rPr>
            </w:pPr>
            <w:r>
              <w:rPr>
                <w:rFonts w:ascii="Arial" w:cs="Arial" w:eastAsia="Arial" w:hAnsi="Arial"/>
                <w:sz w:val="14"/>
                <w:szCs w:val="14"/>
                <w:color w:val="auto"/>
              </w:rPr>
              <w:t>due 11/2017)</w:t>
            </w: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7.75%</w:t>
            </w:r>
          </w:p>
        </w:tc>
        <w:tc>
          <w:tcPr>
            <w:tcW w:w="10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w w:val="91"/>
              </w:rPr>
              <w:t>12/23/2011</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   55,423</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   55,984</w:t>
            </w:r>
          </w:p>
        </w:tc>
        <w:tc>
          <w:tcPr>
            <w:tcW w:w="12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2880" w:type="dxa"/>
            <w:vAlign w:val="bottom"/>
          </w:tcPr>
          <w:p>
            <w:pPr>
              <w:ind w:left="240"/>
              <w:spacing w:after="0"/>
              <w:rPr>
                <w:sz w:val="20"/>
                <w:szCs w:val="20"/>
                <w:color w:val="auto"/>
              </w:rPr>
            </w:pPr>
            <w:r>
              <w:rPr>
                <w:rFonts w:ascii="Arial" w:cs="Arial" w:eastAsia="Arial" w:hAnsi="Arial"/>
                <w:sz w:val="14"/>
                <w:szCs w:val="14"/>
                <w:b w:val="1"/>
                <w:bCs w:val="1"/>
                <w:color w:val="auto"/>
              </w:rPr>
              <w:t>Automotive</w:t>
            </w: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Heartland Automotive Holdings, LLC </w:t>
            </w:r>
            <w:r>
              <w:rPr>
                <w:rFonts w:ascii="Arial" w:cs="Arial" w:eastAsia="Arial" w:hAnsi="Arial"/>
                <w:sz w:val="15"/>
                <w:szCs w:val="15"/>
                <w:color w:val="auto"/>
                <w:vertAlign w:val="superscript"/>
              </w:rPr>
              <w:t>(3)(5)</w:t>
            </w:r>
          </w:p>
        </w:tc>
        <w:tc>
          <w:tcPr>
            <w:tcW w:w="2820" w:type="dxa"/>
            <w:vAlign w:val="bottom"/>
            <w:gridSpan w:val="3"/>
            <w:shd w:val="clear" w:color="auto" w:fill="CCEEFF"/>
          </w:tcPr>
          <w:p>
            <w:pPr>
              <w:ind w:left="1060"/>
              <w:spacing w:after="0" w:line="138" w:lineRule="exact"/>
              <w:rPr>
                <w:sz w:val="20"/>
                <w:szCs w:val="20"/>
                <w:color w:val="auto"/>
              </w:rPr>
            </w:pPr>
            <w:r>
              <w:rPr>
                <w:rFonts w:ascii="Arial" w:cs="Arial" w:eastAsia="Arial" w:hAnsi="Arial"/>
                <w:sz w:val="14"/>
                <w:szCs w:val="14"/>
                <w:color w:val="auto"/>
              </w:rPr>
              <w:t>First-lien loan ($38,951 par,</w:t>
            </w: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820" w:type="dxa"/>
            <w:vAlign w:val="bottom"/>
            <w:gridSpan w:val="3"/>
            <w:shd w:val="clear" w:color="auto" w:fill="CCEEFF"/>
          </w:tcPr>
          <w:p>
            <w:pPr>
              <w:ind w:left="1060"/>
              <w:spacing w:after="0" w:line="159" w:lineRule="exact"/>
              <w:rPr>
                <w:sz w:val="20"/>
                <w:szCs w:val="20"/>
                <w:color w:val="auto"/>
              </w:rPr>
            </w:pPr>
            <w:r>
              <w:rPr>
                <w:rFonts w:ascii="Arial" w:cs="Arial" w:eastAsia="Arial" w:hAnsi="Arial"/>
                <w:sz w:val="14"/>
                <w:szCs w:val="14"/>
                <w:color w:val="auto"/>
              </w:rPr>
              <w:t>due 6/2017)</w:t>
            </w: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9.00%</w:t>
            </w:r>
          </w:p>
        </w:tc>
        <w:tc>
          <w:tcPr>
            <w:tcW w:w="10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8/28/2012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37,998</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38,075</w:t>
            </w:r>
          </w:p>
        </w:tc>
        <w:tc>
          <w:tcPr>
            <w:tcW w:w="12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8"/>
        </w:trPr>
        <w:tc>
          <w:tcPr>
            <w:tcW w:w="7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820" w:type="dxa"/>
            <w:vAlign w:val="bottom"/>
            <w:gridSpan w:val="3"/>
          </w:tcPr>
          <w:p>
            <w:pPr>
              <w:ind w:left="1060"/>
              <w:spacing w:after="0" w:line="138" w:lineRule="exact"/>
              <w:rPr>
                <w:sz w:val="20"/>
                <w:szCs w:val="20"/>
                <w:color w:val="auto"/>
              </w:rPr>
            </w:pPr>
            <w:r>
              <w:rPr>
                <w:rFonts w:ascii="Arial" w:cs="Arial" w:eastAsia="Arial" w:hAnsi="Arial"/>
                <w:sz w:val="14"/>
                <w:szCs w:val="14"/>
                <w:color w:val="auto"/>
              </w:rPr>
              <w:t>First-lien revolving loan</w:t>
            </w: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820" w:type="dxa"/>
            <w:vAlign w:val="bottom"/>
            <w:gridSpan w:val="3"/>
          </w:tcPr>
          <w:p>
            <w:pPr>
              <w:ind w:left="1060"/>
              <w:spacing w:after="0" w:line="159" w:lineRule="exact"/>
              <w:rPr>
                <w:sz w:val="20"/>
                <w:szCs w:val="20"/>
                <w:color w:val="auto"/>
              </w:rPr>
            </w:pPr>
            <w:r>
              <w:rPr>
                <w:rFonts w:ascii="Arial" w:cs="Arial" w:eastAsia="Arial" w:hAnsi="Arial"/>
                <w:sz w:val="14"/>
                <w:szCs w:val="14"/>
                <w:color w:val="auto"/>
              </w:rPr>
              <w:t>($555 par, due 6/2017)</w:t>
            </w:r>
          </w:p>
        </w:tc>
        <w:tc>
          <w:tcPr>
            <w:tcW w:w="10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10.00%</w:t>
            </w:r>
          </w:p>
        </w:tc>
        <w:tc>
          <w:tcPr>
            <w:tcW w:w="10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8/28/2012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413</w:t>
            </w:r>
          </w:p>
        </w:tc>
        <w:tc>
          <w:tcPr>
            <w:tcW w:w="3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431</w:t>
            </w:r>
          </w:p>
        </w:tc>
        <w:tc>
          <w:tcPr>
            <w:tcW w:w="12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8"/>
        </w:trPr>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Sage Automotive Interiors, Inc. </w:t>
            </w:r>
            <w:r>
              <w:rPr>
                <w:rFonts w:ascii="Arial" w:cs="Arial" w:eastAsia="Arial" w:hAnsi="Arial"/>
                <w:sz w:val="15"/>
                <w:szCs w:val="15"/>
                <w:color w:val="auto"/>
                <w:vertAlign w:val="superscript"/>
              </w:rPr>
              <w:t>(3)(4)(5)</w:t>
            </w:r>
          </w:p>
        </w:tc>
        <w:tc>
          <w:tcPr>
            <w:tcW w:w="2820" w:type="dxa"/>
            <w:vAlign w:val="bottom"/>
            <w:gridSpan w:val="3"/>
            <w:shd w:val="clear" w:color="auto" w:fill="CCEEFF"/>
          </w:tcPr>
          <w:p>
            <w:pPr>
              <w:ind w:left="1060"/>
              <w:spacing w:after="0" w:line="138" w:lineRule="exact"/>
              <w:rPr>
                <w:sz w:val="20"/>
                <w:szCs w:val="20"/>
                <w:color w:val="auto"/>
              </w:rPr>
            </w:pPr>
            <w:r>
              <w:rPr>
                <w:rFonts w:ascii="Arial" w:cs="Arial" w:eastAsia="Arial" w:hAnsi="Arial"/>
                <w:sz w:val="14"/>
                <w:szCs w:val="14"/>
                <w:color w:val="auto"/>
              </w:rPr>
              <w:t>First-lien loan ($19,878 par,</w:t>
            </w: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820" w:type="dxa"/>
            <w:vAlign w:val="bottom"/>
            <w:gridSpan w:val="3"/>
            <w:shd w:val="clear" w:color="auto" w:fill="CCEEFF"/>
          </w:tcPr>
          <w:p>
            <w:pPr>
              <w:ind w:left="1060"/>
              <w:spacing w:after="0" w:line="159" w:lineRule="exact"/>
              <w:rPr>
                <w:sz w:val="20"/>
                <w:szCs w:val="20"/>
                <w:color w:val="auto"/>
              </w:rPr>
            </w:pPr>
            <w:r>
              <w:rPr>
                <w:rFonts w:ascii="Arial" w:cs="Arial" w:eastAsia="Arial" w:hAnsi="Arial"/>
                <w:sz w:val="14"/>
                <w:szCs w:val="14"/>
                <w:color w:val="auto"/>
              </w:rPr>
              <w:t>due 12/2016)</w:t>
            </w: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9.50%</w:t>
            </w:r>
          </w:p>
        </w:tc>
        <w:tc>
          <w:tcPr>
            <w:tcW w:w="10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w w:val="91"/>
              </w:rPr>
              <w:t>12/31/2012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19,717</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19,679</w:t>
            </w:r>
          </w:p>
        </w:tc>
        <w:tc>
          <w:tcPr>
            <w:tcW w:w="3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58,128</w:t>
            </w: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58,185</w:t>
            </w:r>
          </w:p>
        </w:tc>
        <w:tc>
          <w:tcPr>
            <w:tcW w:w="36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Beverage, food and tobacco</w:t>
            </w:r>
          </w:p>
        </w:tc>
        <w:tc>
          <w:tcPr>
            <w:tcW w:w="10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AFS Technologies, Inc. </w:t>
            </w:r>
            <w:r>
              <w:rPr>
                <w:rFonts w:ascii="Arial" w:cs="Arial" w:eastAsia="Arial" w:hAnsi="Arial"/>
                <w:sz w:val="15"/>
                <w:szCs w:val="15"/>
                <w:color w:val="auto"/>
                <w:vertAlign w:val="superscript"/>
              </w:rPr>
              <w:t>(3)(4)(5)</w:t>
            </w:r>
          </w:p>
        </w:tc>
        <w:tc>
          <w:tcPr>
            <w:tcW w:w="2820" w:type="dxa"/>
            <w:vAlign w:val="bottom"/>
            <w:gridSpan w:val="3"/>
          </w:tcPr>
          <w:p>
            <w:pPr>
              <w:ind w:left="1060"/>
              <w:spacing w:after="0" w:line="138" w:lineRule="exact"/>
              <w:rPr>
                <w:sz w:val="20"/>
                <w:szCs w:val="20"/>
                <w:color w:val="auto"/>
              </w:rPr>
            </w:pPr>
            <w:r>
              <w:rPr>
                <w:rFonts w:ascii="Arial" w:cs="Arial" w:eastAsia="Arial" w:hAnsi="Arial"/>
                <w:sz w:val="14"/>
                <w:szCs w:val="14"/>
                <w:color w:val="auto"/>
              </w:rPr>
              <w:t>First-lien loan ($46,884</w:t>
            </w: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820" w:type="dxa"/>
            <w:vAlign w:val="bottom"/>
            <w:gridSpan w:val="3"/>
          </w:tcPr>
          <w:p>
            <w:pPr>
              <w:ind w:left="1060"/>
              <w:spacing w:after="0" w:line="159" w:lineRule="exact"/>
              <w:rPr>
                <w:sz w:val="20"/>
                <w:szCs w:val="20"/>
                <w:color w:val="auto"/>
              </w:rPr>
            </w:pPr>
            <w:r>
              <w:rPr>
                <w:rFonts w:ascii="Arial" w:cs="Arial" w:eastAsia="Arial" w:hAnsi="Arial"/>
                <w:sz w:val="14"/>
                <w:szCs w:val="14"/>
                <w:color w:val="auto"/>
              </w:rPr>
              <w:t>par, due 8/2015)</w:t>
            </w:r>
          </w:p>
        </w:tc>
        <w:tc>
          <w:tcPr>
            <w:tcW w:w="10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7.75%</w:t>
            </w:r>
          </w:p>
        </w:tc>
        <w:tc>
          <w:tcPr>
            <w:tcW w:w="10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8/31/2011</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45,987</w:t>
            </w:r>
          </w:p>
        </w:tc>
        <w:tc>
          <w:tcPr>
            <w:tcW w:w="3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46,532</w:t>
            </w:r>
          </w:p>
        </w:tc>
        <w:tc>
          <w:tcPr>
            <w:tcW w:w="12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22"/>
        </w:trPr>
        <w:tc>
          <w:tcPr>
            <w:tcW w:w="364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Checkers Drive-In Restaurants,</w:t>
            </w:r>
          </w:p>
        </w:tc>
        <w:tc>
          <w:tcPr>
            <w:tcW w:w="2820" w:type="dxa"/>
            <w:vAlign w:val="bottom"/>
            <w:gridSpan w:val="3"/>
            <w:shd w:val="clear" w:color="auto" w:fill="CCEEFF"/>
          </w:tcPr>
          <w:p>
            <w:pPr>
              <w:ind w:left="1060"/>
              <w:spacing w:after="0" w:line="122" w:lineRule="exact"/>
              <w:rPr>
                <w:sz w:val="20"/>
                <w:szCs w:val="20"/>
                <w:color w:val="auto"/>
              </w:rPr>
            </w:pPr>
            <w:r>
              <w:rPr>
                <w:rFonts w:ascii="Arial" w:cs="Arial" w:eastAsia="Arial" w:hAnsi="Arial"/>
                <w:sz w:val="14"/>
                <w:szCs w:val="14"/>
                <w:color w:val="auto"/>
              </w:rPr>
              <w:t>Second-lien bond ($10,000</w:t>
            </w: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6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3"/>
                <w:szCs w:val="13"/>
                <w:color w:val="auto"/>
              </w:rPr>
              <w:t xml:space="preserve">Inc. </w:t>
            </w:r>
            <w:r>
              <w:rPr>
                <w:rFonts w:ascii="Arial" w:cs="Arial" w:eastAsia="Arial" w:hAnsi="Arial"/>
                <w:sz w:val="20"/>
                <w:szCs w:val="20"/>
                <w:color w:val="auto"/>
                <w:vertAlign w:val="superscript"/>
              </w:rPr>
              <w:t>(5)</w:t>
            </w:r>
          </w:p>
        </w:tc>
        <w:tc>
          <w:tcPr>
            <w:tcW w:w="2820" w:type="dxa"/>
            <w:vAlign w:val="bottom"/>
            <w:gridSpan w:val="3"/>
            <w:shd w:val="clear" w:color="auto" w:fill="CCEEFF"/>
          </w:tcPr>
          <w:p>
            <w:pPr>
              <w:ind w:left="1060"/>
              <w:spacing w:after="0"/>
              <w:rPr>
                <w:sz w:val="20"/>
                <w:szCs w:val="20"/>
                <w:color w:val="auto"/>
              </w:rPr>
            </w:pPr>
            <w:r>
              <w:rPr>
                <w:rFonts w:ascii="Arial" w:cs="Arial" w:eastAsia="Arial" w:hAnsi="Arial"/>
                <w:sz w:val="14"/>
                <w:szCs w:val="14"/>
                <w:color w:val="auto"/>
              </w:rPr>
              <w:t>par, due 12/2017)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11.00%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w w:val="91"/>
              </w:rPr>
              <w:t>11/16/2012</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10,017</w:t>
            </w: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10,025</w:t>
            </w: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56,004</w:t>
            </w: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56,557</w:t>
            </w:r>
          </w:p>
        </w:tc>
        <w:tc>
          <w:tcPr>
            <w:tcW w:w="36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Business services</w:t>
            </w:r>
          </w:p>
        </w:tc>
        <w:tc>
          <w:tcPr>
            <w:tcW w:w="10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Consona Holdings, Inc. </w:t>
            </w:r>
            <w:r>
              <w:rPr>
                <w:rFonts w:ascii="Arial" w:cs="Arial" w:eastAsia="Arial" w:hAnsi="Arial"/>
                <w:sz w:val="15"/>
                <w:szCs w:val="15"/>
                <w:color w:val="auto"/>
                <w:vertAlign w:val="superscript"/>
              </w:rPr>
              <w:t>(3)(5)</w:t>
            </w:r>
          </w:p>
        </w:tc>
        <w:tc>
          <w:tcPr>
            <w:tcW w:w="2820" w:type="dxa"/>
            <w:vAlign w:val="bottom"/>
            <w:gridSpan w:val="3"/>
          </w:tcPr>
          <w:p>
            <w:pPr>
              <w:ind w:left="1060"/>
              <w:spacing w:after="0" w:line="138" w:lineRule="exact"/>
              <w:rPr>
                <w:sz w:val="20"/>
                <w:szCs w:val="20"/>
                <w:color w:val="auto"/>
              </w:rPr>
            </w:pPr>
            <w:r>
              <w:rPr>
                <w:rFonts w:ascii="Arial" w:cs="Arial" w:eastAsia="Arial" w:hAnsi="Arial"/>
                <w:sz w:val="14"/>
                <w:szCs w:val="14"/>
                <w:color w:val="auto"/>
              </w:rPr>
              <w:t>First-lien loan ($29,925 par,</w:t>
            </w: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820" w:type="dxa"/>
            <w:vAlign w:val="bottom"/>
            <w:gridSpan w:val="3"/>
          </w:tcPr>
          <w:p>
            <w:pPr>
              <w:ind w:left="1060"/>
              <w:spacing w:after="0" w:line="159" w:lineRule="exact"/>
              <w:rPr>
                <w:sz w:val="20"/>
                <w:szCs w:val="20"/>
                <w:color w:val="auto"/>
              </w:rPr>
            </w:pPr>
            <w:r>
              <w:rPr>
                <w:rFonts w:ascii="Arial" w:cs="Arial" w:eastAsia="Arial" w:hAnsi="Arial"/>
                <w:sz w:val="14"/>
                <w:szCs w:val="14"/>
                <w:color w:val="auto"/>
              </w:rPr>
              <w:t>due 8/2018)</w:t>
            </w:r>
          </w:p>
        </w:tc>
        <w:tc>
          <w:tcPr>
            <w:tcW w:w="10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7.25%</w:t>
            </w:r>
          </w:p>
        </w:tc>
        <w:tc>
          <w:tcPr>
            <w:tcW w:w="10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8/13/2012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29,514</w:t>
            </w:r>
          </w:p>
        </w:tc>
        <w:tc>
          <w:tcPr>
            <w:tcW w:w="3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29,925</w:t>
            </w:r>
          </w:p>
        </w:tc>
        <w:tc>
          <w:tcPr>
            <w:tcW w:w="12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8"/>
        </w:trPr>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Attachmate Corporation </w:t>
            </w:r>
            <w:r>
              <w:rPr>
                <w:rFonts w:ascii="Arial" w:cs="Arial" w:eastAsia="Arial" w:hAnsi="Arial"/>
                <w:sz w:val="15"/>
                <w:szCs w:val="15"/>
                <w:color w:val="auto"/>
                <w:vertAlign w:val="superscript"/>
              </w:rPr>
              <w:t>(3)(5)</w:t>
            </w:r>
          </w:p>
        </w:tc>
        <w:tc>
          <w:tcPr>
            <w:tcW w:w="2820" w:type="dxa"/>
            <w:vAlign w:val="bottom"/>
            <w:gridSpan w:val="3"/>
            <w:shd w:val="clear" w:color="auto" w:fill="CCEEFF"/>
          </w:tcPr>
          <w:p>
            <w:pPr>
              <w:ind w:left="1060"/>
              <w:spacing w:after="0" w:line="138" w:lineRule="exact"/>
              <w:rPr>
                <w:sz w:val="20"/>
                <w:szCs w:val="20"/>
                <w:color w:val="auto"/>
              </w:rPr>
            </w:pPr>
            <w:r>
              <w:rPr>
                <w:rFonts w:ascii="Arial" w:cs="Arial" w:eastAsia="Arial" w:hAnsi="Arial"/>
                <w:sz w:val="14"/>
                <w:szCs w:val="14"/>
                <w:color w:val="auto"/>
              </w:rPr>
              <w:t>First-lien loan ($926 par,</w:t>
            </w: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820" w:type="dxa"/>
            <w:vAlign w:val="bottom"/>
            <w:gridSpan w:val="3"/>
            <w:shd w:val="clear" w:color="auto" w:fill="CCEEFF"/>
          </w:tcPr>
          <w:p>
            <w:pPr>
              <w:ind w:left="1060"/>
              <w:spacing w:after="0" w:line="159" w:lineRule="exact"/>
              <w:rPr>
                <w:sz w:val="20"/>
                <w:szCs w:val="20"/>
                <w:color w:val="auto"/>
              </w:rPr>
            </w:pPr>
            <w:r>
              <w:rPr>
                <w:rFonts w:ascii="Arial" w:cs="Arial" w:eastAsia="Arial" w:hAnsi="Arial"/>
                <w:sz w:val="14"/>
                <w:szCs w:val="14"/>
                <w:color w:val="auto"/>
              </w:rPr>
              <w:t>due 11/2017)</w:t>
            </w: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7.25%</w:t>
            </w:r>
          </w:p>
        </w:tc>
        <w:tc>
          <w:tcPr>
            <w:tcW w:w="10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6/25/2012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944</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894</w:t>
            </w:r>
          </w:p>
        </w:tc>
        <w:tc>
          <w:tcPr>
            <w:tcW w:w="3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30,458</w:t>
            </w: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30,819</w:t>
            </w:r>
          </w:p>
        </w:tc>
        <w:tc>
          <w:tcPr>
            <w:tcW w:w="36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Capital equipment</w:t>
            </w:r>
          </w:p>
        </w:tc>
        <w:tc>
          <w:tcPr>
            <w:tcW w:w="10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Federal Signal Corporation </w:t>
            </w:r>
            <w:r>
              <w:rPr>
                <w:rFonts w:ascii="Arial" w:cs="Arial" w:eastAsia="Arial" w:hAnsi="Arial"/>
                <w:sz w:val="15"/>
                <w:szCs w:val="15"/>
                <w:color w:val="auto"/>
                <w:vertAlign w:val="superscript"/>
              </w:rPr>
              <w:t>(3)(5)</w:t>
            </w:r>
          </w:p>
        </w:tc>
        <w:tc>
          <w:tcPr>
            <w:tcW w:w="2820" w:type="dxa"/>
            <w:vAlign w:val="bottom"/>
            <w:gridSpan w:val="3"/>
          </w:tcPr>
          <w:p>
            <w:pPr>
              <w:ind w:left="1060"/>
              <w:spacing w:after="0" w:line="138" w:lineRule="exact"/>
              <w:rPr>
                <w:sz w:val="20"/>
                <w:szCs w:val="20"/>
                <w:color w:val="auto"/>
              </w:rPr>
            </w:pPr>
            <w:r>
              <w:rPr>
                <w:rFonts w:ascii="Arial" w:cs="Arial" w:eastAsia="Arial" w:hAnsi="Arial"/>
                <w:sz w:val="14"/>
                <w:szCs w:val="14"/>
                <w:color w:val="auto"/>
              </w:rPr>
              <w:t>First-lien loan ($41,608 par,</w:t>
            </w: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820" w:type="dxa"/>
            <w:vAlign w:val="bottom"/>
            <w:gridSpan w:val="3"/>
          </w:tcPr>
          <w:p>
            <w:pPr>
              <w:ind w:left="1060"/>
              <w:spacing w:after="0" w:line="159" w:lineRule="exact"/>
              <w:rPr>
                <w:sz w:val="20"/>
                <w:szCs w:val="20"/>
                <w:color w:val="auto"/>
              </w:rPr>
            </w:pPr>
            <w:r>
              <w:rPr>
                <w:rFonts w:ascii="Arial" w:cs="Arial" w:eastAsia="Arial" w:hAnsi="Arial"/>
                <w:sz w:val="14"/>
                <w:szCs w:val="14"/>
                <w:color w:val="auto"/>
              </w:rPr>
              <w:t>due 2/2017)</w:t>
            </w:r>
          </w:p>
        </w:tc>
        <w:tc>
          <w:tcPr>
            <w:tcW w:w="10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12.00%</w:t>
            </w:r>
          </w:p>
        </w:tc>
        <w:tc>
          <w:tcPr>
            <w:tcW w:w="10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2/22/2012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40,897</w:t>
            </w:r>
          </w:p>
        </w:tc>
        <w:tc>
          <w:tcPr>
            <w:tcW w:w="3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43,064</w:t>
            </w:r>
          </w:p>
        </w:tc>
        <w:tc>
          <w:tcPr>
            <w:tcW w:w="12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22"/>
        </w:trPr>
        <w:tc>
          <w:tcPr>
            <w:tcW w:w="364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International Equipment Solutions,</w:t>
            </w:r>
          </w:p>
        </w:tc>
        <w:tc>
          <w:tcPr>
            <w:tcW w:w="2820" w:type="dxa"/>
            <w:vAlign w:val="bottom"/>
            <w:gridSpan w:val="3"/>
            <w:shd w:val="clear" w:color="auto" w:fill="CCEEFF"/>
          </w:tcPr>
          <w:p>
            <w:pPr>
              <w:ind w:left="1060"/>
              <w:spacing w:after="0" w:line="122" w:lineRule="exact"/>
              <w:rPr>
                <w:sz w:val="20"/>
                <w:szCs w:val="20"/>
                <w:color w:val="auto"/>
              </w:rPr>
            </w:pPr>
            <w:r>
              <w:rPr>
                <w:rFonts w:ascii="Arial" w:cs="Arial" w:eastAsia="Arial" w:hAnsi="Arial"/>
                <w:sz w:val="14"/>
                <w:szCs w:val="14"/>
                <w:color w:val="auto"/>
              </w:rPr>
              <w:t>First-lien loan ($29,391 par,</w:t>
            </w: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6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20"/>
                <w:szCs w:val="20"/>
                <w:color w:val="auto"/>
                <w:vertAlign w:val="subscript"/>
              </w:rPr>
              <w:t>Inc.</w:t>
            </w:r>
            <w:r>
              <w:rPr>
                <w:rFonts w:ascii="Arial" w:cs="Arial" w:eastAsia="Arial" w:hAnsi="Arial"/>
                <w:sz w:val="9"/>
                <w:szCs w:val="9"/>
                <w:color w:val="auto"/>
              </w:rPr>
              <w:t xml:space="preserve"> (3)(5)</w:t>
            </w:r>
          </w:p>
        </w:tc>
        <w:tc>
          <w:tcPr>
            <w:tcW w:w="2820" w:type="dxa"/>
            <w:vAlign w:val="bottom"/>
            <w:gridSpan w:val="3"/>
            <w:shd w:val="clear" w:color="auto" w:fill="CCEEFF"/>
          </w:tcPr>
          <w:p>
            <w:pPr>
              <w:ind w:left="1060"/>
              <w:spacing w:after="0"/>
              <w:rPr>
                <w:sz w:val="20"/>
                <w:szCs w:val="20"/>
                <w:color w:val="auto"/>
              </w:rPr>
            </w:pPr>
            <w:r>
              <w:rPr>
                <w:rFonts w:ascii="Arial" w:cs="Arial" w:eastAsia="Arial" w:hAnsi="Arial"/>
                <w:sz w:val="14"/>
                <w:szCs w:val="14"/>
                <w:color w:val="auto"/>
              </w:rPr>
              <w:t>due 9/2016)</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8.50%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9/18/2012</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28,732</w:t>
            </w: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28,876</w:t>
            </w: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69,629</w:t>
            </w: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71,940</w:t>
            </w:r>
          </w:p>
        </w:tc>
        <w:tc>
          <w:tcPr>
            <w:tcW w:w="36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Construction and building</w:t>
            </w:r>
          </w:p>
        </w:tc>
        <w:tc>
          <w:tcPr>
            <w:tcW w:w="10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Mannington Mills, Inc. </w:t>
            </w:r>
            <w:r>
              <w:rPr>
                <w:rFonts w:ascii="Arial" w:cs="Arial" w:eastAsia="Arial" w:hAnsi="Arial"/>
                <w:sz w:val="15"/>
                <w:szCs w:val="15"/>
                <w:color w:val="auto"/>
                <w:vertAlign w:val="superscript"/>
              </w:rPr>
              <w:t>(3)(5)</w:t>
            </w:r>
          </w:p>
        </w:tc>
        <w:tc>
          <w:tcPr>
            <w:tcW w:w="10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14.00%</w:t>
            </w: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820" w:type="dxa"/>
            <w:vAlign w:val="bottom"/>
            <w:gridSpan w:val="3"/>
          </w:tcPr>
          <w:p>
            <w:pPr>
              <w:ind w:left="1060"/>
              <w:spacing w:after="0" w:line="149" w:lineRule="exact"/>
              <w:rPr>
                <w:sz w:val="20"/>
                <w:szCs w:val="20"/>
                <w:color w:val="auto"/>
              </w:rPr>
            </w:pPr>
            <w:r>
              <w:rPr>
                <w:rFonts w:ascii="Arial" w:cs="Arial" w:eastAsia="Arial" w:hAnsi="Arial"/>
                <w:sz w:val="14"/>
                <w:szCs w:val="14"/>
                <w:color w:val="auto"/>
              </w:rPr>
              <w:t>Second-lien loan ($50,537</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2"/>
              </w:rPr>
              <w:t>(incl. 2.00%</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820" w:type="dxa"/>
            <w:vAlign w:val="bottom"/>
            <w:gridSpan w:val="3"/>
          </w:tcPr>
          <w:p>
            <w:pPr>
              <w:ind w:left="1060"/>
              <w:spacing w:after="0"/>
              <w:rPr>
                <w:sz w:val="20"/>
                <w:szCs w:val="20"/>
                <w:color w:val="auto"/>
              </w:rPr>
            </w:pPr>
            <w:r>
              <w:rPr>
                <w:rFonts w:ascii="Arial" w:cs="Arial" w:eastAsia="Arial" w:hAnsi="Arial"/>
                <w:sz w:val="14"/>
                <w:szCs w:val="14"/>
                <w:color w:val="auto"/>
              </w:rPr>
              <w:t>par, due 3/2017)</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PIK)</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3/2/2012</w:t>
            </w:r>
          </w:p>
        </w:tc>
        <w:tc>
          <w:tcPr>
            <w:tcW w:w="620" w:type="dxa"/>
            <w:vAlign w:val="bottom"/>
          </w:tcPr>
          <w:p>
            <w:pPr>
              <w:jc w:val="right"/>
              <w:spacing w:after="0"/>
              <w:rPr>
                <w:sz w:val="20"/>
                <w:szCs w:val="20"/>
                <w:color w:val="auto"/>
              </w:rPr>
            </w:pPr>
            <w:r>
              <w:rPr>
                <w:rFonts w:ascii="Arial" w:cs="Arial" w:eastAsia="Arial" w:hAnsi="Arial"/>
                <w:sz w:val="14"/>
                <w:szCs w:val="14"/>
                <w:color w:val="auto"/>
              </w:rPr>
              <w:t>49,551</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53,190</w:t>
            </w:r>
          </w:p>
        </w:tc>
        <w:tc>
          <w:tcPr>
            <w:tcW w:w="1260" w:type="dxa"/>
            <w:vAlign w:val="bottom"/>
            <w:gridSpan w:val="3"/>
          </w:tcPr>
          <w:p>
            <w:pPr>
              <w:jc w:val="right"/>
              <w:ind w:right="40"/>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Environmental Services</w:t>
            </w:r>
          </w:p>
        </w:tc>
        <w:tc>
          <w:tcPr>
            <w:tcW w:w="10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Synagro Technologies, Inc. </w:t>
            </w:r>
            <w:r>
              <w:rPr>
                <w:rFonts w:ascii="Arial" w:cs="Arial" w:eastAsia="Arial" w:hAnsi="Arial"/>
                <w:sz w:val="15"/>
                <w:szCs w:val="15"/>
                <w:color w:val="auto"/>
                <w:vertAlign w:val="superscript"/>
              </w:rPr>
              <w:t>(3)</w:t>
            </w:r>
          </w:p>
        </w:tc>
        <w:tc>
          <w:tcPr>
            <w:tcW w:w="2820" w:type="dxa"/>
            <w:vAlign w:val="bottom"/>
            <w:gridSpan w:val="3"/>
          </w:tcPr>
          <w:p>
            <w:pPr>
              <w:ind w:left="1060"/>
              <w:spacing w:after="0" w:line="138" w:lineRule="exact"/>
              <w:rPr>
                <w:sz w:val="20"/>
                <w:szCs w:val="20"/>
                <w:color w:val="auto"/>
              </w:rPr>
            </w:pPr>
            <w:r>
              <w:rPr>
                <w:rFonts w:ascii="Arial" w:cs="Arial" w:eastAsia="Arial" w:hAnsi="Arial"/>
                <w:sz w:val="14"/>
                <w:szCs w:val="14"/>
                <w:color w:val="auto"/>
              </w:rPr>
              <w:t>First-lien loan ($3,134</w:t>
            </w: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820" w:type="dxa"/>
            <w:vAlign w:val="bottom"/>
            <w:gridSpan w:val="3"/>
          </w:tcPr>
          <w:p>
            <w:pPr>
              <w:ind w:left="1060"/>
              <w:spacing w:after="0" w:line="159" w:lineRule="exact"/>
              <w:rPr>
                <w:sz w:val="20"/>
                <w:szCs w:val="20"/>
                <w:color w:val="auto"/>
              </w:rPr>
            </w:pPr>
            <w:r>
              <w:rPr>
                <w:rFonts w:ascii="Arial" w:cs="Arial" w:eastAsia="Arial" w:hAnsi="Arial"/>
                <w:sz w:val="14"/>
                <w:szCs w:val="14"/>
                <w:color w:val="auto"/>
              </w:rPr>
              <w:t>par, due 10/2014)</w:t>
            </w:r>
          </w:p>
        </w:tc>
        <w:tc>
          <w:tcPr>
            <w:tcW w:w="10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2.31%</w:t>
            </w:r>
          </w:p>
        </w:tc>
        <w:tc>
          <w:tcPr>
            <w:tcW w:w="10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11/8/2012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2,759</w:t>
            </w:r>
          </w:p>
        </w:tc>
        <w:tc>
          <w:tcPr>
            <w:tcW w:w="3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2,813</w:t>
            </w:r>
          </w:p>
        </w:tc>
        <w:tc>
          <w:tcPr>
            <w:tcW w:w="12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8"/>
        </w:trPr>
        <w:tc>
          <w:tcPr>
            <w:tcW w:w="76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2820" w:type="dxa"/>
            <w:vAlign w:val="bottom"/>
            <w:gridSpan w:val="3"/>
            <w:shd w:val="clear" w:color="auto" w:fill="CCEEFF"/>
          </w:tcPr>
          <w:p>
            <w:pPr>
              <w:ind w:left="1060"/>
              <w:spacing w:after="0" w:line="138" w:lineRule="exact"/>
              <w:rPr>
                <w:sz w:val="20"/>
                <w:szCs w:val="20"/>
                <w:color w:val="auto"/>
              </w:rPr>
            </w:pPr>
            <w:r>
              <w:rPr>
                <w:rFonts w:ascii="Arial" w:cs="Arial" w:eastAsia="Arial" w:hAnsi="Arial"/>
                <w:sz w:val="14"/>
                <w:szCs w:val="14"/>
                <w:color w:val="auto"/>
              </w:rPr>
              <w:t>Second-lien loan ($5,670</w:t>
            </w: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820" w:type="dxa"/>
            <w:vAlign w:val="bottom"/>
            <w:gridSpan w:val="3"/>
            <w:shd w:val="clear" w:color="auto" w:fill="CCEEFF"/>
          </w:tcPr>
          <w:p>
            <w:pPr>
              <w:ind w:left="1060"/>
              <w:spacing w:after="0" w:line="159" w:lineRule="exact"/>
              <w:rPr>
                <w:sz w:val="20"/>
                <w:szCs w:val="20"/>
                <w:color w:val="auto"/>
              </w:rPr>
            </w:pPr>
            <w:r>
              <w:rPr>
                <w:rFonts w:ascii="Arial" w:cs="Arial" w:eastAsia="Arial" w:hAnsi="Arial"/>
                <w:sz w:val="14"/>
                <w:szCs w:val="14"/>
                <w:color w:val="auto"/>
              </w:rPr>
              <w:t>par, due 10/2014)</w:t>
            </w: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7.00%</w:t>
            </w:r>
          </w:p>
        </w:tc>
        <w:tc>
          <w:tcPr>
            <w:tcW w:w="10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9/14/2012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2,814</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1,517</w:t>
            </w:r>
          </w:p>
        </w:tc>
        <w:tc>
          <w:tcPr>
            <w:tcW w:w="3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5,573</w:t>
            </w:r>
          </w:p>
        </w:tc>
        <w:tc>
          <w:tcPr>
            <w:tcW w:w="3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4,330</w:t>
            </w:r>
          </w:p>
        </w:tc>
        <w:tc>
          <w:tcPr>
            <w:tcW w:w="360" w:type="dxa"/>
            <w:vAlign w:val="bottom"/>
          </w:tcPr>
          <w:p>
            <w:pPr>
              <w:spacing w:after="0"/>
              <w:rPr>
                <w:sz w:val="14"/>
                <w:szCs w:val="14"/>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Financial services</w:t>
            </w:r>
          </w:p>
        </w:tc>
        <w:tc>
          <w:tcPr>
            <w:tcW w:w="10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Embarcadero Technologies, Inc. </w:t>
            </w:r>
            <w:r>
              <w:rPr>
                <w:rFonts w:ascii="Arial" w:cs="Arial" w:eastAsia="Arial" w:hAnsi="Arial"/>
                <w:sz w:val="15"/>
                <w:szCs w:val="15"/>
                <w:color w:val="auto"/>
                <w:vertAlign w:val="superscript"/>
              </w:rPr>
              <w:t>(3)(4)(5)</w:t>
            </w:r>
          </w:p>
        </w:tc>
        <w:tc>
          <w:tcPr>
            <w:tcW w:w="2820" w:type="dxa"/>
            <w:vAlign w:val="bottom"/>
            <w:gridSpan w:val="3"/>
          </w:tcPr>
          <w:p>
            <w:pPr>
              <w:ind w:left="1060"/>
              <w:spacing w:after="0" w:line="138" w:lineRule="exact"/>
              <w:rPr>
                <w:sz w:val="20"/>
                <w:szCs w:val="20"/>
                <w:color w:val="auto"/>
              </w:rPr>
            </w:pPr>
            <w:r>
              <w:rPr>
                <w:rFonts w:ascii="Arial" w:cs="Arial" w:eastAsia="Arial" w:hAnsi="Arial"/>
                <w:sz w:val="14"/>
                <w:szCs w:val="14"/>
                <w:color w:val="auto"/>
              </w:rPr>
              <w:t>First-lien loan ($59,714 par,</w:t>
            </w: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820" w:type="dxa"/>
            <w:vAlign w:val="bottom"/>
            <w:gridSpan w:val="3"/>
          </w:tcPr>
          <w:p>
            <w:pPr>
              <w:ind w:left="1060"/>
              <w:spacing w:after="0" w:line="159" w:lineRule="exact"/>
              <w:rPr>
                <w:sz w:val="20"/>
                <w:szCs w:val="20"/>
                <w:color w:val="auto"/>
              </w:rPr>
            </w:pPr>
            <w:r>
              <w:rPr>
                <w:rFonts w:ascii="Arial" w:cs="Arial" w:eastAsia="Arial" w:hAnsi="Arial"/>
                <w:sz w:val="14"/>
                <w:szCs w:val="14"/>
                <w:color w:val="auto"/>
              </w:rPr>
              <w:t>due 12/2017)</w:t>
            </w:r>
          </w:p>
        </w:tc>
        <w:tc>
          <w:tcPr>
            <w:tcW w:w="10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8.00%</w:t>
            </w:r>
          </w:p>
        </w:tc>
        <w:tc>
          <w:tcPr>
            <w:tcW w:w="10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w w:val="91"/>
              </w:rPr>
              <w:t>12/28/2012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58,223</w:t>
            </w:r>
          </w:p>
        </w:tc>
        <w:tc>
          <w:tcPr>
            <w:tcW w:w="3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58,221</w:t>
            </w:r>
          </w:p>
        </w:tc>
        <w:tc>
          <w:tcPr>
            <w:tcW w:w="12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38"/>
        </w:trPr>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Rogue Wave Holdings, Inc. </w:t>
            </w:r>
            <w:r>
              <w:rPr>
                <w:rFonts w:ascii="Arial" w:cs="Arial" w:eastAsia="Arial" w:hAnsi="Arial"/>
                <w:sz w:val="15"/>
                <w:szCs w:val="15"/>
                <w:color w:val="auto"/>
                <w:vertAlign w:val="superscript"/>
              </w:rPr>
              <w:t>(3)(4)(5)</w:t>
            </w:r>
          </w:p>
        </w:tc>
        <w:tc>
          <w:tcPr>
            <w:tcW w:w="2820" w:type="dxa"/>
            <w:vAlign w:val="bottom"/>
            <w:gridSpan w:val="3"/>
            <w:shd w:val="clear" w:color="auto" w:fill="CCEEFF"/>
          </w:tcPr>
          <w:p>
            <w:pPr>
              <w:ind w:left="1060"/>
              <w:spacing w:after="0" w:line="138" w:lineRule="exact"/>
              <w:rPr>
                <w:sz w:val="20"/>
                <w:szCs w:val="20"/>
                <w:color w:val="auto"/>
              </w:rPr>
            </w:pPr>
            <w:r>
              <w:rPr>
                <w:rFonts w:ascii="Arial" w:cs="Arial" w:eastAsia="Arial" w:hAnsi="Arial"/>
                <w:sz w:val="14"/>
                <w:szCs w:val="14"/>
                <w:color w:val="auto"/>
              </w:rPr>
              <w:t>First-lien loan ($40,000 par,</w:t>
            </w: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820" w:type="dxa"/>
            <w:vAlign w:val="bottom"/>
            <w:gridSpan w:val="3"/>
            <w:shd w:val="clear" w:color="auto" w:fill="CCEEFF"/>
          </w:tcPr>
          <w:p>
            <w:pPr>
              <w:ind w:left="1060"/>
              <w:spacing w:after="0" w:line="159" w:lineRule="exact"/>
              <w:rPr>
                <w:sz w:val="20"/>
                <w:szCs w:val="20"/>
                <w:color w:val="auto"/>
              </w:rPr>
            </w:pPr>
            <w:r>
              <w:rPr>
                <w:rFonts w:ascii="Arial" w:cs="Arial" w:eastAsia="Arial" w:hAnsi="Arial"/>
                <w:sz w:val="14"/>
                <w:szCs w:val="14"/>
                <w:color w:val="auto"/>
              </w:rPr>
              <w:t>due 11/2017)</w:t>
            </w: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8.25%</w:t>
            </w:r>
          </w:p>
        </w:tc>
        <w:tc>
          <w:tcPr>
            <w:tcW w:w="10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w w:val="91"/>
              </w:rPr>
              <w:t>11/21/2012</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38,947</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39,600</w:t>
            </w:r>
          </w:p>
        </w:tc>
        <w:tc>
          <w:tcPr>
            <w:tcW w:w="3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97,170</w:t>
            </w:r>
          </w:p>
        </w:tc>
        <w:tc>
          <w:tcPr>
            <w:tcW w:w="3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97,821</w:t>
            </w:r>
          </w:p>
        </w:tc>
        <w:tc>
          <w:tcPr>
            <w:tcW w:w="360" w:type="dxa"/>
            <w:vAlign w:val="bottom"/>
          </w:tcPr>
          <w:p>
            <w:pPr>
              <w:spacing w:after="0"/>
              <w:rPr>
                <w:sz w:val="13"/>
                <w:szCs w:val="13"/>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Interest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Acquisition</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2"/>
        </w:trPr>
        <w:tc>
          <w:tcPr>
            <w:tcW w:w="4000" w:type="dxa"/>
            <w:vAlign w:val="bottom"/>
            <w:gridSpan w:val="3"/>
            <w:vMerge w:val="continue"/>
          </w:tcPr>
          <w:p>
            <w:pPr>
              <w:spacing w:after="0"/>
              <w:rPr>
                <w:sz w:val="15"/>
                <w:szCs w:val="15"/>
                <w:color w:val="auto"/>
              </w:rPr>
            </w:pPr>
          </w:p>
        </w:tc>
        <w:tc>
          <w:tcPr>
            <w:tcW w:w="1080" w:type="dxa"/>
            <w:vAlign w:val="bottom"/>
          </w:tcPr>
          <w:p>
            <w:pPr>
              <w:spacing w:after="0"/>
              <w:rPr>
                <w:sz w:val="15"/>
                <w:szCs w:val="15"/>
                <w:color w:val="auto"/>
              </w:rPr>
            </w:pPr>
          </w:p>
        </w:tc>
        <w:tc>
          <w:tcPr>
            <w:tcW w:w="1760" w:type="dxa"/>
            <w:vAlign w:val="bottom"/>
            <w:gridSpan w:val="2"/>
          </w:tcPr>
          <w:p>
            <w:pPr>
              <w:ind w:left="460"/>
              <w:spacing w:after="0"/>
              <w:rPr>
                <w:sz w:val="20"/>
                <w:szCs w:val="20"/>
                <w:color w:val="auto"/>
              </w:rPr>
            </w:pPr>
            <w:r>
              <w:rPr>
                <w:rFonts w:ascii="Arial" w:cs="Arial" w:eastAsia="Arial" w:hAnsi="Arial"/>
                <w:sz w:val="14"/>
                <w:szCs w:val="14"/>
                <w:b w:val="1"/>
                <w:bCs w:val="1"/>
                <w:color w:val="auto"/>
              </w:rPr>
              <w:t>Investment</w:t>
            </w: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Rate</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5"/>
                <w:szCs w:val="15"/>
                <w:color w:val="auto"/>
              </w:rPr>
            </w:pPr>
          </w:p>
        </w:tc>
        <w:tc>
          <w:tcPr>
            <w:tcW w:w="680" w:type="dxa"/>
            <w:vAlign w:val="bottom"/>
            <w:gridSpan w:val="2"/>
          </w:tcPr>
          <w:p>
            <w:pPr>
              <w:jc w:val="right"/>
              <w:ind w:right="240"/>
              <w:spacing w:after="0" w:line="162" w:lineRule="exact"/>
              <w:rPr>
                <w:sz w:val="20"/>
                <w:szCs w:val="20"/>
                <w:color w:val="auto"/>
              </w:rPr>
            </w:pPr>
            <w:r>
              <w:rPr>
                <w:rFonts w:ascii="Arial" w:cs="Arial" w:eastAsia="Arial" w:hAnsi="Arial"/>
                <w:sz w:val="12"/>
                <w:szCs w:val="12"/>
                <w:b w:val="1"/>
                <w:bCs w:val="1"/>
                <w:color w:val="auto"/>
                <w:w w:val="93"/>
              </w:rPr>
              <w:t xml:space="preserve">Cost </w:t>
            </w:r>
            <w:r>
              <w:rPr>
                <w:rFonts w:ascii="Arial" w:cs="Arial" w:eastAsia="Arial" w:hAnsi="Arial"/>
                <w:sz w:val="18"/>
                <w:szCs w:val="18"/>
                <w:b w:val="1"/>
                <w:bCs w:val="1"/>
                <w:color w:val="auto"/>
                <w:w w:val="93"/>
                <w:vertAlign w:val="superscript"/>
              </w:rPr>
              <w:t>(2)</w:t>
            </w:r>
          </w:p>
        </w:tc>
        <w:tc>
          <w:tcPr>
            <w:tcW w:w="14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3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Healthcare and pharmaceuticals</w:t>
            </w:r>
          </w:p>
        </w:tc>
        <w:tc>
          <w:tcPr>
            <w:tcW w:w="10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eResearch Technology, Inc. </w:t>
            </w:r>
            <w:r>
              <w:rPr>
                <w:rFonts w:ascii="Arial" w:cs="Arial" w:eastAsia="Arial" w:hAnsi="Arial"/>
                <w:sz w:val="15"/>
                <w:szCs w:val="15"/>
                <w:color w:val="auto"/>
                <w:vertAlign w:val="superscript"/>
              </w:rPr>
              <w:t>(3)(5)</w:t>
            </w:r>
          </w:p>
        </w:tc>
        <w:tc>
          <w:tcPr>
            <w:tcW w:w="2840" w:type="dxa"/>
            <w:vAlign w:val="bottom"/>
            <w:gridSpan w:val="3"/>
          </w:tcPr>
          <w:p>
            <w:pPr>
              <w:ind w:left="1080"/>
              <w:spacing w:after="0" w:line="138" w:lineRule="exact"/>
              <w:rPr>
                <w:sz w:val="20"/>
                <w:szCs w:val="20"/>
                <w:color w:val="auto"/>
              </w:rPr>
            </w:pPr>
            <w:r>
              <w:rPr>
                <w:rFonts w:ascii="Arial" w:cs="Arial" w:eastAsia="Arial" w:hAnsi="Arial"/>
                <w:sz w:val="14"/>
                <w:szCs w:val="14"/>
                <w:color w:val="auto"/>
              </w:rPr>
              <w:t>First-lien loan ($24,937 par,</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840" w:type="dxa"/>
            <w:vAlign w:val="bottom"/>
            <w:gridSpan w:val="3"/>
          </w:tcPr>
          <w:p>
            <w:pPr>
              <w:ind w:left="1080"/>
              <w:spacing w:after="0" w:line="159" w:lineRule="exact"/>
              <w:rPr>
                <w:sz w:val="20"/>
                <w:szCs w:val="20"/>
                <w:color w:val="auto"/>
              </w:rPr>
            </w:pPr>
            <w:r>
              <w:rPr>
                <w:rFonts w:ascii="Arial" w:cs="Arial" w:eastAsia="Arial" w:hAnsi="Arial"/>
                <w:sz w:val="14"/>
                <w:szCs w:val="14"/>
                <w:color w:val="auto"/>
              </w:rPr>
              <w:t>due 5/2018)</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7/3/2012</w:t>
            </w: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24,006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24,626</w:t>
            </w: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Mediware Information Systems, Inc. </w:t>
            </w:r>
            <w:r>
              <w:rPr>
                <w:rFonts w:ascii="Arial" w:cs="Arial" w:eastAsia="Arial" w:hAnsi="Arial"/>
                <w:sz w:val="15"/>
                <w:szCs w:val="15"/>
                <w:color w:val="auto"/>
                <w:vertAlign w:val="superscript"/>
              </w:rPr>
              <w:t>(3)(4)(5)</w:t>
            </w:r>
          </w:p>
        </w:tc>
        <w:tc>
          <w:tcPr>
            <w:tcW w:w="2840" w:type="dxa"/>
            <w:vAlign w:val="bottom"/>
            <w:gridSpan w:val="3"/>
            <w:shd w:val="clear" w:color="auto" w:fill="CCEEFF"/>
          </w:tcPr>
          <w:p>
            <w:pPr>
              <w:ind w:left="1080"/>
              <w:spacing w:after="0" w:line="138" w:lineRule="exact"/>
              <w:rPr>
                <w:sz w:val="20"/>
                <w:szCs w:val="20"/>
                <w:color w:val="auto"/>
              </w:rPr>
            </w:pPr>
            <w:r>
              <w:rPr>
                <w:rFonts w:ascii="Arial" w:cs="Arial" w:eastAsia="Arial" w:hAnsi="Arial"/>
                <w:sz w:val="14"/>
                <w:szCs w:val="14"/>
                <w:color w:val="auto"/>
              </w:rPr>
              <w:t>First-lien loan ($50,500 par,</w:t>
            </w: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40" w:type="dxa"/>
            <w:vAlign w:val="bottom"/>
            <w:shd w:val="clear" w:color="auto" w:fill="CCEEFF"/>
          </w:tcPr>
          <w:p>
            <w:pPr>
              <w:spacing w:after="0"/>
              <w:rPr>
                <w:sz w:val="13"/>
                <w:szCs w:val="13"/>
                <w:color w:val="auto"/>
              </w:rPr>
            </w:pPr>
          </w:p>
        </w:tc>
        <w:tc>
          <w:tcPr>
            <w:tcW w:w="2840" w:type="dxa"/>
            <w:vAlign w:val="bottom"/>
            <w:gridSpan w:val="3"/>
            <w:shd w:val="clear" w:color="auto" w:fill="CCEEFF"/>
          </w:tcPr>
          <w:p>
            <w:pPr>
              <w:ind w:left="1080"/>
              <w:spacing w:after="0" w:line="159" w:lineRule="exact"/>
              <w:rPr>
                <w:sz w:val="20"/>
                <w:szCs w:val="20"/>
                <w:color w:val="auto"/>
              </w:rPr>
            </w:pPr>
            <w:r>
              <w:rPr>
                <w:rFonts w:ascii="Arial" w:cs="Arial" w:eastAsia="Arial" w:hAnsi="Arial"/>
                <w:sz w:val="14"/>
                <w:szCs w:val="14"/>
                <w:color w:val="auto"/>
              </w:rPr>
              <w:t>due 5/2018)</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11/9/2012</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49,230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49,218</w:t>
            </w: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SRS Software, LLC </w:t>
            </w:r>
            <w:r>
              <w:rPr>
                <w:rFonts w:ascii="Arial" w:cs="Arial" w:eastAsia="Arial" w:hAnsi="Arial"/>
                <w:sz w:val="15"/>
                <w:szCs w:val="15"/>
                <w:color w:val="auto"/>
                <w:vertAlign w:val="superscript"/>
              </w:rPr>
              <w:t>(3)(5)</w:t>
            </w:r>
          </w:p>
        </w:tc>
        <w:tc>
          <w:tcPr>
            <w:tcW w:w="2840" w:type="dxa"/>
            <w:vAlign w:val="bottom"/>
            <w:gridSpan w:val="3"/>
          </w:tcPr>
          <w:p>
            <w:pPr>
              <w:ind w:left="1080"/>
              <w:spacing w:after="0" w:line="138" w:lineRule="exact"/>
              <w:rPr>
                <w:sz w:val="20"/>
                <w:szCs w:val="20"/>
                <w:color w:val="auto"/>
              </w:rPr>
            </w:pPr>
            <w:r>
              <w:rPr>
                <w:rFonts w:ascii="Arial" w:cs="Arial" w:eastAsia="Arial" w:hAnsi="Arial"/>
                <w:sz w:val="14"/>
                <w:szCs w:val="14"/>
                <w:color w:val="auto"/>
              </w:rPr>
              <w:t>First-lien loan ($37,500 par,</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840" w:type="dxa"/>
            <w:vAlign w:val="bottom"/>
            <w:gridSpan w:val="3"/>
          </w:tcPr>
          <w:p>
            <w:pPr>
              <w:ind w:left="1080"/>
              <w:spacing w:after="0" w:line="159" w:lineRule="exact"/>
              <w:rPr>
                <w:sz w:val="20"/>
                <w:szCs w:val="20"/>
                <w:color w:val="auto"/>
              </w:rPr>
            </w:pPr>
            <w:r>
              <w:rPr>
                <w:rFonts w:ascii="Arial" w:cs="Arial" w:eastAsia="Arial" w:hAnsi="Arial"/>
                <w:sz w:val="14"/>
                <w:szCs w:val="14"/>
                <w:color w:val="auto"/>
              </w:rPr>
              <w:t>due 12/2017)</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8.75%</w:t>
            </w: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1"/>
              </w:rPr>
              <w:t>12/28/2012</w:t>
            </w: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36,439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36,563</w:t>
            </w: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109,675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4"/>
              </w:rPr>
              <w:t>110,407</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40" w:type="dxa"/>
            <w:vAlign w:val="bottom"/>
          </w:tcPr>
          <w:p>
            <w:pPr>
              <w:ind w:left="240"/>
              <w:spacing w:after="0"/>
              <w:rPr>
                <w:sz w:val="20"/>
                <w:szCs w:val="20"/>
                <w:color w:val="auto"/>
              </w:rPr>
            </w:pPr>
            <w:r>
              <w:rPr>
                <w:rFonts w:ascii="Arial" w:cs="Arial" w:eastAsia="Arial" w:hAnsi="Arial"/>
                <w:sz w:val="14"/>
                <w:szCs w:val="14"/>
                <w:b w:val="1"/>
                <w:bCs w:val="1"/>
                <w:color w:val="auto"/>
              </w:rPr>
              <w:t>Hotel, gaming, and leisure</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 xml:space="preserve">Mandalay Baseball Properties, LLC </w:t>
            </w:r>
            <w:r>
              <w:rPr>
                <w:rFonts w:ascii="Arial" w:cs="Arial" w:eastAsia="Arial" w:hAnsi="Arial"/>
                <w:sz w:val="16"/>
                <w:szCs w:val="16"/>
                <w:color w:val="auto"/>
                <w:vertAlign w:val="superscript"/>
              </w:rPr>
              <w:t>(3)(5)</w:t>
            </w:r>
          </w:p>
        </w:tc>
        <w:tc>
          <w:tcPr>
            <w:tcW w:w="10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rPr>
              <w:t>12.00%</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2840" w:type="dxa"/>
            <w:vAlign w:val="bottom"/>
            <w:gridSpan w:val="3"/>
            <w:shd w:val="clear" w:color="auto" w:fill="CCEEFF"/>
          </w:tcPr>
          <w:p>
            <w:pPr>
              <w:ind w:left="1080"/>
              <w:spacing w:after="0" w:line="149" w:lineRule="exact"/>
              <w:rPr>
                <w:sz w:val="20"/>
                <w:szCs w:val="20"/>
                <w:color w:val="auto"/>
              </w:rPr>
            </w:pPr>
            <w:r>
              <w:rPr>
                <w:rFonts w:ascii="Arial" w:cs="Arial" w:eastAsia="Arial" w:hAnsi="Arial"/>
                <w:sz w:val="14"/>
                <w:szCs w:val="14"/>
                <w:color w:val="auto"/>
              </w:rPr>
              <w:t>First-lien loan ($28,414 par,</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2"/>
              </w:rPr>
              <w:t>(incl. 4.00%</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2840" w:type="dxa"/>
            <w:vAlign w:val="bottom"/>
            <w:gridSpan w:val="3"/>
            <w:shd w:val="clear" w:color="auto" w:fill="CCEEFF"/>
          </w:tcPr>
          <w:p>
            <w:pPr>
              <w:ind w:left="1080"/>
              <w:spacing w:after="0"/>
              <w:rPr>
                <w:sz w:val="20"/>
                <w:szCs w:val="20"/>
                <w:color w:val="auto"/>
              </w:rPr>
            </w:pPr>
            <w:r>
              <w:rPr>
                <w:rFonts w:ascii="Arial" w:cs="Arial" w:eastAsia="Arial" w:hAnsi="Arial"/>
                <w:sz w:val="14"/>
                <w:szCs w:val="14"/>
                <w:color w:val="auto"/>
              </w:rPr>
              <w:t>due 3/2017)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4/12/2012</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27,684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28,556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40" w:type="dxa"/>
            <w:vAlign w:val="bottom"/>
          </w:tcPr>
          <w:p>
            <w:pPr>
              <w:ind w:left="240"/>
              <w:spacing w:after="0"/>
              <w:rPr>
                <w:sz w:val="20"/>
                <w:szCs w:val="20"/>
                <w:color w:val="auto"/>
              </w:rPr>
            </w:pPr>
            <w:r>
              <w:rPr>
                <w:rFonts w:ascii="Arial" w:cs="Arial" w:eastAsia="Arial" w:hAnsi="Arial"/>
                <w:sz w:val="14"/>
                <w:szCs w:val="14"/>
                <w:b w:val="1"/>
                <w:bCs w:val="1"/>
                <w:color w:val="auto"/>
              </w:rPr>
              <w:t>Human resource support services</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SumTotal Systems, LLC </w:t>
            </w:r>
            <w:r>
              <w:rPr>
                <w:rFonts w:ascii="Arial" w:cs="Arial" w:eastAsia="Arial" w:hAnsi="Arial"/>
                <w:sz w:val="15"/>
                <w:szCs w:val="15"/>
                <w:color w:val="auto"/>
                <w:vertAlign w:val="superscript"/>
              </w:rPr>
              <w:t>(3)</w:t>
            </w:r>
          </w:p>
        </w:tc>
        <w:tc>
          <w:tcPr>
            <w:tcW w:w="2840" w:type="dxa"/>
            <w:vAlign w:val="bottom"/>
            <w:gridSpan w:val="3"/>
            <w:shd w:val="clear" w:color="auto" w:fill="CCEEFF"/>
          </w:tcPr>
          <w:p>
            <w:pPr>
              <w:ind w:left="1080"/>
              <w:spacing w:after="0" w:line="138" w:lineRule="exact"/>
              <w:rPr>
                <w:sz w:val="20"/>
                <w:szCs w:val="20"/>
                <w:color w:val="auto"/>
              </w:rPr>
            </w:pPr>
            <w:r>
              <w:rPr>
                <w:rFonts w:ascii="Arial" w:cs="Arial" w:eastAsia="Arial" w:hAnsi="Arial"/>
                <w:sz w:val="14"/>
                <w:szCs w:val="14"/>
                <w:color w:val="auto"/>
              </w:rPr>
              <w:t>First-lien loan ($10,000 par,</w:t>
            </w: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40" w:type="dxa"/>
            <w:vAlign w:val="bottom"/>
            <w:shd w:val="clear" w:color="auto" w:fill="CCEEFF"/>
          </w:tcPr>
          <w:p>
            <w:pPr>
              <w:spacing w:after="0"/>
              <w:rPr>
                <w:sz w:val="13"/>
                <w:szCs w:val="13"/>
                <w:color w:val="auto"/>
              </w:rPr>
            </w:pPr>
          </w:p>
        </w:tc>
        <w:tc>
          <w:tcPr>
            <w:tcW w:w="2840" w:type="dxa"/>
            <w:vAlign w:val="bottom"/>
            <w:gridSpan w:val="3"/>
            <w:shd w:val="clear" w:color="auto" w:fill="CCEEFF"/>
          </w:tcPr>
          <w:p>
            <w:pPr>
              <w:ind w:left="1080"/>
              <w:spacing w:after="0" w:line="159" w:lineRule="exact"/>
              <w:rPr>
                <w:sz w:val="20"/>
                <w:szCs w:val="20"/>
                <w:color w:val="auto"/>
              </w:rPr>
            </w:pPr>
            <w:r>
              <w:rPr>
                <w:rFonts w:ascii="Arial" w:cs="Arial" w:eastAsia="Arial" w:hAnsi="Arial"/>
                <w:sz w:val="14"/>
                <w:szCs w:val="14"/>
                <w:color w:val="auto"/>
              </w:rPr>
              <w:t>due 11/2018)</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6.25%</w:t>
            </w: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w w:val="91"/>
              </w:rPr>
              <w:t>11/16/2012</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9,867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9,925</w:t>
            </w: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840" w:type="dxa"/>
            <w:vAlign w:val="bottom"/>
            <w:gridSpan w:val="3"/>
          </w:tcPr>
          <w:p>
            <w:pPr>
              <w:ind w:left="1080"/>
              <w:spacing w:after="0" w:line="138" w:lineRule="exact"/>
              <w:rPr>
                <w:sz w:val="20"/>
                <w:szCs w:val="20"/>
                <w:color w:val="auto"/>
              </w:rPr>
            </w:pPr>
            <w:r>
              <w:rPr>
                <w:rFonts w:ascii="Arial" w:cs="Arial" w:eastAsia="Arial" w:hAnsi="Arial"/>
                <w:sz w:val="14"/>
                <w:szCs w:val="14"/>
                <w:color w:val="auto"/>
              </w:rPr>
              <w:t>Second-lien loan ($5,000</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840" w:type="dxa"/>
            <w:vAlign w:val="bottom"/>
            <w:gridSpan w:val="3"/>
          </w:tcPr>
          <w:p>
            <w:pPr>
              <w:ind w:left="1080"/>
              <w:spacing w:after="0" w:line="159" w:lineRule="exact"/>
              <w:rPr>
                <w:sz w:val="20"/>
                <w:szCs w:val="20"/>
                <w:color w:val="auto"/>
              </w:rPr>
            </w:pPr>
            <w:r>
              <w:rPr>
                <w:rFonts w:ascii="Arial" w:cs="Arial" w:eastAsia="Arial" w:hAnsi="Arial"/>
                <w:sz w:val="14"/>
                <w:szCs w:val="14"/>
                <w:color w:val="auto"/>
              </w:rPr>
              <w:t>par, due 5/2018)</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10.25%</w:t>
            </w: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1"/>
              </w:rPr>
              <w:t>11/16/2012</w:t>
            </w: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4,950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4,925</w:t>
            </w: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14,817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14,850</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40" w:type="dxa"/>
            <w:vAlign w:val="bottom"/>
          </w:tcPr>
          <w:p>
            <w:pPr>
              <w:ind w:left="240"/>
              <w:spacing w:after="0"/>
              <w:rPr>
                <w:sz w:val="20"/>
                <w:szCs w:val="20"/>
                <w:color w:val="auto"/>
              </w:rPr>
            </w:pPr>
            <w:r>
              <w:rPr>
                <w:rFonts w:ascii="Arial" w:cs="Arial" w:eastAsia="Arial" w:hAnsi="Arial"/>
                <w:sz w:val="14"/>
                <w:szCs w:val="14"/>
                <w:b w:val="1"/>
                <w:bCs w:val="1"/>
                <w:color w:val="auto"/>
              </w:rPr>
              <w:t>Insurance</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 xml:space="preserve">Infogix, Inc. </w:t>
            </w:r>
            <w:r>
              <w:rPr>
                <w:rFonts w:ascii="Arial" w:cs="Arial" w:eastAsia="Arial" w:hAnsi="Arial"/>
                <w:sz w:val="16"/>
                <w:szCs w:val="16"/>
                <w:color w:val="auto"/>
                <w:vertAlign w:val="superscript"/>
              </w:rPr>
              <w:t>(3)(5)</w:t>
            </w:r>
          </w:p>
        </w:tc>
        <w:tc>
          <w:tcPr>
            <w:tcW w:w="2840" w:type="dxa"/>
            <w:vAlign w:val="bottom"/>
            <w:gridSpan w:val="3"/>
            <w:shd w:val="clear" w:color="auto" w:fill="CCEEFF"/>
          </w:tcPr>
          <w:p>
            <w:pPr>
              <w:ind w:left="1080"/>
              <w:spacing w:after="0" w:line="139" w:lineRule="exact"/>
              <w:rPr>
                <w:sz w:val="20"/>
                <w:szCs w:val="20"/>
                <w:color w:val="auto"/>
              </w:rPr>
            </w:pPr>
            <w:r>
              <w:rPr>
                <w:rFonts w:ascii="Arial" w:cs="Arial" w:eastAsia="Arial" w:hAnsi="Arial"/>
                <w:sz w:val="14"/>
                <w:szCs w:val="14"/>
                <w:color w:val="auto"/>
              </w:rPr>
              <w:t>First-lien loan ($30,613 par,</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40" w:type="dxa"/>
            <w:vAlign w:val="bottom"/>
            <w:shd w:val="clear" w:color="auto" w:fill="CCEEFF"/>
          </w:tcPr>
          <w:p>
            <w:pPr>
              <w:spacing w:after="0"/>
              <w:rPr>
                <w:sz w:val="13"/>
                <w:szCs w:val="13"/>
                <w:color w:val="auto"/>
              </w:rPr>
            </w:pPr>
          </w:p>
        </w:tc>
        <w:tc>
          <w:tcPr>
            <w:tcW w:w="2840" w:type="dxa"/>
            <w:vAlign w:val="bottom"/>
            <w:gridSpan w:val="3"/>
            <w:shd w:val="clear" w:color="auto" w:fill="CCEEFF"/>
          </w:tcPr>
          <w:p>
            <w:pPr>
              <w:ind w:left="1080"/>
              <w:spacing w:after="0" w:line="159" w:lineRule="exact"/>
              <w:rPr>
                <w:sz w:val="20"/>
                <w:szCs w:val="20"/>
                <w:color w:val="auto"/>
              </w:rPr>
            </w:pPr>
            <w:r>
              <w:rPr>
                <w:rFonts w:ascii="Arial" w:cs="Arial" w:eastAsia="Arial" w:hAnsi="Arial"/>
                <w:sz w:val="14"/>
                <w:szCs w:val="14"/>
                <w:color w:val="auto"/>
              </w:rPr>
              <w:t>due 6/2017)</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10.00%</w:t>
            </w: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6/1/2012</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29,974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30,346</w:t>
            </w: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40" w:type="dxa"/>
            <w:vAlign w:val="bottom"/>
          </w:tcPr>
          <w:p>
            <w:pPr>
              <w:ind w:left="240"/>
              <w:spacing w:after="0"/>
              <w:rPr>
                <w:sz w:val="20"/>
                <w:szCs w:val="20"/>
                <w:color w:val="auto"/>
              </w:rPr>
            </w:pPr>
            <w:r>
              <w:rPr>
                <w:rFonts w:ascii="Arial" w:cs="Arial" w:eastAsia="Arial" w:hAnsi="Arial"/>
                <w:sz w:val="14"/>
                <w:szCs w:val="14"/>
                <w:b w:val="1"/>
                <w:bCs w:val="1"/>
                <w:color w:val="auto"/>
              </w:rPr>
              <w:t>Office products</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Ecommerce Industries, Inc. </w:t>
            </w:r>
            <w:r>
              <w:rPr>
                <w:rFonts w:ascii="Arial" w:cs="Arial" w:eastAsia="Arial" w:hAnsi="Arial"/>
                <w:sz w:val="15"/>
                <w:szCs w:val="15"/>
                <w:color w:val="auto"/>
                <w:vertAlign w:val="superscript"/>
              </w:rPr>
              <w:t>(3)(4)(5)</w:t>
            </w:r>
          </w:p>
        </w:tc>
        <w:tc>
          <w:tcPr>
            <w:tcW w:w="2840" w:type="dxa"/>
            <w:vAlign w:val="bottom"/>
            <w:gridSpan w:val="3"/>
            <w:shd w:val="clear" w:color="auto" w:fill="CCEEFF"/>
          </w:tcPr>
          <w:p>
            <w:pPr>
              <w:ind w:left="1080"/>
              <w:spacing w:after="0" w:line="138" w:lineRule="exact"/>
              <w:rPr>
                <w:sz w:val="20"/>
                <w:szCs w:val="20"/>
                <w:color w:val="auto"/>
              </w:rPr>
            </w:pPr>
            <w:r>
              <w:rPr>
                <w:rFonts w:ascii="Arial" w:cs="Arial" w:eastAsia="Arial" w:hAnsi="Arial"/>
                <w:sz w:val="14"/>
                <w:szCs w:val="14"/>
                <w:color w:val="auto"/>
              </w:rPr>
              <w:t>First-lien loan ($21,562</w:t>
            </w: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40" w:type="dxa"/>
            <w:vAlign w:val="bottom"/>
            <w:shd w:val="clear" w:color="auto" w:fill="CCEEFF"/>
          </w:tcPr>
          <w:p>
            <w:pPr>
              <w:spacing w:after="0"/>
              <w:rPr>
                <w:sz w:val="13"/>
                <w:szCs w:val="13"/>
                <w:color w:val="auto"/>
              </w:rPr>
            </w:pPr>
          </w:p>
        </w:tc>
        <w:tc>
          <w:tcPr>
            <w:tcW w:w="2840" w:type="dxa"/>
            <w:vAlign w:val="bottom"/>
            <w:gridSpan w:val="3"/>
            <w:shd w:val="clear" w:color="auto" w:fill="CCEEFF"/>
          </w:tcPr>
          <w:p>
            <w:pPr>
              <w:ind w:left="1080"/>
              <w:spacing w:after="0" w:line="159" w:lineRule="exact"/>
              <w:rPr>
                <w:sz w:val="20"/>
                <w:szCs w:val="20"/>
                <w:color w:val="auto"/>
              </w:rPr>
            </w:pPr>
            <w:r>
              <w:rPr>
                <w:rFonts w:ascii="Arial" w:cs="Arial" w:eastAsia="Arial" w:hAnsi="Arial"/>
                <w:sz w:val="14"/>
                <w:szCs w:val="14"/>
                <w:color w:val="auto"/>
              </w:rPr>
              <w:t>par, due 10/2016)</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w w:val="91"/>
              </w:rPr>
              <w:t>10/17/2011</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21,286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21,808</w:t>
            </w: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40" w:type="dxa"/>
            <w:vAlign w:val="bottom"/>
          </w:tcPr>
          <w:p>
            <w:pPr>
              <w:ind w:left="240"/>
              <w:spacing w:after="0"/>
              <w:rPr>
                <w:sz w:val="20"/>
                <w:szCs w:val="20"/>
                <w:color w:val="auto"/>
              </w:rPr>
            </w:pPr>
            <w:r>
              <w:rPr>
                <w:rFonts w:ascii="Arial" w:cs="Arial" w:eastAsia="Arial" w:hAnsi="Arial"/>
                <w:sz w:val="14"/>
                <w:szCs w:val="14"/>
                <w:b w:val="1"/>
                <w:bCs w:val="1"/>
                <w:color w:val="auto"/>
              </w:rPr>
              <w:t>Transportation</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Teletrac, Inc. </w:t>
            </w:r>
            <w:r>
              <w:rPr>
                <w:rFonts w:ascii="Arial" w:cs="Arial" w:eastAsia="Arial" w:hAnsi="Arial"/>
                <w:sz w:val="15"/>
                <w:szCs w:val="15"/>
                <w:color w:val="auto"/>
                <w:vertAlign w:val="superscript"/>
              </w:rPr>
              <w:t>(3)(4)(5)</w:t>
            </w:r>
          </w:p>
        </w:tc>
        <w:tc>
          <w:tcPr>
            <w:tcW w:w="2840" w:type="dxa"/>
            <w:vAlign w:val="bottom"/>
            <w:gridSpan w:val="3"/>
            <w:shd w:val="clear" w:color="auto" w:fill="CCEEFF"/>
          </w:tcPr>
          <w:p>
            <w:pPr>
              <w:ind w:left="1080"/>
              <w:spacing w:after="0" w:line="138" w:lineRule="exact"/>
              <w:rPr>
                <w:sz w:val="20"/>
                <w:szCs w:val="20"/>
                <w:color w:val="auto"/>
              </w:rPr>
            </w:pPr>
            <w:r>
              <w:rPr>
                <w:rFonts w:ascii="Arial" w:cs="Arial" w:eastAsia="Arial" w:hAnsi="Arial"/>
                <w:sz w:val="14"/>
                <w:szCs w:val="14"/>
                <w:color w:val="auto"/>
              </w:rPr>
              <w:t>First-lien loan ($17,413 par,</w:t>
            </w: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40" w:type="dxa"/>
            <w:vAlign w:val="bottom"/>
            <w:shd w:val="clear" w:color="auto" w:fill="CCEEFF"/>
          </w:tcPr>
          <w:p>
            <w:pPr>
              <w:spacing w:after="0"/>
              <w:rPr>
                <w:sz w:val="13"/>
                <w:szCs w:val="13"/>
                <w:color w:val="auto"/>
              </w:rPr>
            </w:pPr>
          </w:p>
        </w:tc>
        <w:tc>
          <w:tcPr>
            <w:tcW w:w="2840" w:type="dxa"/>
            <w:vAlign w:val="bottom"/>
            <w:gridSpan w:val="3"/>
            <w:shd w:val="clear" w:color="auto" w:fill="CCEEFF"/>
          </w:tcPr>
          <w:p>
            <w:pPr>
              <w:ind w:left="1080"/>
              <w:spacing w:after="0" w:line="159" w:lineRule="exact"/>
              <w:rPr>
                <w:sz w:val="20"/>
                <w:szCs w:val="20"/>
                <w:color w:val="auto"/>
              </w:rPr>
            </w:pPr>
            <w:r>
              <w:rPr>
                <w:rFonts w:ascii="Arial" w:cs="Arial" w:eastAsia="Arial" w:hAnsi="Arial"/>
                <w:sz w:val="14"/>
                <w:szCs w:val="14"/>
                <w:color w:val="auto"/>
              </w:rPr>
              <w:t>due 7/2017)</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6.65%</w:t>
            </w: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7/23/2012</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17,049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17,151</w:t>
            </w: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 Debt Investments</w:t>
            </w:r>
          </w:p>
        </w:tc>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642,421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94"/>
              </w:rPr>
              <w:t>651,944</w:t>
            </w:r>
          </w:p>
        </w:tc>
        <w:tc>
          <w:tcPr>
            <w:tcW w:w="9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135.9%</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Healthcare and pharmaceuticals</w:t>
            </w:r>
          </w:p>
        </w:tc>
        <w:tc>
          <w:tcPr>
            <w:tcW w:w="10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Equity Investments</w:t>
            </w:r>
          </w:p>
        </w:tc>
        <w:tc>
          <w:tcPr>
            <w:tcW w:w="1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SRS Parent Corp.</w:t>
            </w:r>
          </w:p>
        </w:tc>
        <w:tc>
          <w:tcPr>
            <w:tcW w:w="2840" w:type="dxa"/>
            <w:vAlign w:val="bottom"/>
            <w:gridSpan w:val="3"/>
            <w:shd w:val="clear" w:color="auto" w:fill="CCEEFF"/>
          </w:tcPr>
          <w:p>
            <w:pPr>
              <w:ind w:left="1080"/>
              <w:spacing w:after="0" w:line="138" w:lineRule="exact"/>
              <w:rPr>
                <w:sz w:val="20"/>
                <w:szCs w:val="20"/>
                <w:color w:val="auto"/>
              </w:rPr>
            </w:pPr>
            <w:r>
              <w:rPr>
                <w:rFonts w:ascii="Arial" w:cs="Arial" w:eastAsia="Arial" w:hAnsi="Arial"/>
                <w:sz w:val="14"/>
                <w:szCs w:val="14"/>
                <w:color w:val="auto"/>
              </w:rPr>
              <w:t>Common Shares Class A</w:t>
            </w: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40" w:type="dxa"/>
            <w:vAlign w:val="bottom"/>
            <w:shd w:val="clear" w:color="auto" w:fill="CCEEFF"/>
          </w:tcPr>
          <w:p>
            <w:pPr>
              <w:spacing w:after="0"/>
              <w:rPr>
                <w:sz w:val="13"/>
                <w:szCs w:val="13"/>
                <w:color w:val="auto"/>
              </w:rPr>
            </w:pPr>
          </w:p>
        </w:tc>
        <w:tc>
          <w:tcPr>
            <w:tcW w:w="2840" w:type="dxa"/>
            <w:vAlign w:val="bottom"/>
            <w:gridSpan w:val="3"/>
            <w:shd w:val="clear" w:color="auto" w:fill="CCEEFF"/>
          </w:tcPr>
          <w:p>
            <w:pPr>
              <w:ind w:left="1080"/>
              <w:spacing w:after="0" w:line="159" w:lineRule="exact"/>
              <w:rPr>
                <w:sz w:val="20"/>
                <w:szCs w:val="20"/>
                <w:color w:val="auto"/>
              </w:rPr>
            </w:pPr>
            <w:r>
              <w:rPr>
                <w:rFonts w:ascii="Arial" w:cs="Arial" w:eastAsia="Arial" w:hAnsi="Arial"/>
                <w:sz w:val="14"/>
                <w:szCs w:val="14"/>
                <w:color w:val="auto"/>
              </w:rPr>
              <w:t>(1,980 shares)</w:t>
            </w: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w w:val="91"/>
              </w:rPr>
              <w:t>12/28/2012</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1,980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1,980</w:t>
            </w: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840" w:type="dxa"/>
            <w:vAlign w:val="bottom"/>
            <w:gridSpan w:val="3"/>
          </w:tcPr>
          <w:p>
            <w:pPr>
              <w:ind w:left="1080"/>
              <w:spacing w:after="0" w:line="138" w:lineRule="exact"/>
              <w:rPr>
                <w:sz w:val="20"/>
                <w:szCs w:val="20"/>
                <w:color w:val="auto"/>
              </w:rPr>
            </w:pPr>
            <w:r>
              <w:rPr>
                <w:rFonts w:ascii="Arial" w:cs="Arial" w:eastAsia="Arial" w:hAnsi="Arial"/>
                <w:sz w:val="14"/>
                <w:szCs w:val="14"/>
                <w:color w:val="auto"/>
              </w:rPr>
              <w:t>Common Shares Class B</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840" w:type="dxa"/>
            <w:vAlign w:val="bottom"/>
            <w:gridSpan w:val="3"/>
          </w:tcPr>
          <w:p>
            <w:pPr>
              <w:ind w:left="1080"/>
              <w:spacing w:after="0" w:line="159" w:lineRule="exact"/>
              <w:rPr>
                <w:sz w:val="20"/>
                <w:szCs w:val="20"/>
                <w:color w:val="auto"/>
              </w:rPr>
            </w:pPr>
            <w:r>
              <w:rPr>
                <w:rFonts w:ascii="Arial" w:cs="Arial" w:eastAsia="Arial" w:hAnsi="Arial"/>
                <w:sz w:val="14"/>
                <w:szCs w:val="14"/>
                <w:color w:val="auto"/>
              </w:rPr>
              <w:t>(2,953,020 shares)</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1"/>
              </w:rPr>
              <w:t>12/28/2012</w:t>
            </w: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20</w:t>
            </w: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2,000</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 Equity Investments</w:t>
            </w:r>
          </w:p>
        </w:tc>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2,000</w:t>
            </w:r>
          </w:p>
        </w:tc>
        <w:tc>
          <w:tcPr>
            <w:tcW w:w="9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10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644,421</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w w:val="94"/>
              </w:rPr>
              <w:t>653,944</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0" w:hanging="452"/>
        <w:spacing w:after="0" w:line="252"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December 31, 2012, the Company does not “control” any of the portfolio companies nor were any of the portfolio companies deemed to be “affiliates”. Certain portfolio company investments are subject to contractual restrictions on sales.</w:t>
      </w:r>
    </w:p>
    <w:p>
      <w:pPr>
        <w:ind w:left="460" w:right="500" w:hanging="452"/>
        <w:spacing w:after="0" w:line="250"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jc w:val="both"/>
        <w:ind w:left="460" w:right="160" w:hanging="452"/>
        <w:spacing w:after="0" w:line="250"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the Company may be entitled to receive additional amounts as a result of an arrangement between the Company and other lenders in any syndication.</w:t>
      </w:r>
    </w:p>
    <w:p>
      <w:pPr>
        <w:ind w:left="460" w:right="60" w:hanging="452"/>
        <w:spacing w:after="0" w:line="261"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6).</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Transactions during the year ended December 31, 2012 in which the issuer was an affiliated company (but not a portfolio company that we “control”)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As of and for the Year</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Ended December 31, 2012</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w w:val="93"/>
              </w:rPr>
              <w:t>Fair</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w w:val="93"/>
              </w:rPr>
              <w:t>Fair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Value at</w:t>
            </w:r>
          </w:p>
        </w:tc>
        <w:tc>
          <w:tcPr>
            <w:tcW w:w="3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Value at</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3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Additions</w:t>
            </w:r>
          </w:p>
        </w:tc>
        <w:tc>
          <w:tcPr>
            <w:tcW w:w="34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Reductions</w:t>
            </w:r>
          </w:p>
        </w:tc>
        <w:tc>
          <w:tcPr>
            <w:tcW w:w="1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3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Realized</w:t>
            </w:r>
          </w:p>
        </w:tc>
        <w:tc>
          <w:tcPr>
            <w:tcW w:w="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0"/>
              </w:rPr>
              <w:t>Interest</w:t>
            </w:r>
          </w:p>
        </w:tc>
        <w:tc>
          <w:tcPr>
            <w:tcW w:w="3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Dividend</w:t>
            </w:r>
          </w:p>
        </w:tc>
        <w:tc>
          <w:tcPr>
            <w:tcW w:w="340" w:type="dxa"/>
            <w:vAlign w:val="bottom"/>
          </w:tcPr>
          <w:p>
            <w:pPr>
              <w:spacing w:after="0"/>
              <w:rPr>
                <w:sz w:val="12"/>
                <w:szCs w:val="12"/>
                <w:color w:val="auto"/>
              </w:rPr>
            </w:pPr>
          </w:p>
        </w:tc>
        <w:tc>
          <w:tcPr>
            <w:tcW w:w="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9"/>
              </w:rPr>
              <w:t>2011</w:t>
            </w:r>
          </w:p>
        </w:tc>
        <w:tc>
          <w:tcPr>
            <w:tcW w:w="34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(b)</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2"/>
                <w:szCs w:val="12"/>
                <w:color w:val="auto"/>
              </w:rPr>
            </w:pPr>
          </w:p>
        </w:tc>
        <w:tc>
          <w:tcPr>
            <w:tcW w:w="6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12"/>
                <w:szCs w:val="12"/>
                <w:color w:val="auto"/>
              </w:rPr>
            </w:pPr>
          </w:p>
        </w:tc>
        <w:tc>
          <w:tcPr>
            <w:tcW w:w="8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Gains</w:t>
            </w:r>
          </w:p>
        </w:tc>
        <w:tc>
          <w:tcPr>
            <w:tcW w:w="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3"/>
              </w:rPr>
              <w:t>Income</w:t>
            </w:r>
          </w:p>
        </w:tc>
        <w:tc>
          <w:tcPr>
            <w:tcW w:w="3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w:t>
            </w:r>
          </w:p>
        </w:tc>
        <w:tc>
          <w:tcPr>
            <w:tcW w:w="340" w:type="dxa"/>
            <w:vAlign w:val="bottom"/>
          </w:tcPr>
          <w:p>
            <w:pPr>
              <w:spacing w:after="0"/>
              <w:rPr>
                <w:sz w:val="12"/>
                <w:szCs w:val="12"/>
                <w:color w:val="auto"/>
              </w:rPr>
            </w:pPr>
          </w:p>
        </w:tc>
        <w:tc>
          <w:tcPr>
            <w:tcW w:w="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1"/>
        </w:trPr>
        <w:tc>
          <w:tcPr>
            <w:tcW w:w="2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AFS Technologies,</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42,663</w:t>
            </w:r>
          </w:p>
        </w:tc>
        <w:tc>
          <w:tcPr>
            <w:tcW w:w="9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15,990</w:t>
            </w:r>
          </w:p>
        </w:tc>
        <w:tc>
          <w:tcPr>
            <w:tcW w:w="118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(58,316)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2,724</w:t>
            </w:r>
          </w:p>
        </w:tc>
        <w:tc>
          <w:tcPr>
            <w:tcW w:w="8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$ 1,231</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42,663</w:t>
            </w:r>
          </w:p>
        </w:tc>
        <w:tc>
          <w:tcPr>
            <w:tcW w:w="920" w:type="dxa"/>
            <w:vAlign w:val="bottom"/>
            <w:gridSpan w:val="2"/>
          </w:tcPr>
          <w:p>
            <w:pPr>
              <w:jc w:val="center"/>
              <w:ind w:left="25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15,990</w:t>
            </w:r>
          </w:p>
        </w:tc>
        <w:tc>
          <w:tcPr>
            <w:tcW w:w="1180" w:type="dxa"/>
            <w:vAlign w:val="bottom"/>
            <w:gridSpan w:val="3"/>
          </w:tcPr>
          <w:p>
            <w:pPr>
              <w:ind w:left="3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(58,316)</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(337)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2,724</w:t>
            </w:r>
          </w:p>
        </w:tc>
        <w:tc>
          <w:tcPr>
            <w:tcW w:w="86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$ 1,231</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60" w:hanging="452"/>
        <w:spacing w:after="0" w:line="254" w:lineRule="auto"/>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50" w:lineRule="auto"/>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ind w:left="460" w:right="540" w:hanging="452"/>
        <w:spacing w:after="0" w:line="261" w:lineRule="auto"/>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connection with the redemption of the Company’s preferred equity investment, AFS Technologies, Inc. was no longer an affiliated company as of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2"/>
              </w:rPr>
              <w:t>Nine Months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Nine Months</w:t>
            </w:r>
          </w:p>
        </w:tc>
      </w:tr>
      <w:tr>
        <w:trPr>
          <w:trHeight w:val="149"/>
        </w:trPr>
        <w:tc>
          <w:tcPr>
            <w:tcW w:w="7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Ended</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7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2013</w:t>
            </w:r>
          </w:p>
        </w:tc>
        <w:tc>
          <w:tcPr>
            <w:tcW w:w="5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2012</w:t>
            </w: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Net investment income</w:t>
            </w:r>
          </w:p>
        </w:tc>
        <w:tc>
          <w:tcPr>
            <w:tcW w:w="9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40,508</w:t>
            </w:r>
          </w:p>
        </w:tc>
        <w:tc>
          <w:tcPr>
            <w:tcW w:w="580" w:type="dxa"/>
            <w:vAlign w:val="bottom"/>
          </w:tcPr>
          <w:p>
            <w:pPr>
              <w:spacing w:after="0"/>
              <w:rPr>
                <w:sz w:val="18"/>
                <w:szCs w:val="18"/>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17,137</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6,166</w:t>
            </w: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Net realized gains</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19"/>
                <w:szCs w:val="19"/>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45,927</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27,135</w:t>
            </w:r>
          </w:p>
        </w:tc>
      </w:tr>
      <w:tr>
        <w:trPr>
          <w:trHeight w:val="221"/>
        </w:trPr>
        <w:tc>
          <w:tcPr>
            <w:tcW w:w="716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187,692</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19,077</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5,082</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(40,575)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(17,180)</w:t>
            </w: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gains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w:t>
            </w:r>
          </w:p>
        </w:tc>
      </w:tr>
      <w:tr>
        <w:trPr>
          <w:trHeight w:val="20"/>
        </w:trPr>
        <w:tc>
          <w:tcPr>
            <w:tcW w:w="7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(40,575)</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(19,510)</w:t>
            </w: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7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35,359</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173,264</w:t>
            </w:r>
          </w:p>
        </w:tc>
        <w:tc>
          <w:tcPr>
            <w:tcW w:w="100" w:type="dxa"/>
            <w:vAlign w:val="bottom"/>
            <w:shd w:val="clear" w:color="auto" w:fill="CCEEFF"/>
          </w:tcPr>
          <w:p>
            <w:pPr>
              <w:spacing w:after="0"/>
              <w:rPr>
                <w:sz w:val="18"/>
                <w:szCs w:val="18"/>
                <w:color w:val="auto"/>
              </w:rPr>
            </w:pPr>
          </w:p>
        </w:tc>
      </w:tr>
      <w:tr>
        <w:trPr>
          <w:trHeight w:val="221"/>
        </w:trPr>
        <w:tc>
          <w:tcPr>
            <w:tcW w:w="7160" w:type="dxa"/>
            <w:vAlign w:val="bottom"/>
          </w:tcPr>
          <w:p>
            <w:pPr>
              <w:ind w:left="440"/>
              <w:spacing w:after="0"/>
              <w:rPr>
                <w:sz w:val="20"/>
                <w:szCs w:val="20"/>
                <w:color w:val="auto"/>
              </w:rPr>
            </w:pPr>
            <w:r>
              <w:rPr>
                <w:rFonts w:ascii="Arial" w:cs="Arial" w:eastAsia="Arial" w:hAnsi="Arial"/>
                <w:sz w:val="18"/>
                <w:szCs w:val="18"/>
                <w:b w:val="1"/>
                <w:bCs w:val="1"/>
                <w:color w:val="auto"/>
              </w:rPr>
              <w:t>Total Increase in Net Assets</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81,286</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200,399</w:t>
            </w:r>
          </w:p>
        </w:tc>
      </w:tr>
      <w:tr>
        <w:trPr>
          <w:trHeight w:val="218"/>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assets, beginning of period</w:t>
            </w: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479,803</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173,092</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tcPr>
          <w:p>
            <w:pPr>
              <w:ind w:left="440"/>
              <w:spacing w:after="0"/>
              <w:rPr>
                <w:sz w:val="20"/>
                <w:szCs w:val="20"/>
                <w:color w:val="auto"/>
              </w:rPr>
            </w:pPr>
            <w:r>
              <w:rPr>
                <w:rFonts w:ascii="Arial" w:cs="Arial" w:eastAsia="Arial" w:hAnsi="Arial"/>
                <w:sz w:val="18"/>
                <w:szCs w:val="18"/>
                <w:b w:val="1"/>
                <w:bCs w:val="1"/>
                <w:color w:val="auto"/>
              </w:rPr>
              <w:t>Net Assets, End of Period</w:t>
            </w:r>
          </w:p>
        </w:tc>
        <w:tc>
          <w:tcPr>
            <w:tcW w:w="9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561,089</w:t>
            </w:r>
          </w:p>
        </w:tc>
        <w:tc>
          <w:tcPr>
            <w:tcW w:w="580" w:type="dxa"/>
            <w:vAlign w:val="bottom"/>
          </w:tcPr>
          <w:p>
            <w:pPr>
              <w:spacing w:after="0"/>
              <w:rPr>
                <w:sz w:val="19"/>
                <w:szCs w:val="19"/>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373,491</w:t>
            </w:r>
          </w:p>
        </w:tc>
      </w:tr>
      <w:tr>
        <w:trPr>
          <w:trHeight w:val="20"/>
        </w:trPr>
        <w:tc>
          <w:tcPr>
            <w:tcW w:w="7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Undistributed Net Investment Income Included in Net Assets at the End of the Period</w:t>
            </w:r>
          </w:p>
        </w:tc>
        <w:tc>
          <w:tcPr>
            <w:tcW w:w="9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(1,083)</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2"/>
              </w:rPr>
              <w:t>Nine Months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rPr>
              <w:t>Ended</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2013</w:t>
            </w:r>
          </w:p>
        </w:tc>
        <w:tc>
          <w:tcPr>
            <w:tcW w:w="5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45,927</w:t>
            </w:r>
          </w:p>
        </w:tc>
        <w:tc>
          <w:tcPr>
            <w:tcW w:w="560" w:type="dxa"/>
            <w:vAlign w:val="bottom"/>
          </w:tcPr>
          <w:p>
            <w:pPr>
              <w:spacing w:after="0"/>
              <w:rPr>
                <w:sz w:val="18"/>
                <w:szCs w:val="18"/>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27,135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increase in net assets resulting from operations to net cash used in</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Net change in unrealized gains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(4,004)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gains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(1,415)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Realized gains on foreign currency forward contracts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(5,216)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Amortization of debt issuance costs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1,514</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Purchases of investments, net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(432,428)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Proceeds from investments, net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46,357</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on investments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164,250</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Paid-in-kind interest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(2,061)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Interest receivable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(722)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Management fees payable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Incentive fees payable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Payable to affiliate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1,202</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(1,891)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Cash Used in Operating Activities</w:t>
            </w: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(186,185)</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Borrowings on revolving credit facilities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717,000</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1,067,188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Payments on revolving credit facilities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(710,569)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56,857</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187,692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Dividend paid to stockholders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(17,858)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Debt issuance costs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(1,427)</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Cash Provided by Financing Activities</w:t>
            </w: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44,003</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80" w:type="dxa"/>
            <w:vAlign w:val="bottom"/>
          </w:tcPr>
          <w:p>
            <w:pPr>
              <w:ind w:left="86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(142,182)</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34,599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161,825</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860"/>
              <w:spacing w:after="0"/>
              <w:rPr>
                <w:sz w:val="20"/>
                <w:szCs w:val="20"/>
                <w:color w:val="auto"/>
              </w:rPr>
            </w:pPr>
            <w:r>
              <w:rPr>
                <w:rFonts w:ascii="Arial" w:cs="Arial" w:eastAsia="Arial" w:hAnsi="Arial"/>
                <w:sz w:val="18"/>
                <w:szCs w:val="18"/>
                <w:b w:val="1"/>
                <w:bCs w:val="1"/>
                <w:color w:val="auto"/>
              </w:rPr>
              <w:t>Cash and Cash Equivalents, End of Period</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19,643</w:t>
            </w:r>
          </w:p>
        </w:tc>
        <w:tc>
          <w:tcPr>
            <w:tcW w:w="560" w:type="dxa"/>
            <w:vAlign w:val="bottom"/>
          </w:tcPr>
          <w:p>
            <w:pPr>
              <w:spacing w:after="0"/>
              <w:rPr>
                <w:sz w:val="19"/>
                <w:szCs w:val="19"/>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178,291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Interest paid during the period</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6,263</w:t>
            </w:r>
          </w:p>
        </w:tc>
        <w:tc>
          <w:tcPr>
            <w:tcW w:w="560" w:type="dxa"/>
            <w:vAlign w:val="bottom"/>
          </w:tcPr>
          <w:p>
            <w:pPr>
              <w:spacing w:after="0"/>
              <w:rPr>
                <w:sz w:val="18"/>
                <w:szCs w:val="18"/>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during the period</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40,575</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Reinvestment of dividends during the period</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19,077</w:t>
            </w:r>
          </w:p>
        </w:tc>
        <w:tc>
          <w:tcPr>
            <w:tcW w:w="560" w:type="dxa"/>
            <w:vAlign w:val="bottom"/>
          </w:tcPr>
          <w:p>
            <w:pPr>
              <w:spacing w:after="0"/>
              <w:rPr>
                <w:sz w:val="18"/>
                <w:szCs w:val="18"/>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159" w:lineRule="exact"/>
        <w:rPr>
          <w:sz w:val="20"/>
          <w:szCs w:val="20"/>
          <w:color w:val="auto"/>
        </w:rPr>
      </w:pPr>
    </w:p>
    <w:p>
      <w:pPr>
        <w:ind w:right="8280" w:firstLine="8"/>
        <w:spacing w:after="0" w:line="347" w:lineRule="auto"/>
        <w:tabs>
          <w:tab w:leader="none" w:pos="176"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TPG Specialty Lending, Inc. (collectively with its consolidated subsidiaries,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2012, which was filed with the Securities and Exchange Commission (“SEC”) on March 15, 2013.</w:t>
      </w:r>
    </w:p>
    <w:p>
      <w:pPr>
        <w:spacing w:after="0" w:line="113"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246" w:lineRule="exact"/>
        <w:rPr>
          <w:sz w:val="20"/>
          <w:szCs w:val="20"/>
          <w:color w:val="auto"/>
        </w:rPr>
      </w:pPr>
    </w:p>
    <w:p>
      <w:pPr>
        <w:ind w:right="8900" w:firstLine="8"/>
        <w:spacing w:after="0" w:line="347" w:lineRule="auto"/>
        <w:tabs>
          <w:tab w:leader="none" w:pos="176"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funding date which is generally the date of the binding commitment. Realized gains or losses are measured by the difference between the net proceeds from the repayment or sale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 the reversal of previously recorded unrealized gains or losses with respect to investments realized during the period.</w:t>
      </w:r>
    </w:p>
    <w:p>
      <w:pPr>
        <w:spacing w:after="0" w:line="1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such market quotations. In order to validate market quotations, the Company utilizes a number of factors to determine if the quotations are representative of fair value, including the source and nature of the quotations. Debt and equity securities that are not publicly traded or whose market prices are not readily available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Board considers the pricing indicated by the external event to corroborate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each quarter, which includes, among other procedures, the following:</w:t>
      </w:r>
    </w:p>
    <w:p>
      <w:pPr>
        <w:spacing w:after="0" w:line="90" w:lineRule="exact"/>
        <w:rPr>
          <w:sz w:val="20"/>
          <w:szCs w:val="20"/>
          <w:color w:val="auto"/>
        </w:rPr>
      </w:pPr>
    </w:p>
    <w:p>
      <w:pPr>
        <w:ind w:left="900" w:right="440" w:hanging="325"/>
        <w:spacing w:after="0" w:line="268"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quarterly valuation process begins with each investment being initially valued by the investment professionals responsible for the portfolio investment.</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a value for each investment to the Board.</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connection with debt and equity securities that were valued at fair value in good faith by the Board, the Board has engaged independent third-party valuation firms to perform certain limited procedures that the Board identified and requested them to perform. As of September 30, 2013, independent third-party valuation firms performed their procedures over substantially all of the Company’s investments. Upon completion of such limited procedures for the quarter ended September 30, 2013, the third-party valuation firms determined that the fair value, as determined by the Board, of those investments subjected to their limited procedures, was reasonable.</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The Company applies Financial Accounting Standards Board Accounting Standards Codification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as amended, which establishes a framework for measuring fair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63" w:lineRule="exact"/>
        <w:rPr>
          <w:sz w:val="20"/>
          <w:szCs w:val="20"/>
          <w:color w:val="auto"/>
        </w:rPr>
      </w:pPr>
    </w:p>
    <w:p>
      <w:pPr>
        <w:ind w:left="900" w:hanging="325"/>
        <w:spacing w:after="0"/>
        <w:tabs>
          <w:tab w:leader="none" w:pos="90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580" w:hanging="325"/>
        <w:spacing w:after="0" w:line="268"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(i.e.,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0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9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including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60"/>
          </w:cols>
          <w:pgMar w:left="240" w:top="459" w:right="2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instruments are subject to various risks similar to non-derivative instruments including market, credit, liquidity, and operational risks. The Company manages these risks on an aggregate basis as part of its risk management policies.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90" w:lineRule="exact"/>
        <w:rPr>
          <w:sz w:val="20"/>
          <w:szCs w:val="20"/>
          <w:color w:val="auto"/>
        </w:rPr>
      </w:pPr>
    </w:p>
    <w:p>
      <w:pPr>
        <w:ind w:left="900" w:hanging="325"/>
        <w:spacing w:after="0"/>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market value of investments, other assets and liabilities: at the spot exchange rate on the last business day of the period; and</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purchases and sales of investments, income and expenses: at the rates of exchange prevailing on the respective dates of such transactions, income or expenses.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elected to be treated as a BDC under the 1940 Act. The Company also has elected to be treated as a RIC under the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1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2013-08”). ASU 2013-08 amends the criteria that define</w:t>
      </w:r>
      <w:r>
        <w:rPr>
          <w:rFonts w:ascii="Arial" w:cs="Arial" w:eastAsia="Arial" w:hAnsi="Arial"/>
          <w:sz w:val="18"/>
          <w:szCs w:val="18"/>
          <w:i w:val="1"/>
          <w:iCs w:val="1"/>
          <w:color w:val="auto"/>
        </w:rPr>
        <w:t xml:space="preserve"> </w:t>
      </w:r>
      <w:r>
        <w:rPr>
          <w:rFonts w:ascii="Arial" w:cs="Arial" w:eastAsia="Arial" w:hAnsi="Arial"/>
          <w:sz w:val="18"/>
          <w:szCs w:val="18"/>
          <w:color w:val="auto"/>
        </w:rPr>
        <w:t>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will not have a material effect on the Company’s financial condition and results of operations.</w:t>
      </w:r>
    </w:p>
    <w:p>
      <w:pPr>
        <w:spacing w:after="0" w:line="219" w:lineRule="exact"/>
        <w:rPr>
          <w:sz w:val="20"/>
          <w:szCs w:val="20"/>
          <w:color w:val="auto"/>
        </w:rPr>
      </w:pPr>
    </w:p>
    <w:p>
      <w:pPr>
        <w:ind w:right="7880" w:firstLine="8"/>
        <w:spacing w:after="0" w:line="347" w:lineRule="auto"/>
        <w:tabs>
          <w:tab w:leader="none" w:pos="176"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March 15, 2011, the Company entered into an Administration Agreement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three and nine months ended September 30, 2013, the Company incurred expenses of $0.3 million and $0.9 million, respectively, for administrative services payable to the Adviser under the terms of the Administration Agreement. For the three and nine months ended September 30, 2012, the Company incurred expenses of $0.2 million and $0.7 million, respectively, for administrative services payable to the Adviser under the terms of the Administration Agreement.</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November 5, 2013, the Board renewed the Administration Agreement which now remains in effect, unless earlier terminated as described below, for a period of one year from the date it was approved by the Board. The Administration Agreement may be terminated by either party without penalty upon at least 60 days’ written notice to the other party.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and who serves as a director of the Company receives any compensation from the Company for such services.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a percentage of time such individuals devote, on an estimated basis, to the business and affairs of the Company). Directors who are not affiliated with the Adviser receive compensation for their services and reimbursement of expenses incurred to attend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On April 15, 2011, the Company entered into an Advisory Agreement (the “Advisory Agreement”) with the Adviser. The Advisory Agreement was subsequently amended on December 12, 2011. Under the terms of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80"/>
          </w:cols>
          <w:pgMar w:left="240" w:top="459" w:right="2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Advisory Agreement, the Adviser will provide investment advisory services to the Company. The Adviser’s services under the Advisory Agreement are not exclusive, and the Adviser is free to furnish similar or other services to others so long as its services to the Company are not impaired. Under the terms of the Advisory Agreement, the Company will pay the Adviser a base management fee (the “Management Fee”) and may also pay certain incentive fees (the “Incentive Fee”).</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Management Fees are payable quarterly in arrears and are prorated for any partial month or quarter.</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For the three and nine months ended September 30, 2013, Management Fees were $3.4 million and $9.7 million, respectively. For the three and nine months ended September 30, 2012, Management Fees were $2.5 million and $6.1 million, respectively.</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Until such time that the Company has an initial public offering of its Common Stock (an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For the three and nine months ended September 30, 2013, Management Fees of $1.9 million and $5.0 million, respectively, were waived. For the three and nine months ended September 30, 2012, Management Fees of $1.2 million and $2.4 million, respectively, were waived.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hanging="446"/>
        <w:spacing w:after="0" w:line="306" w:lineRule="auto"/>
        <w:tabs>
          <w:tab w:leader="none" w:pos="9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will equal 100% of the excess of pre-incentive fee net investment income in excess of a 1.5% quarterly hurdle rate until the Adviser has received 15% (17.5% subsequent to an IPO) of total net investment income for that quarter, and 15% (17.5% subsequent to an IPO) of all remaining pre-incentive fee net investment income for that quarter.</w:t>
      </w:r>
    </w:p>
    <w:p>
      <w:pPr>
        <w:spacing w:after="0" w:line="25" w:lineRule="exact"/>
        <w:rPr>
          <w:rFonts w:ascii="Arial" w:cs="Arial" w:eastAsia="Arial" w:hAnsi="Arial"/>
          <w:sz w:val="16"/>
          <w:szCs w:val="16"/>
          <w:color w:val="auto"/>
        </w:rPr>
      </w:pPr>
    </w:p>
    <w:p>
      <w:pPr>
        <w:ind w:left="900" w:right="40" w:hanging="446"/>
        <w:spacing w:after="0" w:line="290" w:lineRule="auto"/>
        <w:tabs>
          <w:tab w:leader="none" w:pos="9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IPO, equal 15% of cumulative realized capital gains from the inception of the Company to the end of such fiscal year, less cumulative realized capital losses, unrealized capital depreciation and net of the aggregate amount of any previously paid capital gain incentive fees for prior periods (the “Capital Gains Fee”). Following an IPO, the Capital Gains Fee will equal a weighted percentage of the Company’s realized capital gains, if any, on a cumulative basis as between the inception of the Company to an IPO and from such IPO to the end of such fiscal year. The weighted percentage is intended to ensure that for each fiscal year following an IPO, the portion of the Company’s realized capital gains that accrued prior to an IPO will be subject to an incentive fee rate of 15% and the portion of the Company’s realized capital gains that accrued following an IPO will be subject to an incentive fee rate of 17.5%.</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Notwithstanding the forgoing, if prior to an IPO, cumulative net realized losses from inception of the Company exceed the aggregate dollar amount of dividends paid by the Company through such date, the Adviser will forego the right to receive its quarterly incentive fee payments with respect to pre-incentive fee net investment income until such time that cumulative net realized losses are less than or equal to dividend payments.</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 accrues Incentive Fees taking into account unrealized gains and losses; however, Section 205(b)(3) of the Investment Advisers Act of 1940, as amended, prohibits the Adviser from receiving the payment of fees until such gains are realized. There can be no assurance that such unrealized gains will be realized in the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460"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For the three and nine months ended September 30, 2013, Incentive Fees were $2.9 million and $8.1 million, respectively, of which $2.6 million and $7.3 million, respectively, were realized and payable to the Adviser. For the three and nine months ended September 30, 2012, Incentive Fees were $2.4 million and $4.8 million, respectively, of which $1.5 million and $3.3 million, respectively, were realized and payable to the Adviser.</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November 5, 2013, the Board renewed the Advisory Agreement which now remains in effect, unless earlier terminated as described below, for a period of one year from the date it was approved by the Board. The Advisory Agreement will automatically terminate in the event of an assignment and may be terminated by either party without penalty upon at least 60 days’ written notice to the other party.</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three and nine months ended September 30, 2013, were $1.2 million and $3.4 million, respectively. Expenses incurred by the Adviser on behalf of the Company for the three and nine months ended September 30, 2012, were $0.9 million and $2.6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(as defined under the 1940 Act).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(as defined under the 1940 Act).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September 30, 2013 and December 31,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September 30, 2013</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Amortized Cost</w:t>
            </w:r>
          </w:p>
        </w:tc>
        <w:tc>
          <w:tcPr>
            <w:tcW w:w="86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317"/>
              <w:spacing w:after="0"/>
              <w:rPr>
                <w:sz w:val="20"/>
                <w:szCs w:val="20"/>
                <w:color w:val="auto"/>
              </w:rPr>
            </w:pPr>
            <w:r>
              <w:rPr>
                <w:rFonts w:ascii="Arial" w:cs="Arial" w:eastAsia="Arial" w:hAnsi="Arial"/>
                <w:sz w:val="11"/>
                <w:szCs w:val="11"/>
                <w:b w:val="1"/>
                <w:bCs w:val="1"/>
                <w:color w:val="auto"/>
              </w:rPr>
              <w:t>(1)</w:t>
            </w:r>
          </w:p>
        </w:tc>
        <w:tc>
          <w:tcPr>
            <w:tcW w:w="8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Gains (Losses)</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794,192</w:t>
            </w:r>
          </w:p>
        </w:tc>
        <w:tc>
          <w:tcPr>
            <w:tcW w:w="8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$803,942</w:t>
            </w: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77,608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83,668</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2,780</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1,720</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874,580</w:t>
            </w:r>
          </w:p>
        </w:tc>
        <w:tc>
          <w:tcPr>
            <w:tcW w:w="8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889,330</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December 31, 2012</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Amortized Cost</w:t>
            </w:r>
          </w:p>
        </w:tc>
        <w:tc>
          <w:tcPr>
            <w:tcW w:w="86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317"/>
              <w:spacing w:after="0"/>
              <w:rPr>
                <w:sz w:val="20"/>
                <w:szCs w:val="20"/>
                <w:color w:val="auto"/>
              </w:rPr>
            </w:pPr>
            <w:r>
              <w:rPr>
                <w:rFonts w:ascii="Arial" w:cs="Arial" w:eastAsia="Arial" w:hAnsi="Arial"/>
                <w:sz w:val="11"/>
                <w:szCs w:val="11"/>
                <w:b w:val="1"/>
                <w:bCs w:val="1"/>
                <w:color w:val="auto"/>
              </w:rPr>
              <w:t>(1)</w:t>
            </w:r>
          </w:p>
        </w:tc>
        <w:tc>
          <w:tcPr>
            <w:tcW w:w="8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575,089</w:t>
            </w:r>
          </w:p>
        </w:tc>
        <w:tc>
          <w:tcPr>
            <w:tcW w:w="8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$582,287</w:t>
            </w: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67,332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69,657</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8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644,421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80" w:right="60" w:hanging="572"/>
        <w:spacing w:after="0" w:line="268" w:lineRule="auto"/>
        <w:tabs>
          <w:tab w:leader="none" w:pos="5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as of September 30, 2013 and December 31, 2012,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5"/>
              </w:rPr>
              <w:t>September 30, 2013</w:t>
            </w:r>
          </w:p>
        </w:tc>
        <w:tc>
          <w:tcPr>
            <w:tcW w:w="760" w:type="dxa"/>
            <w:vAlign w:val="bottom"/>
          </w:tcPr>
          <w:p>
            <w:pPr>
              <w:spacing w:after="0"/>
              <w:rPr>
                <w:sz w:val="14"/>
                <w:szCs w:val="14"/>
                <w:color w:val="auto"/>
              </w:rPr>
            </w:pPr>
          </w:p>
        </w:tc>
        <w:tc>
          <w:tcPr>
            <w:tcW w:w="1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26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6.1%</w:t>
            </w:r>
          </w:p>
        </w:tc>
        <w:tc>
          <w:tcPr>
            <w:tcW w:w="62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Automotive</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6.9%</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5.1%</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Business services</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14.2%</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5.9%</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5.3%</w:t>
            </w: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Education</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Financial services</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10.0%</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15.5%</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8.0%</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5.8%</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Insurance</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4.0%</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Office products</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2.3%</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4.6%</w:t>
            </w: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Transportation</w:t>
            </w:r>
          </w:p>
        </w:tc>
        <w:tc>
          <w:tcPr>
            <w:tcW w:w="1260" w:type="dxa"/>
            <w:vAlign w:val="bottom"/>
          </w:tcPr>
          <w:p>
            <w:pPr>
              <w:spacing w:after="0"/>
              <w:rPr>
                <w:sz w:val="18"/>
                <w:szCs w:val="18"/>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as of September 30, 2013 and December 31, 2012,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37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September 30, 2013</w:t>
            </w:r>
          </w:p>
        </w:tc>
        <w:tc>
          <w:tcPr>
            <w:tcW w:w="1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r>
      <w:tr>
        <w:trPr>
          <w:trHeight w:val="196"/>
        </w:trPr>
        <w:tc>
          <w:tcPr>
            <w:tcW w:w="3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8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060" w:type="dxa"/>
            <w:vAlign w:val="bottom"/>
          </w:tcPr>
          <w:p>
            <w:pPr>
              <w:ind w:left="440"/>
              <w:spacing w:after="0"/>
              <w:rPr>
                <w:sz w:val="20"/>
                <w:szCs w:val="20"/>
                <w:color w:val="auto"/>
              </w:rPr>
            </w:pPr>
            <w:r>
              <w:rPr>
                <w:rFonts w:ascii="Arial" w:cs="Arial" w:eastAsia="Arial" w:hAnsi="Arial"/>
                <w:sz w:val="18"/>
                <w:szCs w:val="18"/>
                <w:color w:val="auto"/>
              </w:rPr>
              <w:t>Midwest</w:t>
            </w:r>
          </w:p>
        </w:tc>
        <w:tc>
          <w:tcPr>
            <w:tcW w:w="3700" w:type="dxa"/>
            <w:vAlign w:val="bottom"/>
            <w:gridSpan w:val="3"/>
          </w:tcPr>
          <w:p>
            <w:pPr>
              <w:jc w:val="right"/>
              <w:ind w:right="620"/>
              <w:spacing w:after="0"/>
              <w:rPr>
                <w:sz w:val="20"/>
                <w:szCs w:val="20"/>
                <w:color w:val="auto"/>
              </w:rPr>
            </w:pPr>
            <w:r>
              <w:rPr>
                <w:rFonts w:ascii="Arial" w:cs="Arial" w:eastAsia="Arial" w:hAnsi="Arial"/>
                <w:sz w:val="18"/>
                <w:szCs w:val="18"/>
                <w:color w:val="auto"/>
              </w:rPr>
              <w:t>16.5%</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18.8%</w:t>
            </w:r>
          </w:p>
        </w:tc>
      </w:tr>
      <w:tr>
        <w:trPr>
          <w:trHeight w:val="216"/>
        </w:trPr>
        <w:tc>
          <w:tcPr>
            <w:tcW w:w="3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3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3060" w:type="dxa"/>
            <w:vAlign w:val="bottom"/>
          </w:tcPr>
          <w:p>
            <w:pPr>
              <w:ind w:left="440"/>
              <w:spacing w:after="0"/>
              <w:rPr>
                <w:sz w:val="20"/>
                <w:szCs w:val="20"/>
                <w:color w:val="auto"/>
              </w:rPr>
            </w:pPr>
            <w:r>
              <w:rPr>
                <w:rFonts w:ascii="Arial" w:cs="Arial" w:eastAsia="Arial" w:hAnsi="Arial"/>
                <w:sz w:val="18"/>
                <w:szCs w:val="18"/>
                <w:color w:val="auto"/>
              </w:rPr>
              <w:t>South</w:t>
            </w:r>
          </w:p>
        </w:tc>
        <w:tc>
          <w:tcPr>
            <w:tcW w:w="3700" w:type="dxa"/>
            <w:vAlign w:val="bottom"/>
            <w:gridSpan w:val="3"/>
          </w:tcPr>
          <w:p>
            <w:pPr>
              <w:jc w:val="right"/>
              <w:ind w:right="620"/>
              <w:spacing w:after="0"/>
              <w:rPr>
                <w:sz w:val="20"/>
                <w:szCs w:val="20"/>
                <w:color w:val="auto"/>
              </w:rPr>
            </w:pPr>
            <w:r>
              <w:rPr>
                <w:rFonts w:ascii="Arial" w:cs="Arial" w:eastAsia="Arial" w:hAnsi="Arial"/>
                <w:sz w:val="18"/>
                <w:szCs w:val="18"/>
                <w:color w:val="auto"/>
              </w:rPr>
              <w:t>25.4%</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25.7%</w:t>
            </w:r>
          </w:p>
        </w:tc>
      </w:tr>
      <w:tr>
        <w:trPr>
          <w:trHeight w:val="216"/>
        </w:trPr>
        <w:tc>
          <w:tcPr>
            <w:tcW w:w="3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3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32.8%</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Europe</w:t>
            </w:r>
          </w:p>
        </w:tc>
        <w:tc>
          <w:tcPr>
            <w:tcW w:w="1800" w:type="dxa"/>
            <w:vAlign w:val="bottom"/>
          </w:tcPr>
          <w:p>
            <w:pPr>
              <w:spacing w:after="0"/>
              <w:rPr>
                <w:sz w:val="18"/>
                <w:szCs w:val="18"/>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3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0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8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3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140" w:firstLine="8"/>
        <w:spacing w:after="0" w:line="444" w:lineRule="auto"/>
        <w:tabs>
          <w:tab w:leader="none" w:pos="176"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Derivatives </w:t>
      </w:r>
      <w:r>
        <w:rPr>
          <w:rFonts w:ascii="Arial" w:cs="Arial" w:eastAsia="Arial" w:hAnsi="Arial"/>
          <w:sz w:val="16"/>
          <w:szCs w:val="16"/>
          <w:i w:val="1"/>
          <w:iCs w:val="1"/>
          <w:color w:val="auto"/>
        </w:rPr>
        <w:t>Foreign Currency</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typically have terms of approximately one month. The volume of open contracts at the end of each reporting period is reflective of the typical volume of transactions during each month. Risks may arise as a result of the potential inability of the counterparties to meet the terms of their contracts. The Company attempts to limit this risk by dealing with only creditworthy counterparties.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00"/>
          </w:cols>
          <w:pgMar w:left="240" w:top="460" w:right="2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During the three and nine months ended September 30, 2013, we entered into foreign currency forward contracts related to our investments in Jeeves Information Systems AB (SEK) and Soho House Bond Ltd. (GBP).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details of open foreign currency forward contracts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Unrealized</w:t>
            </w:r>
          </w:p>
        </w:tc>
        <w:tc>
          <w:tcPr>
            <w:tcW w:w="0" w:type="dxa"/>
            <w:vAlign w:val="bottom"/>
          </w:tcPr>
          <w:p>
            <w:pPr>
              <w:spacing w:after="0"/>
              <w:rPr>
                <w:sz w:val="1"/>
                <w:szCs w:val="1"/>
                <w:color w:val="auto"/>
              </w:rPr>
            </w:pPr>
          </w:p>
        </w:tc>
      </w:tr>
      <w:tr>
        <w:trPr>
          <w:trHeight w:val="149"/>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2"/>
              </w:rPr>
              <w:t>Foreign Currency</w:t>
            </w:r>
          </w:p>
        </w:tc>
        <w:tc>
          <w:tcPr>
            <w:tcW w:w="224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8"/>
              </w:rPr>
              <w:t>Amount (in ‘000s)</w:t>
            </w:r>
          </w:p>
        </w:tc>
        <w:tc>
          <w:tcPr>
            <w:tcW w:w="16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USD Value at</w:t>
            </w:r>
          </w:p>
        </w:tc>
        <w:tc>
          <w:tcPr>
            <w:tcW w:w="120" w:type="dxa"/>
            <w:vAlign w:val="bottom"/>
          </w:tcPr>
          <w:p>
            <w:pPr>
              <w:spacing w:after="0"/>
              <w:rPr>
                <w:sz w:val="12"/>
                <w:szCs w:val="12"/>
                <w:color w:val="auto"/>
              </w:rPr>
            </w:pPr>
          </w:p>
        </w:tc>
        <w:tc>
          <w:tcPr>
            <w:tcW w:w="1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USD Value at</w:t>
            </w: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Appreciation</w:t>
            </w:r>
          </w:p>
        </w:tc>
        <w:tc>
          <w:tcPr>
            <w:tcW w:w="0" w:type="dxa"/>
            <w:vAlign w:val="bottom"/>
          </w:tcPr>
          <w:p>
            <w:pPr>
              <w:spacing w:after="0"/>
              <w:rPr>
                <w:sz w:val="1"/>
                <w:szCs w:val="1"/>
                <w:color w:val="auto"/>
              </w:rPr>
            </w:pPr>
          </w:p>
        </w:tc>
      </w:tr>
      <w:tr>
        <w:trPr>
          <w:trHeight w:val="168"/>
        </w:trPr>
        <w:tc>
          <w:tcPr>
            <w:tcW w:w="1100" w:type="dxa"/>
            <w:vAlign w:val="bottom"/>
            <w:tcBorders>
              <w:bottom w:val="single" w:sz="8" w:color="auto"/>
            </w:tcBorders>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96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Settlement Date</w:t>
            </w:r>
          </w:p>
        </w:tc>
        <w:tc>
          <w:tcPr>
            <w:tcW w:w="174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and Transaction</w:t>
            </w:r>
          </w:p>
        </w:tc>
        <w:tc>
          <w:tcPr>
            <w:tcW w:w="16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Settlement Date</w:t>
            </w:r>
          </w:p>
        </w:tc>
        <w:tc>
          <w:tcPr>
            <w:tcW w:w="18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September 30, 2013</w:t>
            </w:r>
          </w:p>
        </w:tc>
        <w:tc>
          <w:tcPr>
            <w:tcW w:w="9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7"/>
              </w:rPr>
              <w:t>(Depreciation)</w:t>
            </w:r>
          </w:p>
        </w:tc>
        <w:tc>
          <w:tcPr>
            <w:tcW w:w="0" w:type="dxa"/>
            <w:vAlign w:val="bottom"/>
          </w:tcPr>
          <w:p>
            <w:pPr>
              <w:spacing w:after="0"/>
              <w:rPr>
                <w:sz w:val="1"/>
                <w:szCs w:val="1"/>
                <w:color w:val="auto"/>
              </w:rPr>
            </w:pPr>
          </w:p>
        </w:tc>
      </w:tr>
      <w:tr>
        <w:trPr>
          <w:trHeight w:val="203"/>
        </w:trPr>
        <w:tc>
          <w:tcPr>
            <w:tcW w:w="3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Swedish Kronor (SEK)</w:t>
            </w:r>
          </w:p>
        </w:tc>
        <w:tc>
          <w:tcPr>
            <w:tcW w:w="12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October 17, 2013</w:t>
            </w:r>
          </w:p>
        </w:tc>
        <w:tc>
          <w:tcPr>
            <w:tcW w:w="6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193,326 sold</w:t>
            </w:r>
          </w:p>
        </w:tc>
        <w:tc>
          <w:tcPr>
            <w:tcW w:w="6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77"/>
              </w:rPr>
              <w:t>(28,949)</w:t>
            </w: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w w:val="77"/>
              </w:rPr>
              <w:t>(30,088)</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British Pound (GBP)</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October 17, 2013</w:t>
            </w: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7,000 sold</w:t>
            </w:r>
          </w:p>
        </w:tc>
        <w:tc>
          <w:tcPr>
            <w:tcW w:w="24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color w:val="auto"/>
              </w:rPr>
              <w:t>(11,251)</w:t>
            </w:r>
          </w:p>
        </w:tc>
        <w:tc>
          <w:tcPr>
            <w:tcW w:w="120" w:type="dxa"/>
            <w:vAlign w:val="bottom"/>
          </w:tcPr>
          <w:p>
            <w:pPr>
              <w:spacing w:after="0"/>
              <w:rPr>
                <w:sz w:val="18"/>
                <w:szCs w:val="18"/>
                <w:color w:val="auto"/>
              </w:rPr>
            </w:pPr>
          </w:p>
        </w:tc>
        <w:tc>
          <w:tcPr>
            <w:tcW w:w="1700" w:type="dxa"/>
            <w:vAlign w:val="bottom"/>
            <w:gridSpan w:val="2"/>
          </w:tcPr>
          <w:p>
            <w:pPr>
              <w:ind w:left="480"/>
              <w:spacing w:after="0"/>
              <w:rPr>
                <w:sz w:val="20"/>
                <w:szCs w:val="20"/>
                <w:color w:val="auto"/>
              </w:rPr>
            </w:pPr>
            <w:r>
              <w:rPr>
                <w:rFonts w:ascii="Arial" w:cs="Arial" w:eastAsia="Arial" w:hAnsi="Arial"/>
                <w:sz w:val="18"/>
                <w:szCs w:val="18"/>
                <w:color w:val="auto"/>
              </w:rPr>
              <w:t>(11,335)</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(40,200)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(41,423)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open foreign currency forward contracts as of December 31, 2012.</w:t>
      </w:r>
    </w:p>
    <w:p>
      <w:pPr>
        <w:spacing w:after="0" w:line="246" w:lineRule="exact"/>
        <w:rPr>
          <w:sz w:val="20"/>
          <w:szCs w:val="20"/>
          <w:color w:val="auto"/>
        </w:rPr>
      </w:pPr>
    </w:p>
    <w:p>
      <w:pPr>
        <w:ind w:right="8280" w:firstLine="8"/>
        <w:spacing w:after="0" w:line="444" w:lineRule="auto"/>
        <w:tabs>
          <w:tab w:leader="none" w:pos="176" w:val="left"/>
        </w:tabs>
        <w:numPr>
          <w:ilvl w:val="0"/>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i w:val="1"/>
          <w:iCs w:val="1"/>
          <w:color w:val="auto"/>
        </w:rPr>
        <w:t>Financial Instruments Carried at Fair Value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fair value measurements for Investments at fair value and foreign currency forward contracts based on the inputs used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and December 31, 2012:</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89"/>
              </w:rPr>
              <w:t>Fair Value Hierarchy at September 30, 2013</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600" w:type="dxa"/>
            <w:vAlign w:val="bottom"/>
          </w:tcPr>
          <w:p>
            <w:pPr>
              <w:spacing w:after="0"/>
              <w:rPr>
                <w:sz w:val="12"/>
                <w:szCs w:val="12"/>
                <w:color w:val="auto"/>
              </w:rPr>
            </w:pPr>
          </w:p>
        </w:tc>
        <w:tc>
          <w:tcPr>
            <w:tcW w:w="108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Level 2</w:t>
            </w:r>
          </w:p>
        </w:tc>
        <w:tc>
          <w:tcPr>
            <w:tcW w:w="12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68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$22,129</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$781,813</w:t>
            </w:r>
          </w:p>
        </w:tc>
        <w:tc>
          <w:tcPr>
            <w:tcW w:w="5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$803,942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31,430</w:t>
            </w:r>
          </w:p>
        </w:tc>
        <w:tc>
          <w:tcPr>
            <w:tcW w:w="680" w:type="dxa"/>
            <w:vAlign w:val="bottom"/>
          </w:tcPr>
          <w:p>
            <w:pPr>
              <w:jc w:val="right"/>
              <w:spacing w:after="0"/>
              <w:rPr>
                <w:sz w:val="20"/>
                <w:szCs w:val="20"/>
                <w:color w:val="auto"/>
              </w:rPr>
            </w:pPr>
            <w:r>
              <w:rPr>
                <w:rFonts w:ascii="Arial" w:cs="Arial" w:eastAsia="Arial" w:hAnsi="Arial"/>
                <w:sz w:val="18"/>
                <w:szCs w:val="18"/>
                <w:color w:val="auto"/>
              </w:rPr>
              <w:t>52,238</w:t>
            </w:r>
          </w:p>
        </w:tc>
        <w:tc>
          <w:tcPr>
            <w:tcW w:w="56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83,668</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2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Equity</w:t>
            </w:r>
          </w:p>
        </w:tc>
        <w:tc>
          <w:tcPr>
            <w:tcW w:w="24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19"/>
                <w:szCs w:val="19"/>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53,559</w:t>
            </w:r>
          </w:p>
        </w:tc>
        <w:tc>
          <w:tcPr>
            <w:tcW w:w="5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835,771</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889,330</w:t>
            </w:r>
          </w:p>
        </w:tc>
        <w:tc>
          <w:tcPr>
            <w:tcW w:w="100" w:type="dxa"/>
            <w:vAlign w:val="bottom"/>
            <w:shd w:val="clear" w:color="auto" w:fill="CCEEFF"/>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2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(1,223)</w:t>
            </w: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(1,223)</w:t>
            </w:r>
          </w:p>
        </w:tc>
      </w:tr>
      <w:tr>
        <w:trPr>
          <w:trHeight w:val="28"/>
        </w:trPr>
        <w:tc>
          <w:tcPr>
            <w:tcW w:w="39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52,336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835,771</w:t>
            </w:r>
          </w:p>
        </w:tc>
        <w:tc>
          <w:tcPr>
            <w:tcW w:w="5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888,107</w:t>
            </w:r>
          </w:p>
        </w:tc>
      </w:tr>
      <w:tr>
        <w:trPr>
          <w:trHeight w:val="20"/>
        </w:trPr>
        <w:tc>
          <w:tcPr>
            <w:tcW w:w="3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w w:val="90"/>
              </w:rPr>
              <w:t>Fair Value Hierarchy at December 31, 2012</w:t>
            </w: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9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600" w:type="dxa"/>
            <w:vAlign w:val="bottom"/>
          </w:tcPr>
          <w:p>
            <w:pPr>
              <w:spacing w:after="0"/>
              <w:rPr>
                <w:sz w:val="12"/>
                <w:szCs w:val="12"/>
                <w:color w:val="auto"/>
              </w:rPr>
            </w:pPr>
          </w:p>
        </w:tc>
        <w:tc>
          <w:tcPr>
            <w:tcW w:w="108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Level 2</w:t>
            </w:r>
          </w:p>
        </w:tc>
        <w:tc>
          <w:tcPr>
            <w:tcW w:w="12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68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$68,183</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$514,104</w:t>
            </w:r>
          </w:p>
        </w:tc>
        <w:tc>
          <w:tcPr>
            <w:tcW w:w="5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$582,287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16,467</w:t>
            </w:r>
          </w:p>
        </w:tc>
        <w:tc>
          <w:tcPr>
            <w:tcW w:w="680" w:type="dxa"/>
            <w:vAlign w:val="bottom"/>
          </w:tcPr>
          <w:p>
            <w:pPr>
              <w:jc w:val="right"/>
              <w:spacing w:after="0"/>
              <w:rPr>
                <w:sz w:val="20"/>
                <w:szCs w:val="20"/>
                <w:color w:val="auto"/>
              </w:rPr>
            </w:pPr>
            <w:r>
              <w:rPr>
                <w:rFonts w:ascii="Arial" w:cs="Arial" w:eastAsia="Arial" w:hAnsi="Arial"/>
                <w:sz w:val="18"/>
                <w:szCs w:val="18"/>
                <w:color w:val="auto"/>
              </w:rPr>
              <w:t>53,190</w:t>
            </w:r>
          </w:p>
        </w:tc>
        <w:tc>
          <w:tcPr>
            <w:tcW w:w="56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69,657</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2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Equity</w:t>
            </w:r>
          </w:p>
        </w:tc>
        <w:tc>
          <w:tcPr>
            <w:tcW w:w="24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84,650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569,294</w:t>
            </w:r>
          </w:p>
        </w:tc>
        <w:tc>
          <w:tcPr>
            <w:tcW w:w="5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653,944</w:t>
            </w:r>
          </w:p>
        </w:tc>
      </w:tr>
      <w:tr>
        <w:trPr>
          <w:trHeight w:val="20"/>
        </w:trPr>
        <w:tc>
          <w:tcPr>
            <w:tcW w:w="3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940" w:type="dxa"/>
            <w:vAlign w:val="bottom"/>
          </w:tcPr>
          <w:p>
            <w:pPr>
              <w:spacing w:after="0"/>
              <w:rPr>
                <w:sz w:val="24"/>
                <w:szCs w:val="24"/>
                <w:color w:val="auto"/>
              </w:rPr>
            </w:pPr>
          </w:p>
        </w:tc>
        <w:tc>
          <w:tcPr>
            <w:tcW w:w="2820" w:type="dxa"/>
            <w:vAlign w:val="bottom"/>
            <w:gridSpan w:val="2"/>
          </w:tcPr>
          <w:p>
            <w:pPr>
              <w:jc w:val="right"/>
              <w:ind w:right="1255"/>
              <w:spacing w:after="0"/>
              <w:rPr>
                <w:sz w:val="20"/>
                <w:szCs w:val="20"/>
                <w:color w:val="auto"/>
              </w:rPr>
            </w:pPr>
            <w:r>
              <w:rPr>
                <w:rFonts w:ascii="Arial" w:cs="Arial" w:eastAsia="Arial" w:hAnsi="Arial"/>
                <w:sz w:val="18"/>
                <w:szCs w:val="18"/>
                <w:color w:val="auto"/>
              </w:rPr>
              <w:t>F-49</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changes in Investments at fair value that use Level 3 inputs as of and for the three and nine months ended September 30, 2013:</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As of and for the Three</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8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Months Ended September 30, 2013</w:t>
            </w: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860" w:type="dxa"/>
            <w:vAlign w:val="bottom"/>
          </w:tcPr>
          <w:p>
            <w:pPr>
              <w:spacing w:after="0"/>
              <w:rPr>
                <w:sz w:val="11"/>
                <w:szCs w:val="11"/>
                <w:color w:val="auto"/>
              </w:rPr>
            </w:pPr>
          </w:p>
        </w:tc>
        <w:tc>
          <w:tcPr>
            <w:tcW w:w="940" w:type="dxa"/>
            <w:vAlign w:val="bottom"/>
            <w:gridSpan w:val="2"/>
          </w:tcPr>
          <w:p>
            <w:pPr>
              <w:jc w:val="center"/>
              <w:ind w:right="152"/>
              <w:spacing w:after="0" w:line="129" w:lineRule="exact"/>
              <w:rPr>
                <w:sz w:val="20"/>
                <w:szCs w:val="20"/>
                <w:color w:val="auto"/>
              </w:rPr>
            </w:pPr>
            <w:r>
              <w:rPr>
                <w:rFonts w:ascii="Arial" w:cs="Arial" w:eastAsia="Arial" w:hAnsi="Arial"/>
                <w:sz w:val="14"/>
                <w:szCs w:val="14"/>
                <w:b w:val="1"/>
                <w:bCs w:val="1"/>
                <w:color w:val="auto"/>
                <w:w w:val="89"/>
              </w:rPr>
              <w:t>Debt</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860" w:type="dxa"/>
            <w:vAlign w:val="bottom"/>
          </w:tcPr>
          <w:p>
            <w:pPr>
              <w:spacing w:after="0"/>
              <w:rPr>
                <w:sz w:val="14"/>
                <w:szCs w:val="14"/>
                <w:color w:val="auto"/>
              </w:rPr>
            </w:pPr>
          </w:p>
        </w:tc>
        <w:tc>
          <w:tcPr>
            <w:tcW w:w="94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3"/>
              </w:rPr>
              <w:t>Investments</w:t>
            </w:r>
          </w:p>
        </w:tc>
        <w:tc>
          <w:tcPr>
            <w:tcW w:w="48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5"/>
              </w:rPr>
              <w:t>Investments</w:t>
            </w:r>
          </w:p>
        </w:tc>
        <w:tc>
          <w:tcPr>
            <w:tcW w:w="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10"/>
        </w:trPr>
        <w:tc>
          <w:tcPr>
            <w:tcW w:w="6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$ 744,206</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$ 745,450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Purchases</w:t>
            </w:r>
          </w:p>
        </w:tc>
        <w:tc>
          <w:tcPr>
            <w:tcW w:w="720" w:type="dxa"/>
            <w:vAlign w:val="bottom"/>
          </w:tcPr>
          <w:p>
            <w:pPr>
              <w:jc w:val="right"/>
              <w:spacing w:after="0"/>
              <w:rPr>
                <w:sz w:val="20"/>
                <w:szCs w:val="20"/>
                <w:color w:val="auto"/>
              </w:rPr>
            </w:pPr>
            <w:r>
              <w:rPr>
                <w:rFonts w:ascii="Arial" w:cs="Arial" w:eastAsia="Arial" w:hAnsi="Arial"/>
                <w:sz w:val="18"/>
                <w:szCs w:val="18"/>
                <w:color w:val="auto"/>
              </w:rPr>
              <w:t>146,192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780</w:t>
            </w:r>
          </w:p>
        </w:tc>
        <w:tc>
          <w:tcPr>
            <w:tcW w:w="6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146,972</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Repayments / redemptions</w:t>
            </w:r>
          </w:p>
        </w:tc>
        <w:tc>
          <w:tcPr>
            <w:tcW w:w="9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(60,965)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(60,965)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Paid-in-kind interest</w:t>
            </w:r>
          </w:p>
        </w:tc>
        <w:tc>
          <w:tcPr>
            <w:tcW w:w="720" w:type="dxa"/>
            <w:vAlign w:val="bottom"/>
          </w:tcPr>
          <w:p>
            <w:pPr>
              <w:jc w:val="right"/>
              <w:spacing w:after="0"/>
              <w:rPr>
                <w:sz w:val="20"/>
                <w:szCs w:val="20"/>
                <w:color w:val="auto"/>
              </w:rPr>
            </w:pPr>
            <w:r>
              <w:rPr>
                <w:rFonts w:ascii="Arial" w:cs="Arial" w:eastAsia="Arial" w:hAnsi="Arial"/>
                <w:sz w:val="18"/>
                <w:szCs w:val="18"/>
                <w:color w:val="auto"/>
              </w:rPr>
              <w:t>808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808</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(304)</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1,862</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$ 834,051</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6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$ 835,771</w:t>
            </w:r>
          </w:p>
        </w:tc>
      </w:tr>
      <w:tr>
        <w:trPr>
          <w:trHeight w:val="20"/>
        </w:trPr>
        <w:tc>
          <w:tcPr>
            <w:tcW w:w="68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0"/>
        </w:trPr>
        <w:tc>
          <w:tcPr>
            <w:tcW w:w="6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As of and for the Nine</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68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Months Ended September 30, 2013</w:t>
            </w: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860" w:type="dxa"/>
            <w:vAlign w:val="bottom"/>
          </w:tcPr>
          <w:p>
            <w:pPr>
              <w:spacing w:after="0"/>
              <w:rPr>
                <w:sz w:val="11"/>
                <w:szCs w:val="11"/>
                <w:color w:val="auto"/>
              </w:rPr>
            </w:pPr>
          </w:p>
        </w:tc>
        <w:tc>
          <w:tcPr>
            <w:tcW w:w="940" w:type="dxa"/>
            <w:vAlign w:val="bottom"/>
            <w:gridSpan w:val="2"/>
          </w:tcPr>
          <w:p>
            <w:pPr>
              <w:jc w:val="center"/>
              <w:ind w:right="152"/>
              <w:spacing w:after="0" w:line="129" w:lineRule="exact"/>
              <w:rPr>
                <w:sz w:val="20"/>
                <w:szCs w:val="20"/>
                <w:color w:val="auto"/>
              </w:rPr>
            </w:pPr>
            <w:r>
              <w:rPr>
                <w:rFonts w:ascii="Arial" w:cs="Arial" w:eastAsia="Arial" w:hAnsi="Arial"/>
                <w:sz w:val="14"/>
                <w:szCs w:val="14"/>
                <w:b w:val="1"/>
                <w:bCs w:val="1"/>
                <w:color w:val="auto"/>
                <w:w w:val="89"/>
              </w:rPr>
              <w:t>Debt</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860" w:type="dxa"/>
            <w:vAlign w:val="bottom"/>
          </w:tcPr>
          <w:p>
            <w:pPr>
              <w:spacing w:after="0"/>
              <w:rPr>
                <w:sz w:val="14"/>
                <w:szCs w:val="14"/>
                <w:color w:val="auto"/>
              </w:rPr>
            </w:pPr>
          </w:p>
        </w:tc>
        <w:tc>
          <w:tcPr>
            <w:tcW w:w="94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3"/>
              </w:rPr>
              <w:t>Investments</w:t>
            </w:r>
          </w:p>
        </w:tc>
        <w:tc>
          <w:tcPr>
            <w:tcW w:w="48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5"/>
              </w:rPr>
              <w:t>Investments</w:t>
            </w:r>
          </w:p>
        </w:tc>
        <w:tc>
          <w:tcPr>
            <w:tcW w:w="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10"/>
        </w:trPr>
        <w:tc>
          <w:tcPr>
            <w:tcW w:w="6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$ 567,294</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$ 569,294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Purchases</w:t>
            </w:r>
          </w:p>
        </w:tc>
        <w:tc>
          <w:tcPr>
            <w:tcW w:w="720" w:type="dxa"/>
            <w:vAlign w:val="bottom"/>
          </w:tcPr>
          <w:p>
            <w:pPr>
              <w:jc w:val="right"/>
              <w:spacing w:after="0"/>
              <w:rPr>
                <w:sz w:val="20"/>
                <w:szCs w:val="20"/>
                <w:color w:val="auto"/>
              </w:rPr>
            </w:pPr>
            <w:r>
              <w:rPr>
                <w:rFonts w:ascii="Arial" w:cs="Arial" w:eastAsia="Arial" w:hAnsi="Arial"/>
                <w:sz w:val="18"/>
                <w:szCs w:val="18"/>
                <w:color w:val="auto"/>
              </w:rPr>
              <w:t>389,756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780</w:t>
            </w:r>
          </w:p>
        </w:tc>
        <w:tc>
          <w:tcPr>
            <w:tcW w:w="6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390,536</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9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(30,615)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940" w:type="dxa"/>
            <w:vAlign w:val="bottom"/>
            <w:gridSpan w:val="2"/>
          </w:tcPr>
          <w:p>
            <w:pPr>
              <w:jc w:val="right"/>
              <w:ind w:right="92"/>
              <w:spacing w:after="0"/>
              <w:rPr>
                <w:sz w:val="20"/>
                <w:szCs w:val="20"/>
                <w:color w:val="auto"/>
              </w:rPr>
            </w:pPr>
            <w:r>
              <w:rPr>
                <w:rFonts w:ascii="Arial" w:cs="Arial" w:eastAsia="Arial" w:hAnsi="Arial"/>
                <w:sz w:val="18"/>
                <w:szCs w:val="18"/>
                <w:color w:val="auto"/>
                <w:w w:val="98"/>
              </w:rPr>
              <w:t>(132,988)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(132,988)</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2,060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720" w:type="dxa"/>
            <w:vAlign w:val="bottom"/>
          </w:tcPr>
          <w:p>
            <w:pPr>
              <w:jc w:val="right"/>
              <w:spacing w:after="0"/>
              <w:rPr>
                <w:sz w:val="20"/>
                <w:szCs w:val="20"/>
                <w:color w:val="auto"/>
              </w:rPr>
            </w:pPr>
            <w:r>
              <w:rPr>
                <w:rFonts w:ascii="Arial" w:cs="Arial" w:eastAsia="Arial" w:hAnsi="Arial"/>
                <w:sz w:val="18"/>
                <w:szCs w:val="18"/>
                <w:color w:val="auto"/>
              </w:rPr>
              <w:t>4,241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(1,060)</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3,181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20" w:type="dxa"/>
            <w:vAlign w:val="bottom"/>
          </w:tcPr>
          <w:p>
            <w:pPr>
              <w:jc w:val="right"/>
              <w:spacing w:after="0"/>
              <w:rPr>
                <w:sz w:val="20"/>
                <w:szCs w:val="20"/>
                <w:color w:val="auto"/>
              </w:rPr>
            </w:pPr>
            <w:r>
              <w:rPr>
                <w:rFonts w:ascii="Arial" w:cs="Arial" w:eastAsia="Arial" w:hAnsi="Arial"/>
                <w:sz w:val="18"/>
                <w:szCs w:val="18"/>
                <w:color w:val="auto"/>
              </w:rPr>
              <w:t>4,235</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4,235</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29,926</w:t>
            </w:r>
          </w:p>
        </w:tc>
        <w:tc>
          <w:tcPr>
            <w:tcW w:w="100" w:type="dxa"/>
            <w:vAlign w:val="bottom"/>
            <w:shd w:val="clear" w:color="auto" w:fill="CCEEFF"/>
          </w:tcPr>
          <w:p>
            <w:pPr>
              <w:spacing w:after="0"/>
              <w:rPr>
                <w:sz w:val="18"/>
                <w:szCs w:val="18"/>
                <w:color w:val="auto"/>
              </w:rPr>
            </w:pPr>
          </w:p>
        </w:tc>
      </w:tr>
      <w:tr>
        <w:trPr>
          <w:trHeight w:val="222"/>
        </w:trPr>
        <w:tc>
          <w:tcPr>
            <w:tcW w:w="6860" w:type="dxa"/>
            <w:vAlign w:val="bottom"/>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$ 834,051</w:t>
            </w: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1,720</w:t>
            </w:r>
          </w:p>
        </w:tc>
        <w:tc>
          <w:tcPr>
            <w:tcW w:w="66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$ 835,771</w:t>
            </w:r>
          </w:p>
        </w:tc>
      </w:tr>
      <w:tr>
        <w:trPr>
          <w:trHeight w:val="20"/>
        </w:trPr>
        <w:tc>
          <w:tcPr>
            <w:tcW w:w="68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Consona Holdings, Inc. transferred into Level 3 during the three months ended June 30, 2013, as a result of changes in the observability of inputs into its valuation.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presents changes in Investments at fair value that use Level 3 inputs as of and for the three and nine months ended September 30, 2012:</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As of and for the Three</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87"/>
              </w:rPr>
              <w:t>Months Ended September 30, 2012</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ind w:right="332"/>
              <w:spacing w:after="0" w:line="129" w:lineRule="exact"/>
              <w:rPr>
                <w:sz w:val="20"/>
                <w:szCs w:val="20"/>
                <w:color w:val="auto"/>
              </w:rPr>
            </w:pPr>
            <w:r>
              <w:rPr>
                <w:rFonts w:ascii="Arial" w:cs="Arial" w:eastAsia="Arial" w:hAnsi="Arial"/>
                <w:sz w:val="14"/>
                <w:szCs w:val="14"/>
                <w:b w:val="1"/>
                <w:bCs w:val="1"/>
                <w:color w:val="auto"/>
              </w:rPr>
              <w:t>Debt</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820"/>
              <w:spacing w:after="0" w:line="129" w:lineRule="exact"/>
              <w:rPr>
                <w:sz w:val="20"/>
                <w:szCs w:val="20"/>
                <w:color w:val="auto"/>
              </w:rPr>
            </w:pPr>
            <w:r>
              <w:rPr>
                <w:rFonts w:ascii="Arial" w:cs="Arial" w:eastAsia="Arial" w:hAnsi="Arial"/>
                <w:sz w:val="14"/>
                <w:szCs w:val="14"/>
                <w:b w:val="1"/>
                <w:bCs w:val="1"/>
                <w:color w:val="auto"/>
                <w:w w:val="88"/>
              </w:rPr>
              <w:t>Equity</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w w:val="83"/>
              </w:rPr>
              <w:t>Investments</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Investments</w:t>
            </w:r>
          </w:p>
        </w:tc>
        <w:tc>
          <w:tcPr>
            <w:tcW w:w="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$ 394,598</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7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$403,648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Purchases</w:t>
            </w:r>
          </w:p>
        </w:tc>
        <w:tc>
          <w:tcPr>
            <w:tcW w:w="980" w:type="dxa"/>
            <w:vAlign w:val="bottom"/>
            <w:gridSpan w:val="4"/>
          </w:tcPr>
          <w:p>
            <w:pPr>
              <w:jc w:val="right"/>
              <w:ind w:right="112"/>
              <w:spacing w:after="0"/>
              <w:rPr>
                <w:sz w:val="20"/>
                <w:szCs w:val="20"/>
                <w:color w:val="auto"/>
              </w:rPr>
            </w:pPr>
            <w:r>
              <w:rPr>
                <w:rFonts w:ascii="Arial" w:cs="Arial" w:eastAsia="Arial" w:hAnsi="Arial"/>
                <w:sz w:val="18"/>
                <w:szCs w:val="18"/>
                <w:color w:val="auto"/>
              </w:rPr>
              <w:t>116,051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116,051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Repayments / redemptions</w:t>
            </w:r>
          </w:p>
        </w:tc>
        <w:tc>
          <w:tcPr>
            <w:tcW w:w="98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(45,742)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(45,742)</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Paid-in-kind interest</w:t>
            </w:r>
          </w:p>
        </w:tc>
        <w:tc>
          <w:tcPr>
            <w:tcW w:w="980" w:type="dxa"/>
            <w:vAlign w:val="bottom"/>
            <w:gridSpan w:val="4"/>
          </w:tcPr>
          <w:p>
            <w:pPr>
              <w:jc w:val="right"/>
              <w:ind w:right="112"/>
              <w:spacing w:after="0"/>
              <w:rPr>
                <w:sz w:val="20"/>
                <w:szCs w:val="20"/>
                <w:color w:val="auto"/>
              </w:rPr>
            </w:pPr>
            <w:r>
              <w:rPr>
                <w:rFonts w:ascii="Arial" w:cs="Arial" w:eastAsia="Arial" w:hAnsi="Arial"/>
                <w:sz w:val="18"/>
                <w:szCs w:val="18"/>
                <w:color w:val="auto"/>
              </w:rPr>
              <w:t>556</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98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rPr>
              <w:t>4,229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950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8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1,508</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$ 471,200</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10,000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481,200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7"/>
              </w:rPr>
              <w:t>As of and for the Nine</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Months Ended September 30, 2012</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ind w:right="432"/>
              <w:spacing w:after="0" w:line="129" w:lineRule="exact"/>
              <w:rPr>
                <w:sz w:val="20"/>
                <w:szCs w:val="20"/>
                <w:color w:val="auto"/>
              </w:rPr>
            </w:pPr>
            <w:r>
              <w:rPr>
                <w:rFonts w:ascii="Arial" w:cs="Arial" w:eastAsia="Arial" w:hAnsi="Arial"/>
                <w:sz w:val="14"/>
                <w:szCs w:val="14"/>
                <w:b w:val="1"/>
                <w:bCs w:val="1"/>
                <w:color w:val="auto"/>
              </w:rPr>
              <w:t>Debt</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840"/>
              <w:spacing w:after="0" w:line="129" w:lineRule="exact"/>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98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w w:val="83"/>
              </w:rPr>
              <w:t>Investments</w:t>
            </w:r>
          </w:p>
        </w:tc>
        <w:tc>
          <w:tcPr>
            <w:tcW w:w="440" w:type="dxa"/>
            <w:vAlign w:val="bottom"/>
          </w:tcPr>
          <w:p>
            <w:pPr>
              <w:spacing w:after="0"/>
              <w:rPr>
                <w:sz w:val="14"/>
                <w:szCs w:val="14"/>
                <w:color w:val="auto"/>
              </w:rPr>
            </w:pPr>
          </w:p>
        </w:tc>
        <w:tc>
          <w:tcPr>
            <w:tcW w:w="1420" w:type="dxa"/>
            <w:vAlign w:val="bottom"/>
            <w:gridSpan w:val="5"/>
          </w:tcPr>
          <w:p>
            <w:pPr>
              <w:spacing w:after="0"/>
              <w:rPr>
                <w:sz w:val="20"/>
                <w:szCs w:val="20"/>
                <w:color w:val="auto"/>
              </w:rPr>
            </w:pPr>
            <w:r>
              <w:rPr>
                <w:rFonts w:ascii="Arial" w:cs="Arial" w:eastAsia="Arial" w:hAnsi="Arial"/>
                <w:sz w:val="14"/>
                <w:szCs w:val="14"/>
                <w:b w:val="1"/>
                <w:bCs w:val="1"/>
                <w:color w:val="auto"/>
              </w:rPr>
              <w:t>Investments</w:t>
            </w:r>
          </w:p>
        </w:tc>
        <w:tc>
          <w:tcPr>
            <w:tcW w:w="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$ 174,348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Purchases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414,992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420"/>
              <w:spacing w:after="0"/>
              <w:rPr>
                <w:sz w:val="20"/>
                <w:szCs w:val="20"/>
                <w:color w:val="auto"/>
              </w:rPr>
            </w:pPr>
            <w:r>
              <w:rPr>
                <w:rFonts w:ascii="Arial" w:cs="Arial" w:eastAsia="Arial" w:hAnsi="Arial"/>
                <w:sz w:val="18"/>
                <w:szCs w:val="18"/>
                <w:color w:val="auto"/>
              </w:rPr>
              <w:t>(5)</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414,987</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(60,905)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(60,905)</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(53,146)</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(53,146)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7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$ 471,200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10,000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481,200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Rare Restaurant Group, LLC transferred out of Level 3 during the three months ended March 31, 2012, as a result of changes in the observability of inputs into its valuation.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at fair value for the three and nine months ended September 30, 2013 and 2012 for which Level 3 inputs were used in determining fair value that are still held by the Company as of September 30, 2013 and 2012:</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Net Change in Unrealized</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 Change in Unrealized</w:t>
            </w:r>
          </w:p>
        </w:tc>
      </w:tr>
      <w:tr>
        <w:trPr>
          <w:trHeight w:val="149"/>
        </w:trPr>
        <w:tc>
          <w:tcPr>
            <w:tcW w:w="2560" w:type="dxa"/>
            <w:vAlign w:val="bottom"/>
          </w:tcPr>
          <w:p>
            <w:pPr>
              <w:spacing w:after="0"/>
              <w:rPr>
                <w:sz w:val="12"/>
                <w:szCs w:val="12"/>
                <w:color w:val="auto"/>
              </w:rPr>
            </w:pPr>
          </w:p>
        </w:tc>
        <w:tc>
          <w:tcPr>
            <w:tcW w:w="3640" w:type="dxa"/>
            <w:vAlign w:val="bottom"/>
            <w:gridSpan w:val="4"/>
          </w:tcPr>
          <w:p>
            <w:pPr>
              <w:jc w:val="center"/>
              <w:ind w:left="382"/>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c>
          <w:tcPr>
            <w:tcW w:w="2480" w:type="dxa"/>
            <w:vAlign w:val="bottom"/>
            <w:gridSpan w:val="4"/>
          </w:tcPr>
          <w:p>
            <w:pPr>
              <w:jc w:val="center"/>
              <w:ind w:left="502"/>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r>
      <w:tr>
        <w:trPr>
          <w:trHeight w:val="149"/>
        </w:trPr>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2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for the Three Months Ended</w:t>
            </w:r>
          </w:p>
        </w:tc>
        <w:tc>
          <w:tcPr>
            <w:tcW w:w="700" w:type="dxa"/>
            <w:vAlign w:val="bottom"/>
          </w:tcPr>
          <w:p>
            <w:pPr>
              <w:spacing w:after="0"/>
              <w:rPr>
                <w:sz w:val="12"/>
                <w:szCs w:val="12"/>
                <w:color w:val="auto"/>
              </w:rPr>
            </w:pPr>
          </w:p>
        </w:tc>
        <w:tc>
          <w:tcPr>
            <w:tcW w:w="1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for the Three Months Ended</w:t>
            </w:r>
          </w:p>
        </w:tc>
      </w:tr>
      <w:tr>
        <w:trPr>
          <w:trHeight w:val="149"/>
        </w:trPr>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September 30, 2013 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 2012 on</w:t>
            </w:r>
          </w:p>
        </w:tc>
      </w:tr>
      <w:tr>
        <w:trPr>
          <w:trHeight w:val="149"/>
        </w:trPr>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Investments Held at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Investments Held at</w:t>
            </w:r>
          </w:p>
        </w:tc>
      </w:tr>
      <w:tr>
        <w:trPr>
          <w:trHeight w:val="161"/>
        </w:trPr>
        <w:tc>
          <w:tcPr>
            <w:tcW w:w="2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7"/>
              </w:rPr>
              <w:t>September 30, 2013</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September 30, 2012</w:t>
            </w:r>
          </w:p>
        </w:tc>
      </w:tr>
      <w:tr>
        <w:trPr>
          <w:trHeight w:val="210"/>
        </w:trPr>
        <w:tc>
          <w:tcPr>
            <w:tcW w:w="2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Equity Investments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2"/>
          </w:tcPr>
          <w:p>
            <w:pPr>
              <w:jc w:val="right"/>
              <w:ind w:right="680"/>
              <w:spacing w:after="0"/>
              <w:rPr>
                <w:sz w:val="20"/>
                <w:szCs w:val="20"/>
                <w:color w:val="auto"/>
              </w:rPr>
            </w:pPr>
            <w:r>
              <w:rPr>
                <w:rFonts w:ascii="Arial" w:cs="Arial" w:eastAsia="Arial" w:hAnsi="Arial"/>
                <w:sz w:val="18"/>
                <w:szCs w:val="18"/>
                <w:color w:val="auto"/>
              </w:rPr>
              <w:t>(305)</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8"/>
                <w:szCs w:val="18"/>
                <w:color w:val="auto"/>
              </w:rPr>
            </w:pPr>
          </w:p>
        </w:tc>
      </w:tr>
      <w:tr>
        <w:trPr>
          <w:trHeight w:val="27"/>
        </w:trPr>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5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7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00" w:type="dxa"/>
            <w:vAlign w:val="bottom"/>
            <w:shd w:val="clear" w:color="auto" w:fill="CCEEFF"/>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2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Net Change in Unrealized</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 Change in Unrealized</w:t>
            </w:r>
          </w:p>
        </w:tc>
      </w:tr>
      <w:tr>
        <w:trPr>
          <w:trHeight w:val="149"/>
        </w:trPr>
        <w:tc>
          <w:tcPr>
            <w:tcW w:w="2560" w:type="dxa"/>
            <w:vAlign w:val="bottom"/>
          </w:tcPr>
          <w:p>
            <w:pPr>
              <w:spacing w:after="0"/>
              <w:rPr>
                <w:sz w:val="12"/>
                <w:szCs w:val="12"/>
                <w:color w:val="auto"/>
              </w:rPr>
            </w:pPr>
          </w:p>
        </w:tc>
        <w:tc>
          <w:tcPr>
            <w:tcW w:w="3640" w:type="dxa"/>
            <w:vAlign w:val="bottom"/>
            <w:gridSpan w:val="4"/>
          </w:tcPr>
          <w:p>
            <w:pPr>
              <w:jc w:val="center"/>
              <w:ind w:left="382"/>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c>
          <w:tcPr>
            <w:tcW w:w="2480" w:type="dxa"/>
            <w:vAlign w:val="bottom"/>
            <w:gridSpan w:val="4"/>
          </w:tcPr>
          <w:p>
            <w:pPr>
              <w:jc w:val="center"/>
              <w:ind w:left="502"/>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r>
      <w:tr>
        <w:trPr>
          <w:trHeight w:val="149"/>
        </w:trPr>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2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for the Nine Months Ended</w:t>
            </w:r>
          </w:p>
        </w:tc>
        <w:tc>
          <w:tcPr>
            <w:tcW w:w="700" w:type="dxa"/>
            <w:vAlign w:val="bottom"/>
          </w:tcPr>
          <w:p>
            <w:pPr>
              <w:spacing w:after="0"/>
              <w:rPr>
                <w:sz w:val="12"/>
                <w:szCs w:val="12"/>
                <w:color w:val="auto"/>
              </w:rPr>
            </w:pPr>
          </w:p>
        </w:tc>
        <w:tc>
          <w:tcPr>
            <w:tcW w:w="1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for the Nine Months Ended</w:t>
            </w:r>
          </w:p>
        </w:tc>
      </w:tr>
      <w:tr>
        <w:trPr>
          <w:trHeight w:val="149"/>
        </w:trPr>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September 30, 2013 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 2012 on</w:t>
            </w:r>
          </w:p>
        </w:tc>
      </w:tr>
      <w:tr>
        <w:trPr>
          <w:trHeight w:val="149"/>
        </w:trPr>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Investments Held at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Investments Held at</w:t>
            </w:r>
          </w:p>
        </w:tc>
      </w:tr>
      <w:tr>
        <w:trPr>
          <w:trHeight w:val="161"/>
        </w:trPr>
        <w:tc>
          <w:tcPr>
            <w:tcW w:w="2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7"/>
              </w:rPr>
              <w:t>September 30, 2013</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September 30, 2012</w:t>
            </w:r>
          </w:p>
        </w:tc>
      </w:tr>
      <w:tr>
        <w:trPr>
          <w:trHeight w:val="210"/>
        </w:trPr>
        <w:tc>
          <w:tcPr>
            <w:tcW w:w="2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Equity Investments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2"/>
          </w:tcPr>
          <w:p>
            <w:pPr>
              <w:jc w:val="right"/>
              <w:ind w:right="680"/>
              <w:spacing w:after="0"/>
              <w:rPr>
                <w:sz w:val="20"/>
                <w:szCs w:val="20"/>
                <w:color w:val="auto"/>
              </w:rPr>
            </w:pPr>
            <w:r>
              <w:rPr>
                <w:rFonts w:ascii="Arial" w:cs="Arial" w:eastAsia="Arial" w:hAnsi="Arial"/>
                <w:sz w:val="18"/>
                <w:szCs w:val="18"/>
                <w:color w:val="auto"/>
              </w:rPr>
              <w:t>(1,060)</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7"/>
        </w:trPr>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5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7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100" w:type="dxa"/>
            <w:vAlign w:val="bottom"/>
            <w:shd w:val="clear" w:color="auto" w:fill="CCEEFF"/>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fair value of Level 3 Investments at fair value and the significant unobservable inputs used in the valuations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and December 31,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9"/>
              </w:rPr>
              <w:t>September 30, 2013</w:t>
            </w:r>
          </w:p>
        </w:tc>
        <w:tc>
          <w:tcPr>
            <w:tcW w:w="20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Impact to</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Valuation</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from an</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Valuation Technique</w:t>
            </w:r>
          </w:p>
        </w:tc>
        <w:tc>
          <w:tcPr>
            <w:tcW w:w="100" w:type="dxa"/>
            <w:vAlign w:val="bottom"/>
          </w:tcPr>
          <w:p>
            <w:pPr>
              <w:spacing w:after="0"/>
              <w:rPr>
                <w:sz w:val="12"/>
                <w:szCs w:val="12"/>
                <w:color w:val="auto"/>
              </w:rPr>
            </w:pPr>
          </w:p>
        </w:tc>
        <w:tc>
          <w:tcPr>
            <w:tcW w:w="16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2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Range</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61"/>
        </w:trPr>
        <w:tc>
          <w:tcPr>
            <w:tcW w:w="2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Input</w:t>
            </w:r>
          </w:p>
        </w:tc>
        <w:tc>
          <w:tcPr>
            <w:tcW w:w="2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(Weighted Average)</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 Input</w:t>
            </w: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781,813</w:t>
            </w: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Approach</w:t>
            </w:r>
            <w:r>
              <w:rPr>
                <w:rFonts w:ascii="Arial" w:cs="Arial" w:eastAsia="Arial" w:hAnsi="Arial"/>
                <w:sz w:val="11"/>
                <w:szCs w:val="11"/>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5.90% —12.06%(10.00%)</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Decrease</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52,238</w:t>
            </w:r>
          </w:p>
        </w:tc>
        <w:tc>
          <w:tcPr>
            <w:tcW w:w="2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Income Approach</w:t>
            </w:r>
          </w:p>
        </w:tc>
        <w:tc>
          <w:tcPr>
            <w:tcW w:w="1720" w:type="dxa"/>
            <w:vAlign w:val="bottom"/>
            <w:gridSpan w:val="4"/>
          </w:tcPr>
          <w:p>
            <w:pPr>
              <w:ind w:left="100"/>
              <w:spacing w:after="0"/>
              <w:rPr>
                <w:sz w:val="20"/>
                <w:szCs w:val="20"/>
                <w:color w:val="auto"/>
              </w:rPr>
            </w:pPr>
            <w:r>
              <w:rPr>
                <w:rFonts w:ascii="Arial" w:cs="Arial" w:eastAsia="Arial" w:hAnsi="Arial"/>
                <w:sz w:val="18"/>
                <w:szCs w:val="18"/>
                <w:color w:val="auto"/>
              </w:rPr>
              <w:t>Market Yield</w:t>
            </w:r>
          </w:p>
        </w:tc>
        <w:tc>
          <w:tcPr>
            <w:tcW w:w="2280" w:type="dxa"/>
            <w:vAlign w:val="bottom"/>
            <w:gridSpan w:val="2"/>
          </w:tcPr>
          <w:p>
            <w:pPr>
              <w:jc w:val="right"/>
              <w:ind w:right="200"/>
              <w:spacing w:after="0"/>
              <w:rPr>
                <w:sz w:val="20"/>
                <w:szCs w:val="20"/>
                <w:color w:val="auto"/>
              </w:rPr>
            </w:pPr>
            <w:r>
              <w:rPr>
                <w:rFonts w:ascii="Arial" w:cs="Arial" w:eastAsia="Arial" w:hAnsi="Arial"/>
                <w:sz w:val="18"/>
                <w:szCs w:val="18"/>
                <w:color w:val="auto"/>
              </w:rPr>
              <w:t>10.08%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60" w:type="dxa"/>
            <w:vAlign w:val="bottom"/>
          </w:tcPr>
          <w:p>
            <w:pPr>
              <w:spacing w:after="0"/>
              <w:rPr>
                <w:sz w:val="20"/>
                <w:szCs w:val="20"/>
                <w:color w:val="auto"/>
              </w:rPr>
            </w:pPr>
            <w:r>
              <w:rPr>
                <w:rFonts w:ascii="Arial" w:cs="Arial" w:eastAsia="Arial" w:hAnsi="Arial"/>
                <w:sz w:val="18"/>
                <w:szCs w:val="18"/>
                <w:color w:val="auto"/>
              </w:rPr>
              <w:t>Equity investments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1,720</w:t>
            </w:r>
          </w:p>
        </w:tc>
        <w:tc>
          <w:tcPr>
            <w:tcW w:w="2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Market Approach</w:t>
            </w:r>
            <w:r>
              <w:rPr>
                <w:rFonts w:ascii="Arial" w:cs="Arial" w:eastAsia="Arial" w:hAnsi="Arial"/>
                <w:sz w:val="11"/>
                <w:szCs w:val="11"/>
                <w:color w:val="auto"/>
              </w:rPr>
              <w:t>(1)</w:t>
            </w:r>
          </w:p>
        </w:tc>
        <w:tc>
          <w:tcPr>
            <w:tcW w:w="1720" w:type="dxa"/>
            <w:vAlign w:val="bottom"/>
            <w:gridSpan w:val="4"/>
          </w:tcPr>
          <w:p>
            <w:pPr>
              <w:ind w:left="100"/>
              <w:spacing w:after="0"/>
              <w:rPr>
                <w:sz w:val="20"/>
                <w:szCs w:val="20"/>
                <w:color w:val="auto"/>
              </w:rPr>
            </w:pPr>
            <w:r>
              <w:rPr>
                <w:rFonts w:ascii="Arial" w:cs="Arial" w:eastAsia="Arial" w:hAnsi="Arial"/>
                <w:sz w:val="18"/>
                <w:szCs w:val="18"/>
                <w:color w:val="auto"/>
              </w:rPr>
              <w:t>EBITDA</w:t>
            </w:r>
          </w:p>
        </w:tc>
        <w:tc>
          <w:tcPr>
            <w:tcW w:w="2280" w:type="dxa"/>
            <w:vAlign w:val="bottom"/>
            <w:gridSpan w:val="2"/>
          </w:tcPr>
          <w:p>
            <w:pPr>
              <w:jc w:val="right"/>
              <w:ind w:right="200"/>
              <w:spacing w:after="0"/>
              <w:rPr>
                <w:sz w:val="20"/>
                <w:szCs w:val="20"/>
                <w:color w:val="auto"/>
              </w:rPr>
            </w:pPr>
            <w:r>
              <w:rPr>
                <w:rFonts w:ascii="Arial" w:cs="Arial" w:eastAsia="Arial" w:hAnsi="Arial"/>
                <w:sz w:val="18"/>
                <w:szCs w:val="18"/>
                <w:color w:val="auto"/>
              </w:rPr>
              <w:t>9.5x</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2"/>
        </w:trPr>
        <w:tc>
          <w:tcPr>
            <w:tcW w:w="2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720" w:type="dxa"/>
            <w:vAlign w:val="bottom"/>
            <w:gridSpan w:val="4"/>
          </w:tcPr>
          <w:p>
            <w:pPr>
              <w:ind w:left="100"/>
              <w:spacing w:after="0"/>
              <w:rPr>
                <w:sz w:val="20"/>
                <w:szCs w:val="20"/>
                <w:color w:val="auto"/>
              </w:rPr>
            </w:pPr>
            <w:r>
              <w:rPr>
                <w:rFonts w:ascii="Arial" w:cs="Arial" w:eastAsia="Arial" w:hAnsi="Arial"/>
                <w:sz w:val="18"/>
                <w:szCs w:val="18"/>
                <w:color w:val="auto"/>
              </w:rPr>
              <w:t>Multiple</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2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December 31, 2012</w:t>
            </w:r>
          </w:p>
        </w:tc>
        <w:tc>
          <w:tcPr>
            <w:tcW w:w="2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Impact to</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Valuation</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from an</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Valuation Technique</w:t>
            </w:r>
          </w:p>
        </w:tc>
        <w:tc>
          <w:tcPr>
            <w:tcW w:w="100" w:type="dxa"/>
            <w:vAlign w:val="bottom"/>
          </w:tcPr>
          <w:p>
            <w:pPr>
              <w:spacing w:after="0"/>
              <w:rPr>
                <w:sz w:val="12"/>
                <w:szCs w:val="12"/>
                <w:color w:val="auto"/>
              </w:rPr>
            </w:pPr>
          </w:p>
        </w:tc>
        <w:tc>
          <w:tcPr>
            <w:tcW w:w="16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2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Range</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61"/>
        </w:trPr>
        <w:tc>
          <w:tcPr>
            <w:tcW w:w="2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Input</w:t>
            </w:r>
          </w:p>
        </w:tc>
        <w:tc>
          <w:tcPr>
            <w:tcW w:w="2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(Weighted Average)</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 Input</w:t>
            </w: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514,104</w:t>
            </w: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1"/>
                <w:szCs w:val="11"/>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 —11.29%(9.71%)</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Decrease</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53,190</w:t>
            </w:r>
          </w:p>
        </w:tc>
        <w:tc>
          <w:tcPr>
            <w:tcW w:w="2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Income Approach</w:t>
            </w:r>
          </w:p>
        </w:tc>
        <w:tc>
          <w:tcPr>
            <w:tcW w:w="1720" w:type="dxa"/>
            <w:vAlign w:val="bottom"/>
            <w:gridSpan w:val="4"/>
          </w:tcPr>
          <w:p>
            <w:pPr>
              <w:ind w:left="100"/>
              <w:spacing w:after="0"/>
              <w:rPr>
                <w:sz w:val="20"/>
                <w:szCs w:val="20"/>
                <w:color w:val="auto"/>
              </w:rPr>
            </w:pPr>
            <w:r>
              <w:rPr>
                <w:rFonts w:ascii="Arial" w:cs="Arial" w:eastAsia="Arial" w:hAnsi="Arial"/>
                <w:sz w:val="18"/>
                <w:szCs w:val="18"/>
                <w:color w:val="auto"/>
              </w:rPr>
              <w:t>Market Yield</w:t>
            </w:r>
          </w:p>
        </w:tc>
        <w:tc>
          <w:tcPr>
            <w:tcW w:w="2280" w:type="dxa"/>
            <w:vAlign w:val="bottom"/>
            <w:gridSpan w:val="2"/>
          </w:tcPr>
          <w:p>
            <w:pPr>
              <w:jc w:val="right"/>
              <w:ind w:right="200"/>
              <w:spacing w:after="0"/>
              <w:rPr>
                <w:sz w:val="20"/>
                <w:szCs w:val="20"/>
                <w:color w:val="auto"/>
              </w:rPr>
            </w:pPr>
            <w:r>
              <w:rPr>
                <w:rFonts w:ascii="Arial" w:cs="Arial" w:eastAsia="Arial" w:hAnsi="Arial"/>
                <w:sz w:val="18"/>
                <w:szCs w:val="18"/>
                <w:color w:val="auto"/>
              </w:rPr>
              <w:t>10.78%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Mezzanine investments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Equity investments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Market Approach</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80" w:right="40" w:hanging="572"/>
        <w:spacing w:after="0" w:line="259" w:lineRule="auto"/>
        <w:tabs>
          <w:tab w:leader="none" w:pos="5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Includes $69.5 million and $114.5 million of first-lien debt investments as of September 30, 2013 and December 31, 2012, respectively and $0.78 million of equity investments as of September 30, 2013, which, due to the proximity of the transactions relative to the measurement date, were valued using the cost of the investment.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September 30, 2013 and December 31, 2012, approximates its carrying value as the outstanding balances are callable at carrying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carrying amounts of the Company’s financial assets and liabilities as of September 30, 2013 and December 31, 2012,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borrowings, are classified as Level 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September 30, 2013 and December 31, 2012, the Company’s asset coverage was 265.9% and 244.6%,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September 30, 2013 and December 31,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September 30, 2013</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4"/>
              </w:rPr>
              <w:t>Borrowings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
              <w:spacing w:after="0" w:line="129" w:lineRule="exact"/>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4"/>
              </w:rPr>
              <w:t>Total Facility</w:t>
            </w:r>
          </w:p>
        </w:tc>
        <w:tc>
          <w:tcPr>
            <w:tcW w:w="7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7"/>
              </w:rPr>
              <w:t>Available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3"/>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7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53,000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1940" w:type="dxa"/>
            <w:vAlign w:val="bottom"/>
            <w:gridSpan w:val="3"/>
          </w:tcPr>
          <w:p>
            <w:pPr>
              <w:jc w:val="right"/>
              <w:ind w:right="460"/>
              <w:spacing w:after="0"/>
              <w:rPr>
                <w:sz w:val="20"/>
                <w:szCs w:val="20"/>
                <w:color w:val="auto"/>
              </w:rPr>
            </w:pPr>
            <w:r>
              <w:rPr>
                <w:rFonts w:ascii="Arial" w:cs="Arial" w:eastAsia="Arial" w:hAnsi="Arial"/>
                <w:sz w:val="18"/>
                <w:szCs w:val="18"/>
                <w:color w:val="auto"/>
              </w:rPr>
              <w:t>67,767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400,000</w:t>
            </w:r>
          </w:p>
        </w:tc>
        <w:tc>
          <w:tcPr>
            <w:tcW w:w="7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600,000</w:t>
            </w:r>
          </w:p>
        </w:tc>
        <w:tc>
          <w:tcPr>
            <w:tcW w:w="1940" w:type="dxa"/>
            <w:vAlign w:val="bottom"/>
            <w:gridSpan w:val="3"/>
          </w:tcPr>
          <w:p>
            <w:pPr>
              <w:jc w:val="right"/>
              <w:ind w:right="460"/>
              <w:spacing w:after="0"/>
              <w:rPr>
                <w:sz w:val="20"/>
                <w:szCs w:val="20"/>
                <w:color w:val="auto"/>
              </w:rPr>
            </w:pPr>
            <w:r>
              <w:rPr>
                <w:rFonts w:ascii="Arial" w:cs="Arial" w:eastAsia="Arial" w:hAnsi="Arial"/>
                <w:sz w:val="18"/>
                <w:szCs w:val="18"/>
                <w:color w:val="auto"/>
              </w:rPr>
              <w:t>$ 338,267</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December 31, 2012</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4"/>
              </w:rPr>
              <w:t>Borrowings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
              <w:spacing w:after="0" w:line="129" w:lineRule="exact"/>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4"/>
              </w:rPr>
              <w:t>Total Facility</w:t>
            </w:r>
          </w:p>
        </w:tc>
        <w:tc>
          <w:tcPr>
            <w:tcW w:w="7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7"/>
              </w:rPr>
              <w:t>Available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3"/>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7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$ 165,000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1940" w:type="dxa"/>
            <w:vAlign w:val="bottom"/>
            <w:gridSpan w:val="3"/>
          </w:tcPr>
          <w:p>
            <w:pPr>
              <w:jc w:val="right"/>
              <w:ind w:right="460"/>
              <w:spacing w:after="0"/>
              <w:rPr>
                <w:sz w:val="20"/>
                <w:szCs w:val="20"/>
                <w:color w:val="auto"/>
              </w:rPr>
            </w:pPr>
            <w:r>
              <w:rPr>
                <w:rFonts w:ascii="Arial" w:cs="Arial" w:eastAsia="Arial" w:hAnsi="Arial"/>
                <w:sz w:val="18"/>
                <w:szCs w:val="18"/>
                <w:color w:val="auto"/>
              </w:rPr>
              <w:t>66,836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200,000</w:t>
            </w:r>
          </w:p>
        </w:tc>
        <w:tc>
          <w:tcPr>
            <w:tcW w:w="7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550,000</w:t>
            </w:r>
          </w:p>
        </w:tc>
        <w:tc>
          <w:tcPr>
            <w:tcW w:w="1940" w:type="dxa"/>
            <w:vAlign w:val="bottom"/>
            <w:gridSpan w:val="3"/>
          </w:tcPr>
          <w:p>
            <w:pPr>
              <w:jc w:val="right"/>
              <w:ind w:right="460"/>
              <w:spacing w:after="0"/>
              <w:rPr>
                <w:sz w:val="20"/>
                <w:szCs w:val="20"/>
                <w:color w:val="auto"/>
              </w:rPr>
            </w:pPr>
            <w:r>
              <w:rPr>
                <w:rFonts w:ascii="Arial" w:cs="Arial" w:eastAsia="Arial" w:hAnsi="Arial"/>
                <w:sz w:val="18"/>
                <w:szCs w:val="18"/>
                <w:color w:val="auto"/>
              </w:rPr>
              <w:t>$ 331,836</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68"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amount available considers any limitations related to the respective debt facilities’ borrowing bases. On November 8, 2013, the Reinvestment Period of the Revolving Credit Facility (Natixis) expired and accordingly any availability under the facility terminated.</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the three and nine months ended September 30, 2013 and 2012, the components of interest expense, average debt outstanding, and weighted average interest rate on borrowings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1"/>
              </w:rPr>
              <w:t>Nine Months Ended</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450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00" w:type="dxa"/>
            <w:vAlign w:val="bottom"/>
          </w:tcPr>
          <w:p>
            <w:pPr>
              <w:spacing w:after="0"/>
              <w:rPr>
                <w:sz w:val="11"/>
                <w:szCs w:val="11"/>
                <w:color w:val="auto"/>
              </w:rPr>
            </w:pPr>
          </w:p>
        </w:tc>
      </w:tr>
      <w:tr>
        <w:trPr>
          <w:trHeight w:val="161"/>
        </w:trPr>
        <w:tc>
          <w:tcPr>
            <w:tcW w:w="4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2012</w:t>
            </w:r>
          </w:p>
        </w:tc>
        <w:tc>
          <w:tcPr>
            <w:tcW w:w="4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8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Stated interest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Commitment fees</w:t>
            </w: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341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365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1,151</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783</w:t>
            </w:r>
          </w:p>
        </w:tc>
        <w:tc>
          <w:tcPr>
            <w:tcW w:w="2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8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0" w:type="dxa"/>
            <w:vAlign w:val="bottom"/>
            <w:shd w:val="clear" w:color="auto" w:fill="CCEEFF"/>
          </w:tcPr>
          <w:p>
            <w:pPr>
              <w:spacing w:after="0"/>
              <w:rPr>
                <w:sz w:val="18"/>
                <w:szCs w:val="18"/>
                <w:color w:val="auto"/>
              </w:rPr>
            </w:pPr>
          </w:p>
        </w:tc>
      </w:tr>
      <w:tr>
        <w:trPr>
          <w:trHeight w:val="222"/>
        </w:trPr>
        <w:tc>
          <w:tcPr>
            <w:tcW w:w="450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2,651</w:t>
            </w:r>
          </w:p>
        </w:tc>
        <w:tc>
          <w:tcPr>
            <w:tcW w:w="5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1,780</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7,330</w:t>
            </w:r>
          </w:p>
        </w:tc>
        <w:tc>
          <w:tcPr>
            <w:tcW w:w="8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3,856</w:t>
            </w:r>
          </w:p>
        </w:tc>
        <w:tc>
          <w:tcPr>
            <w:tcW w:w="2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270,999</w:t>
            </w: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127,145</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226,294</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92,398</w:t>
            </w:r>
          </w:p>
        </w:tc>
        <w:tc>
          <w:tcPr>
            <w:tcW w:w="200" w:type="dxa"/>
            <w:vAlign w:val="bottom"/>
            <w:shd w:val="clear" w:color="auto" w:fill="CCEEFF"/>
          </w:tcPr>
          <w:p>
            <w:pPr>
              <w:spacing w:after="0"/>
              <w:rPr>
                <w:sz w:val="18"/>
                <w:szCs w:val="18"/>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6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356"/>
        </w:trPr>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F-53</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ind w:right="200" w:firstLine="456"/>
        <w:spacing w:after="0" w:line="305" w:lineRule="auto"/>
        <w:rPr>
          <w:sz w:val="20"/>
          <w:szCs w:val="20"/>
          <w:color w:val="auto"/>
        </w:rPr>
      </w:pPr>
      <w:r>
        <w:rPr>
          <w:rFonts w:ascii="Arial" w:cs="Arial" w:eastAsia="Arial" w:hAnsi="Arial"/>
          <w:sz w:val="15"/>
          <w:szCs w:val="15"/>
          <w:color w:val="auto"/>
        </w:rPr>
        <w:t>During July 2013, the Company delivered notices to Deutsche Bank Trust Company Americas to permanently reduce the commitment of the Company’s Revolving Credit Facility (DBTCA) from $250 million to $100 million. The elective reduction was made in anticipation of the facility expiring in December</w:t>
      </w:r>
    </w:p>
    <w:p>
      <w:pPr>
        <w:spacing w:after="0" w:line="261" w:lineRule="auto"/>
        <w:rPr>
          <w:sz w:val="20"/>
          <w:szCs w:val="20"/>
          <w:color w:val="auto"/>
        </w:rPr>
      </w:pPr>
      <w:r>
        <w:rPr>
          <w:rFonts w:ascii="Arial" w:cs="Arial" w:eastAsia="Arial" w:hAnsi="Arial"/>
          <w:sz w:val="18"/>
          <w:szCs w:val="18"/>
          <w:color w:val="auto"/>
        </w:rPr>
        <w:t>2013 and does not have a significant effect on the Company’s liquidity as (i) the Company’s borrowings are limited by the 1940 Act’s asset coverage requirement; and (ii) there is adequate availability under the Company’s other credit facilities.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On July 17, 2013, the Company’s wholly-owned subsidiary TPG SL SPV, LLC amended the Revolving Credit Facility (Natixis). The amendment included additional options in the matrix table used in connection with managing the various benchmarks and compliance with the facility’s collateral quality tests.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Revolving Credit Facility (Natixis) is secured by a perfected first priority security interest in the assets of TPG SL SPV, LLC, a wholly-owned subsidiary of the Company (the “Subsidiary”) and on any payments received by the Subsidiary in respect of such assets and, as such, are not available to pay the debts of the Company. As of September 30, 2013 and December 31, 2012, the Subsidiary had $177.0 million and $163.8 million, respectively, in assets, including $167.6 million and $154.4 million, respectively, in investments, and $68.3 million and $67.3 million, respectively, in liabilities, including the outstanding borrowings, on its balance sheet. As of September 30, 2013 and December 31, 2012, the Subsidiary had $5.8 million and $4.3 million, respectively, in restricted cash, a component of Prepaid expenses and other assets, in the accompanying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On July 2, 2013, the Company entered into an agreement to amend and restate the Revolving Credit Facility (SunTrust), effective on July 3, 2013. The amended and restated facility, among other things, (a) increased the size of the facility from $200 million to $350 million; (b) increased the limit for swingline loans from $30 million to $50 million; (c) extended the expiration of the revolving period from August 24, 2015 to June 30, 2017, during which period the Company, subject to certain conditions, may make borrowings under the facility; (d) extended the stated maturity date from August 23, 2016 to July 2, 2018; (e) modified pricing; and, (f) increased advance rates for certain types of investments used in determining the borrowing base.</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amended and restated facility also reduced the fee rate on undrawn commitment amounts from 0.500% to 0.375% per annum. The amended and restated facility continues to be guaranteed by certain subsidiaries of the Company and secured by a perfected first-priority security interest in substantially all the portfolio investments held by the Company and each guarantor.</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amended and restated facility includes an uncommitted accordion feature that allows the Company, under certain circumstances, to increase the size of the facility to a maximum of $550 million. On September 30, 2013, the Company exercised its right under the accordion feature and increased the size of the facility to $400 million.</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Prior to the amendment, the revolving credit facility contained a covenant restricting the Company from incurring secured debt (other than the facility and any capital call facility) in excess of 40% of the total assets of the Company. The amended and restated facility removes this covenant. The amended and restated facility continues to include customary covenants, including certain financial covenants related to asset coverage and liquidity and other maintenance covenants, as well as customary events of default.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and December 31, 2012, the Company was in compliance with the terms of its debt obligations.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740" w:firstLine="8"/>
        <w:spacing w:after="0" w:line="417" w:lineRule="auto"/>
        <w:tabs>
          <w:tab w:leader="none" w:pos="176" w:val="left"/>
        </w:tabs>
        <w:numPr>
          <w:ilvl w:val="0"/>
          <w:numId w:val="17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September 30, 2013 and December 31, 2012, the Company had the following commitments to fund investments: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7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7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20,782</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shd w:val="clear" w:color="auto" w:fill="CCEEFF"/>
          </w:tcPr>
          <w:p>
            <w:pPr>
              <w:spacing w:after="0"/>
              <w:rPr>
                <w:sz w:val="18"/>
                <w:szCs w:val="18"/>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14,100</w:t>
            </w: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9"/>
                <w:szCs w:val="19"/>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52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34,882</w:t>
            </w: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of September 30, 2013 and December 31, 2012, the Company had $1.5 billion and $1.4 billion, respectively, in total capital commitments from investors ($1.0 billion and $0.9 billion unfunded, respectively), of which $117.1 million and $114.1 million, respectively, is from the Adviser and its affiliates ($76.7 million and $76.6 million unfunded, respectively).</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September 30, 2013,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nine months ended September 30, 2013 and 2012:</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gridSpan w:val="2"/>
          </w:tcPr>
          <w:p>
            <w:pPr>
              <w:jc w:val="right"/>
              <w:ind w:right="83"/>
              <w:spacing w:after="0"/>
              <w:rPr>
                <w:sz w:val="20"/>
                <w:szCs w:val="20"/>
                <w:color w:val="auto"/>
              </w:rPr>
            </w:pPr>
            <w:r>
              <w:rPr>
                <w:rFonts w:ascii="Arial" w:cs="Arial" w:eastAsia="Arial" w:hAnsi="Arial"/>
                <w:sz w:val="14"/>
                <w:szCs w:val="14"/>
                <w:b w:val="1"/>
                <w:bCs w:val="1"/>
                <w:color w:val="auto"/>
                <w:w w:val="88"/>
              </w:rPr>
              <w:t>Nine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8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4"/>
                <w:szCs w:val="14"/>
                <w:b w:val="1"/>
                <w:bCs w:val="1"/>
                <w:color w:val="auto"/>
                <w:w w:val="88"/>
              </w:rPr>
              <w:t>September 30, 2013</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5860" w:type="dxa"/>
            <w:vAlign w:val="bottom"/>
          </w:tcPr>
          <w:p>
            <w:pPr>
              <w:spacing w:after="0"/>
              <w:rPr>
                <w:sz w:val="10"/>
                <w:szCs w:val="10"/>
                <w:color w:val="auto"/>
              </w:rPr>
            </w:pPr>
          </w:p>
        </w:tc>
        <w:tc>
          <w:tcPr>
            <w:tcW w:w="740" w:type="dxa"/>
            <w:vAlign w:val="bottom"/>
          </w:tcPr>
          <w:p>
            <w:pPr>
              <w:jc w:val="right"/>
              <w:ind w:right="122"/>
              <w:spacing w:after="0" w:line="115" w:lineRule="exact"/>
              <w:rPr>
                <w:sz w:val="20"/>
                <w:szCs w:val="20"/>
                <w:color w:val="auto"/>
              </w:rPr>
            </w:pPr>
            <w:r>
              <w:rPr>
                <w:rFonts w:ascii="Arial" w:cs="Arial" w:eastAsia="Arial" w:hAnsi="Arial"/>
                <w:sz w:val="12"/>
                <w:szCs w:val="12"/>
                <w:b w:val="1"/>
                <w:bCs w:val="1"/>
                <w:color w:val="auto"/>
              </w:rPr>
              <w:t>Shares</w:t>
            </w: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6"/>
        </w:trPr>
        <w:tc>
          <w:tcPr>
            <w:tcW w:w="5860" w:type="dxa"/>
            <w:vAlign w:val="bottom"/>
          </w:tcPr>
          <w:p>
            <w:pPr>
              <w:spacing w:after="0"/>
              <w:rPr>
                <w:sz w:val="15"/>
                <w:szCs w:val="15"/>
                <w:color w:val="auto"/>
              </w:rPr>
            </w:pPr>
          </w:p>
        </w:tc>
        <w:tc>
          <w:tcPr>
            <w:tcW w:w="740" w:type="dxa"/>
            <w:vAlign w:val="bottom"/>
          </w:tcPr>
          <w:p>
            <w:pPr>
              <w:jc w:val="right"/>
              <w:ind w:right="42"/>
              <w:spacing w:after="0" w:line="176" w:lineRule="exact"/>
              <w:rPr>
                <w:sz w:val="20"/>
                <w:szCs w:val="20"/>
                <w:color w:val="auto"/>
              </w:rPr>
            </w:pPr>
            <w:r>
              <w:rPr>
                <w:rFonts w:ascii="Arial" w:cs="Arial" w:eastAsia="Arial" w:hAnsi="Arial"/>
                <w:sz w:val="13"/>
                <w:szCs w:val="13"/>
                <w:b w:val="1"/>
                <w:bCs w:val="1"/>
                <w:color w:val="auto"/>
              </w:rPr>
              <w:t>Issued</w:t>
            </w:r>
            <w:r>
              <w:rPr>
                <w:rFonts w:ascii="Arial" w:cs="Arial" w:eastAsia="Arial" w:hAnsi="Arial"/>
                <w:sz w:val="20"/>
                <w:szCs w:val="20"/>
                <w:b w:val="1"/>
                <w:bCs w:val="1"/>
                <w:color w:val="auto"/>
                <w:vertAlign w:val="superscript"/>
              </w:rPr>
              <w:t>(2)</w:t>
            </w:r>
          </w:p>
        </w:tc>
        <w:tc>
          <w:tcPr>
            <w:tcW w:w="20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Proceeds Received</w:t>
            </w:r>
          </w:p>
        </w:tc>
      </w:tr>
      <w:tr>
        <w:trPr>
          <w:trHeight w:val="210"/>
        </w:trPr>
        <w:tc>
          <w:tcPr>
            <w:tcW w:w="5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20, 2013</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2,079,224</w:t>
            </w:r>
          </w:p>
        </w:tc>
        <w:tc>
          <w:tcPr>
            <w:tcW w:w="9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 xml:space="preserve">September 13, 2013 </w:t>
            </w:r>
            <w:r>
              <w:rPr>
                <w:rFonts w:ascii="Arial" w:cs="Arial" w:eastAsia="Arial" w:hAnsi="Arial"/>
                <w:sz w:val="11"/>
                <w:szCs w:val="11"/>
                <w:color w:val="auto"/>
              </w:rPr>
              <w:t>(1)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1,633,829</w:t>
            </w:r>
          </w:p>
        </w:tc>
        <w:tc>
          <w:tcPr>
            <w:tcW w:w="9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3,713,053</w:t>
            </w:r>
          </w:p>
        </w:tc>
        <w:tc>
          <w:tcPr>
            <w:tcW w:w="134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100" w:type="dxa"/>
            <w:vAlign w:val="bottom"/>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68" w:lineRule="auto"/>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As of September 30, 2013, there were $0.1 million in capital drawdowns outstanding from investors. On October 2, 2013, all outstanding amounts had been received by the Company.</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120" w:type="dxa"/>
            <w:vAlign w:val="bottom"/>
            <w:gridSpan w:val="3"/>
          </w:tcPr>
          <w:p>
            <w:pPr>
              <w:jc w:val="right"/>
              <w:ind w:right="63"/>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7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85"/>
              </w:rPr>
              <w:t>September 30, 2012</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5740" w:type="dxa"/>
            <w:vAlign w:val="bottom"/>
          </w:tcPr>
          <w:p>
            <w:pPr>
              <w:spacing w:after="0"/>
              <w:rPr>
                <w:sz w:val="10"/>
                <w:szCs w:val="10"/>
                <w:color w:val="auto"/>
              </w:rPr>
            </w:pPr>
          </w:p>
        </w:tc>
        <w:tc>
          <w:tcPr>
            <w:tcW w:w="840" w:type="dxa"/>
            <w:vAlign w:val="bottom"/>
          </w:tcPr>
          <w:p>
            <w:pPr>
              <w:jc w:val="right"/>
              <w:ind w:right="179"/>
              <w:spacing w:after="0" w:line="115" w:lineRule="exact"/>
              <w:rPr>
                <w:sz w:val="20"/>
                <w:szCs w:val="20"/>
                <w:color w:val="auto"/>
              </w:rPr>
            </w:pPr>
            <w:r>
              <w:rPr>
                <w:rFonts w:ascii="Arial" w:cs="Arial" w:eastAsia="Arial" w:hAnsi="Arial"/>
                <w:sz w:val="12"/>
                <w:szCs w:val="12"/>
                <w:b w:val="1"/>
                <w:bCs w:val="1"/>
                <w:color w:val="auto"/>
              </w:rPr>
              <w:t>Shares</w:t>
            </w: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6"/>
        </w:trPr>
        <w:tc>
          <w:tcPr>
            <w:tcW w:w="5740" w:type="dxa"/>
            <w:vAlign w:val="bottom"/>
          </w:tcPr>
          <w:p>
            <w:pPr>
              <w:spacing w:after="0"/>
              <w:rPr>
                <w:sz w:val="15"/>
                <w:szCs w:val="15"/>
                <w:color w:val="auto"/>
              </w:rPr>
            </w:pPr>
          </w:p>
        </w:tc>
        <w:tc>
          <w:tcPr>
            <w:tcW w:w="840" w:type="dxa"/>
            <w:vAlign w:val="bottom"/>
          </w:tcPr>
          <w:p>
            <w:pPr>
              <w:jc w:val="right"/>
              <w:ind w:right="99"/>
              <w:spacing w:after="0" w:line="176" w:lineRule="exact"/>
              <w:rPr>
                <w:sz w:val="20"/>
                <w:szCs w:val="20"/>
                <w:color w:val="auto"/>
              </w:rPr>
            </w:pPr>
            <w:r>
              <w:rPr>
                <w:rFonts w:ascii="Arial" w:cs="Arial" w:eastAsia="Arial" w:hAnsi="Arial"/>
                <w:sz w:val="13"/>
                <w:szCs w:val="13"/>
                <w:b w:val="1"/>
                <w:bCs w:val="1"/>
                <w:color w:val="auto"/>
              </w:rPr>
              <w:t>Issued</w:t>
            </w:r>
            <w:r>
              <w:rPr>
                <w:rFonts w:ascii="Arial" w:cs="Arial" w:eastAsia="Arial" w:hAnsi="Arial"/>
                <w:sz w:val="20"/>
                <w:szCs w:val="20"/>
                <w:b w:val="1"/>
                <w:bCs w:val="1"/>
                <w:color w:val="auto"/>
                <w:vertAlign w:val="superscript"/>
              </w:rPr>
              <w:t>(2)</w:t>
            </w:r>
          </w:p>
        </w:tc>
        <w:tc>
          <w:tcPr>
            <w:tcW w:w="2100" w:type="dxa"/>
            <w:vAlign w:val="bottom"/>
            <w:gridSpan w:val="4"/>
          </w:tcPr>
          <w:p>
            <w:pPr>
              <w:ind w:left="920"/>
              <w:spacing w:after="0"/>
              <w:rPr>
                <w:sz w:val="20"/>
                <w:szCs w:val="20"/>
                <w:color w:val="auto"/>
              </w:rPr>
            </w:pPr>
            <w:r>
              <w:rPr>
                <w:rFonts w:ascii="Arial" w:cs="Arial" w:eastAsia="Arial" w:hAnsi="Arial"/>
                <w:sz w:val="14"/>
                <w:szCs w:val="14"/>
                <w:b w:val="1"/>
                <w:bCs w:val="1"/>
                <w:color w:val="auto"/>
                <w:w w:val="90"/>
              </w:rPr>
              <w:t>Proceeds Received</w:t>
            </w:r>
          </w:p>
        </w:tc>
      </w:tr>
      <w:tr>
        <w:trPr>
          <w:trHeight w:val="210"/>
        </w:trPr>
        <w:tc>
          <w:tcPr>
            <w:tcW w:w="5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15, 2012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435,061</w:t>
            </w:r>
          </w:p>
        </w:tc>
        <w:tc>
          <w:tcPr>
            <w:tcW w:w="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February 22, 2012</w:t>
            </w:r>
          </w:p>
        </w:tc>
        <w:tc>
          <w:tcPr>
            <w:tcW w:w="840" w:type="dxa"/>
            <w:vAlign w:val="bottom"/>
          </w:tcPr>
          <w:p>
            <w:pPr>
              <w:jc w:val="right"/>
              <w:spacing w:after="0"/>
              <w:rPr>
                <w:sz w:val="20"/>
                <w:szCs w:val="20"/>
                <w:color w:val="auto"/>
              </w:rPr>
            </w:pPr>
            <w:r>
              <w:rPr>
                <w:rFonts w:ascii="Arial" w:cs="Arial" w:eastAsia="Arial" w:hAnsi="Arial"/>
                <w:sz w:val="18"/>
                <w:szCs w:val="18"/>
                <w:color w:val="auto"/>
              </w:rPr>
              <w:t>2,368,398</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5,076,511</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May 31, 2012</w:t>
            </w:r>
          </w:p>
        </w:tc>
        <w:tc>
          <w:tcPr>
            <w:tcW w:w="840" w:type="dxa"/>
            <w:vAlign w:val="bottom"/>
          </w:tcPr>
          <w:p>
            <w:pPr>
              <w:jc w:val="right"/>
              <w:spacing w:after="0"/>
              <w:rPr>
                <w:sz w:val="20"/>
                <w:szCs w:val="20"/>
                <w:color w:val="auto"/>
              </w:rPr>
            </w:pPr>
            <w:r>
              <w:rPr>
                <w:rFonts w:ascii="Arial" w:cs="Arial" w:eastAsia="Arial" w:hAnsi="Arial"/>
                <w:sz w:val="18"/>
                <w:szCs w:val="18"/>
                <w:color w:val="auto"/>
              </w:rPr>
              <w:t>892,058</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June 29, 2012 </w:t>
            </w:r>
            <w:r>
              <w:rPr>
                <w:rFonts w:ascii="Arial" w:cs="Arial" w:eastAsia="Arial" w:hAnsi="Arial"/>
                <w:sz w:val="11"/>
                <w:szCs w:val="11"/>
                <w:color w:val="auto"/>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2,319,591</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September 26, 2012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1,496,143</w:t>
            </w:r>
          </w:p>
        </w:tc>
        <w:tc>
          <w:tcPr>
            <w:tcW w:w="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22,698</w:t>
            </w:r>
          </w:p>
        </w:tc>
        <w:tc>
          <w:tcPr>
            <w:tcW w:w="100" w:type="dxa"/>
            <w:vAlign w:val="bottom"/>
          </w:tcPr>
          <w:p>
            <w:pPr>
              <w:spacing w:after="0"/>
              <w:rPr>
                <w:sz w:val="19"/>
                <w:szCs w:val="19"/>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12,587,762</w:t>
            </w:r>
          </w:p>
        </w:tc>
        <w:tc>
          <w:tcPr>
            <w:tcW w:w="128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187,586</w:t>
            </w:r>
          </w:p>
        </w:tc>
        <w:tc>
          <w:tcPr>
            <w:tcW w:w="100" w:type="dxa"/>
            <w:vAlign w:val="bottom"/>
            <w:shd w:val="clear" w:color="auto" w:fill="CCEEFF"/>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620" w:hanging="452"/>
        <w:spacing w:after="0" w:line="268"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 of June 30, 2012, there were $2.9 million in capital drawdowns outstanding from investors. On July 13, 2012, all outstanding amounts had been received by the Company.</w:t>
      </w:r>
    </w:p>
    <w:p>
      <w:pPr>
        <w:spacing w:after="0" w:line="118"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89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investors who have not opted out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 during the nine months ended September 30, 2013 and 2012:</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3"/>
          </w:tcPr>
          <w:p>
            <w:pPr>
              <w:ind w:left="12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September 30, 2013</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720" w:type="dxa"/>
            <w:vAlign w:val="bottom"/>
            <w:vMerge w:val="restart"/>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4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Date</w:t>
            </w: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 Issued</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720" w:type="dxa"/>
            <w:vAlign w:val="bottom"/>
            <w:vMerge w:val="continue"/>
          </w:tcPr>
          <w:p>
            <w:pPr>
              <w:spacing w:after="0"/>
              <w:rPr>
                <w:sz w:val="14"/>
                <w:szCs w:val="14"/>
                <w:color w:val="auto"/>
              </w:rPr>
            </w:pPr>
          </w:p>
        </w:tc>
        <w:tc>
          <w:tcPr>
            <w:tcW w:w="1740" w:type="dxa"/>
            <w:vAlign w:val="bottom"/>
            <w:gridSpan w:val="2"/>
          </w:tcPr>
          <w:p>
            <w:pPr>
              <w:ind w:left="460"/>
              <w:spacing w:after="0" w:line="148" w:lineRule="exact"/>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4"/>
                <w:szCs w:val="14"/>
                <w:color w:val="auto"/>
              </w:rPr>
            </w:pPr>
          </w:p>
        </w:tc>
        <w:tc>
          <w:tcPr>
            <w:tcW w:w="17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2"/>
              </w:rPr>
              <w:t>Shares Issued</w:t>
            </w: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1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December 31, 2012</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12, 2013</w:t>
            </w:r>
          </w:p>
        </w:tc>
        <w:tc>
          <w:tcPr>
            <w:tcW w:w="4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343,981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March 31, 2013</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March 31, 2013</w:t>
            </w:r>
          </w:p>
        </w:tc>
        <w:tc>
          <w:tcPr>
            <w:tcW w:w="280" w:type="dxa"/>
            <w:vAlign w:val="bottom"/>
          </w:tcPr>
          <w:p>
            <w:pPr>
              <w:spacing w:after="0"/>
              <w:rPr>
                <w:sz w:val="18"/>
                <w:szCs w:val="18"/>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May 7, 2013</w:t>
            </w:r>
          </w:p>
        </w:tc>
        <w:tc>
          <w:tcPr>
            <w:tcW w:w="1100" w:type="dxa"/>
            <w:vAlign w:val="bottom"/>
          </w:tcPr>
          <w:p>
            <w:pPr>
              <w:jc w:val="right"/>
              <w:spacing w:after="0"/>
              <w:rPr>
                <w:sz w:val="20"/>
                <w:szCs w:val="20"/>
                <w:color w:val="auto"/>
              </w:rPr>
            </w:pPr>
            <w:r>
              <w:rPr>
                <w:rFonts w:ascii="Arial" w:cs="Arial" w:eastAsia="Arial" w:hAnsi="Arial"/>
                <w:sz w:val="18"/>
                <w:szCs w:val="18"/>
                <w:color w:val="auto"/>
              </w:rPr>
              <w:t>436,728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2013</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30, 2013</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August 6, 2013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1,250,508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8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September 30, 2012</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720" w:type="dxa"/>
            <w:vAlign w:val="bottom"/>
            <w:vMerge w:val="restart"/>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4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Date</w:t>
            </w: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 Issued</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720" w:type="dxa"/>
            <w:vAlign w:val="bottom"/>
            <w:vMerge w:val="continue"/>
          </w:tcPr>
          <w:p>
            <w:pPr>
              <w:spacing w:after="0"/>
              <w:rPr>
                <w:sz w:val="14"/>
                <w:szCs w:val="14"/>
                <w:color w:val="auto"/>
              </w:rPr>
            </w:pPr>
          </w:p>
        </w:tc>
        <w:tc>
          <w:tcPr>
            <w:tcW w:w="1740" w:type="dxa"/>
            <w:vAlign w:val="bottom"/>
            <w:gridSpan w:val="2"/>
          </w:tcPr>
          <w:p>
            <w:pPr>
              <w:ind w:left="460"/>
              <w:spacing w:after="0" w:line="148" w:lineRule="exact"/>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4"/>
                <w:szCs w:val="14"/>
                <w:color w:val="auto"/>
              </w:rPr>
            </w:pPr>
          </w:p>
        </w:tc>
        <w:tc>
          <w:tcPr>
            <w:tcW w:w="17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2"/>
              </w:rPr>
              <w:t>Shares Issued</w:t>
            </w: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1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December 31, 2011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20, 2012</w:t>
            </w:r>
          </w:p>
        </w:tc>
        <w:tc>
          <w:tcPr>
            <w:tcW w:w="4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22,870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March 20, 2012</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March 31, 2012</w:t>
            </w:r>
          </w:p>
        </w:tc>
        <w:tc>
          <w:tcPr>
            <w:tcW w:w="280" w:type="dxa"/>
            <w:vAlign w:val="bottom"/>
          </w:tcPr>
          <w:p>
            <w:pPr>
              <w:spacing w:after="0"/>
              <w:rPr>
                <w:sz w:val="18"/>
                <w:szCs w:val="18"/>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May 16, 2012</w:t>
            </w:r>
          </w:p>
        </w:tc>
        <w:tc>
          <w:tcPr>
            <w:tcW w:w="1100" w:type="dxa"/>
            <w:vAlign w:val="bottom"/>
          </w:tcPr>
          <w:p>
            <w:pPr>
              <w:jc w:val="right"/>
              <w:spacing w:after="0"/>
              <w:rPr>
                <w:sz w:val="20"/>
                <w:szCs w:val="20"/>
                <w:color w:val="auto"/>
              </w:rPr>
            </w:pPr>
            <w:r>
              <w:rPr>
                <w:rFonts w:ascii="Arial" w:cs="Arial" w:eastAsia="Arial" w:hAnsi="Arial"/>
                <w:sz w:val="18"/>
                <w:szCs w:val="18"/>
                <w:color w:val="auto"/>
              </w:rPr>
              <w:t>97,214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9, 2012</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30, 2012</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August 7, 2012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number of shares issued through the dividend reinvestment plan was determined by dividing the total dollar amount of the dividend payable to such investor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 As of December 5, 2013, the Company’s issued and outstanding shares total 37,026,023, as adjusted for the stock split.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520" w:type="dxa"/>
            <w:vAlign w:val="bottom"/>
            <w:gridSpan w:val="6"/>
          </w:tcPr>
          <w:p>
            <w:pPr>
              <w:ind w:left="58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5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7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740" w:type="dxa"/>
            <w:vAlign w:val="bottom"/>
          </w:tcPr>
          <w:p>
            <w:pPr>
              <w:spacing w:after="0"/>
              <w:rPr>
                <w:sz w:val="11"/>
                <w:szCs w:val="11"/>
                <w:color w:val="auto"/>
              </w:rPr>
            </w:pPr>
          </w:p>
        </w:tc>
        <w:tc>
          <w:tcPr>
            <w:tcW w:w="126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September 30,</w:t>
            </w:r>
          </w:p>
        </w:tc>
        <w:tc>
          <w:tcPr>
            <w:tcW w:w="3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1"/>
                <w:szCs w:val="11"/>
                <w:color w:val="auto"/>
              </w:rPr>
            </w:pPr>
          </w:p>
        </w:tc>
      </w:tr>
      <w:tr>
        <w:trPr>
          <w:trHeight w:val="161"/>
        </w:trPr>
        <w:tc>
          <w:tcPr>
            <w:tcW w:w="51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45,927</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27,135</w:t>
            </w:r>
          </w:p>
        </w:tc>
        <w:tc>
          <w:tcPr>
            <w:tcW w:w="100" w:type="dxa"/>
            <w:vAlign w:val="bottom"/>
            <w:shd w:val="clear" w:color="auto" w:fill="CCEEFF"/>
          </w:tcPr>
          <w:p>
            <w:pPr>
              <w:spacing w:after="0"/>
              <w:rPr>
                <w:sz w:val="18"/>
                <w:szCs w:val="18"/>
                <w:color w:val="auto"/>
              </w:rPr>
            </w:pPr>
          </w:p>
        </w:tc>
      </w:tr>
      <w:tr>
        <w:trPr>
          <w:trHeight w:val="208"/>
        </w:trPr>
        <w:tc>
          <w:tcPr>
            <w:tcW w:w="5120" w:type="dxa"/>
            <w:vAlign w:val="bottom"/>
          </w:tcPr>
          <w:p>
            <w:pPr>
              <w:spacing w:after="0"/>
              <w:rPr>
                <w:sz w:val="20"/>
                <w:szCs w:val="20"/>
                <w:color w:val="auto"/>
              </w:rPr>
            </w:pPr>
            <w:r>
              <w:rPr>
                <w:rFonts w:ascii="Arial" w:cs="Arial" w:eastAsia="Arial" w:hAnsi="Arial"/>
                <w:sz w:val="18"/>
                <w:szCs w:val="18"/>
                <w:color w:val="auto"/>
                <w:w w:val="94"/>
              </w:rPr>
              <w:t>Weighted average shares of common stock outstanding – basic and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120" w:type="dxa"/>
            <w:vAlign w:val="bottom"/>
          </w:tcPr>
          <w:p>
            <w:pPr>
              <w:ind w:left="220"/>
              <w:spacing w:after="0"/>
              <w:rPr>
                <w:sz w:val="20"/>
                <w:szCs w:val="20"/>
                <w:color w:val="auto"/>
              </w:rPr>
            </w:pPr>
            <w:r>
              <w:rPr>
                <w:rFonts w:ascii="Arial" w:cs="Arial" w:eastAsia="Arial" w:hAnsi="Arial"/>
                <w:sz w:val="18"/>
                <w:szCs w:val="18"/>
                <w:color w:val="auto"/>
              </w:rPr>
              <w:t>diluted</w:t>
            </w:r>
            <w:r>
              <w:rPr>
                <w:rFonts w:ascii="Arial" w:cs="Arial" w:eastAsia="Arial" w:hAnsi="Arial"/>
                <w:sz w:val="11"/>
                <w:szCs w:val="11"/>
                <w:color w:val="auto"/>
              </w:rPr>
              <w:t>(1)</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34,817,674</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w w:val="86"/>
              </w:rPr>
              <w:t>23,195,714</w:t>
            </w:r>
          </w:p>
        </w:tc>
        <w:tc>
          <w:tcPr>
            <w:tcW w:w="10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33,891,011</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18,832,303</w:t>
            </w:r>
          </w:p>
        </w:tc>
        <w:tc>
          <w:tcPr>
            <w:tcW w:w="100" w:type="dxa"/>
            <w:vAlign w:val="bottom"/>
          </w:tcPr>
          <w:p>
            <w:pPr>
              <w:spacing w:after="0"/>
              <w:rPr>
                <w:sz w:val="19"/>
                <w:szCs w:val="19"/>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 and diluted</w:t>
            </w:r>
            <w:r>
              <w:rPr>
                <w:rFonts w:ascii="Arial" w:cs="Arial" w:eastAsia="Arial" w:hAnsi="Arial"/>
                <w:sz w:val="11"/>
                <w:szCs w:val="11"/>
                <w:color w:val="auto"/>
              </w:rPr>
              <w:t>(1)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80" w:hanging="452"/>
        <w:spacing w:after="0" w:line="268" w:lineRule="auto"/>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dividends declared during the nine months ended September 30, 2013 and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ind w:right="1100"/>
              <w:spacing w:after="0"/>
              <w:rPr>
                <w:sz w:val="20"/>
                <w:szCs w:val="20"/>
                <w:color w:val="auto"/>
              </w:rPr>
            </w:pPr>
            <w:r>
              <w:rPr>
                <w:rFonts w:ascii="Arial" w:cs="Arial" w:eastAsia="Arial" w:hAnsi="Arial"/>
                <w:sz w:val="14"/>
                <w:szCs w:val="14"/>
                <w:b w:val="1"/>
                <w:bCs w:val="1"/>
                <w:color w:val="auto"/>
              </w:rPr>
              <w:t>September 30, 2013</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82"/>
              <w:spacing w:after="0" w:line="115" w:lineRule="exact"/>
              <w:rPr>
                <w:sz w:val="20"/>
                <w:szCs w:val="20"/>
                <w:color w:val="auto"/>
              </w:rPr>
            </w:pPr>
            <w:r>
              <w:rPr>
                <w:rFonts w:ascii="Arial" w:cs="Arial" w:eastAsia="Arial" w:hAnsi="Arial"/>
                <w:sz w:val="12"/>
                <w:szCs w:val="12"/>
                <w:b w:val="1"/>
                <w:bCs w:val="1"/>
                <w:color w:val="auto"/>
              </w:rPr>
              <w:t>Dividend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 Declared</w:t>
            </w:r>
          </w:p>
        </w:tc>
        <w:tc>
          <w:tcPr>
            <w:tcW w:w="3020" w:type="dxa"/>
            <w:vAlign w:val="bottom"/>
          </w:tcPr>
          <w:p>
            <w:pPr>
              <w:spacing w:after="0"/>
              <w:rPr>
                <w:sz w:val="15"/>
                <w:szCs w:val="15"/>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Record Date</w:t>
            </w:r>
          </w:p>
        </w:tc>
        <w:tc>
          <w:tcPr>
            <w:tcW w:w="480" w:type="dxa"/>
            <w:vAlign w:val="bottom"/>
          </w:tcPr>
          <w:p>
            <w:pPr>
              <w:spacing w:after="0"/>
              <w:rPr>
                <w:sz w:val="15"/>
                <w:szCs w:val="15"/>
                <w:color w:val="auto"/>
              </w:rPr>
            </w:pPr>
          </w:p>
        </w:tc>
        <w:tc>
          <w:tcPr>
            <w:tcW w:w="212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5"/>
                <w:szCs w:val="15"/>
                <w:color w:val="auto"/>
              </w:rPr>
            </w:pPr>
          </w:p>
        </w:tc>
        <w:tc>
          <w:tcPr>
            <w:tcW w:w="1080" w:type="dxa"/>
            <w:vAlign w:val="bottom"/>
            <w:gridSpan w:val="2"/>
          </w:tcPr>
          <w:p>
            <w:pPr>
              <w:jc w:val="center"/>
              <w:ind w:right="220"/>
              <w:spacing w:after="0" w:line="162" w:lineRule="exact"/>
              <w:rPr>
                <w:sz w:val="20"/>
                <w:szCs w:val="20"/>
                <w:color w:val="auto"/>
              </w:rPr>
            </w:pPr>
            <w:r>
              <w:rPr>
                <w:rFonts w:ascii="Arial" w:cs="Arial" w:eastAsia="Arial" w:hAnsi="Arial"/>
                <w:sz w:val="12"/>
                <w:szCs w:val="12"/>
                <w:b w:val="1"/>
                <w:bCs w:val="1"/>
                <w:color w:val="auto"/>
                <w:w w:val="95"/>
              </w:rPr>
              <w:t>Share</w:t>
            </w:r>
            <w:r>
              <w:rPr>
                <w:rFonts w:ascii="Arial" w:cs="Arial" w:eastAsia="Arial" w:hAnsi="Arial"/>
                <w:sz w:val="18"/>
                <w:szCs w:val="18"/>
                <w:b w:val="1"/>
                <w:bCs w:val="1"/>
                <w:color w:val="auto"/>
                <w:w w:val="95"/>
                <w:vertAlign w:val="superscript"/>
              </w:rPr>
              <w:t>(1)</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12, 2013</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2013</w:t>
            </w:r>
          </w:p>
        </w:tc>
        <w:tc>
          <w:tcPr>
            <w:tcW w:w="3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6, 2013</w:t>
            </w:r>
          </w:p>
        </w:tc>
        <w:tc>
          <w:tcPr>
            <w:tcW w:w="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1860" w:type="dxa"/>
            <w:vAlign w:val="bottom"/>
            <w:gridSpan w:val="2"/>
          </w:tcPr>
          <w:p>
            <w:pPr>
              <w:jc w:val="right"/>
              <w:ind w:right="380"/>
              <w:spacing w:after="0"/>
              <w:rPr>
                <w:sz w:val="20"/>
                <w:szCs w:val="20"/>
                <w:color w:val="auto"/>
              </w:rPr>
            </w:pPr>
            <w:r>
              <w:rPr>
                <w:rFonts w:ascii="Arial" w:cs="Arial" w:eastAsia="Arial" w:hAnsi="Arial"/>
                <w:sz w:val="18"/>
                <w:szCs w:val="18"/>
                <w:color w:val="auto"/>
              </w:rPr>
              <w:t>June 30, 2013</w:t>
            </w:r>
          </w:p>
        </w:tc>
        <w:tc>
          <w:tcPr>
            <w:tcW w:w="480" w:type="dxa"/>
            <w:vAlign w:val="bottom"/>
          </w:tcPr>
          <w:p>
            <w:pPr>
              <w:spacing w:after="0"/>
              <w:rPr>
                <w:sz w:val="18"/>
                <w:szCs w:val="18"/>
                <w:color w:val="auto"/>
              </w:rPr>
            </w:pPr>
          </w:p>
        </w:tc>
        <w:tc>
          <w:tcPr>
            <w:tcW w:w="2120" w:type="dxa"/>
            <w:vAlign w:val="bottom"/>
            <w:gridSpan w:val="2"/>
          </w:tcPr>
          <w:p>
            <w:pPr>
              <w:jc w:val="right"/>
              <w:ind w:right="840"/>
              <w:spacing w:after="0"/>
              <w:rPr>
                <w:sz w:val="20"/>
                <w:szCs w:val="20"/>
                <w:color w:val="auto"/>
              </w:rPr>
            </w:pPr>
            <w:r>
              <w:rPr>
                <w:rFonts w:ascii="Arial" w:cs="Arial" w:eastAsia="Arial" w:hAnsi="Arial"/>
                <w:sz w:val="18"/>
                <w:szCs w:val="18"/>
                <w:color w:val="auto"/>
              </w:rPr>
              <w:t>July 31, 2013</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September 30, 2013</w:t>
            </w:r>
          </w:p>
        </w:tc>
        <w:tc>
          <w:tcPr>
            <w:tcW w:w="4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0"/>
              </w:rPr>
              <w:t>October 31, 2013</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0" w:type="dxa"/>
            <w:vAlign w:val="bottom"/>
            <w:gridSpan w:val="3"/>
            <w:vMerge w:val="restart"/>
          </w:tcPr>
          <w:p>
            <w:pPr>
              <w:jc w:val="right"/>
              <w:ind w:right="10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8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ind w:right="1100"/>
              <w:spacing w:after="0"/>
              <w:rPr>
                <w:sz w:val="20"/>
                <w:szCs w:val="20"/>
                <w:color w:val="auto"/>
              </w:rPr>
            </w:pPr>
            <w:r>
              <w:rPr>
                <w:rFonts w:ascii="Arial" w:cs="Arial" w:eastAsia="Arial" w:hAnsi="Arial"/>
                <w:sz w:val="14"/>
                <w:szCs w:val="14"/>
                <w:b w:val="1"/>
                <w:bCs w:val="1"/>
                <w:color w:val="auto"/>
              </w:rPr>
              <w:t>September 30, 2012</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82"/>
              <w:spacing w:after="0" w:line="115" w:lineRule="exact"/>
              <w:rPr>
                <w:sz w:val="20"/>
                <w:szCs w:val="20"/>
                <w:color w:val="auto"/>
              </w:rPr>
            </w:pPr>
            <w:r>
              <w:rPr>
                <w:rFonts w:ascii="Arial" w:cs="Arial" w:eastAsia="Arial" w:hAnsi="Arial"/>
                <w:sz w:val="12"/>
                <w:szCs w:val="12"/>
                <w:b w:val="1"/>
                <w:bCs w:val="1"/>
                <w:color w:val="auto"/>
              </w:rPr>
              <w:t>Dividend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 Declared</w:t>
            </w:r>
          </w:p>
        </w:tc>
        <w:tc>
          <w:tcPr>
            <w:tcW w:w="3020" w:type="dxa"/>
            <w:vAlign w:val="bottom"/>
          </w:tcPr>
          <w:p>
            <w:pPr>
              <w:spacing w:after="0"/>
              <w:rPr>
                <w:sz w:val="15"/>
                <w:szCs w:val="15"/>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Record Date</w:t>
            </w:r>
          </w:p>
        </w:tc>
        <w:tc>
          <w:tcPr>
            <w:tcW w:w="480" w:type="dxa"/>
            <w:vAlign w:val="bottom"/>
          </w:tcPr>
          <w:p>
            <w:pPr>
              <w:spacing w:after="0"/>
              <w:rPr>
                <w:sz w:val="15"/>
                <w:szCs w:val="15"/>
                <w:color w:val="auto"/>
              </w:rPr>
            </w:pPr>
          </w:p>
        </w:tc>
        <w:tc>
          <w:tcPr>
            <w:tcW w:w="212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5"/>
                <w:szCs w:val="15"/>
                <w:color w:val="auto"/>
              </w:rPr>
            </w:pPr>
          </w:p>
        </w:tc>
        <w:tc>
          <w:tcPr>
            <w:tcW w:w="1080" w:type="dxa"/>
            <w:vAlign w:val="bottom"/>
            <w:gridSpan w:val="2"/>
          </w:tcPr>
          <w:p>
            <w:pPr>
              <w:jc w:val="center"/>
              <w:ind w:right="220"/>
              <w:spacing w:after="0" w:line="162" w:lineRule="exact"/>
              <w:rPr>
                <w:sz w:val="20"/>
                <w:szCs w:val="20"/>
                <w:color w:val="auto"/>
              </w:rPr>
            </w:pPr>
            <w:r>
              <w:rPr>
                <w:rFonts w:ascii="Arial" w:cs="Arial" w:eastAsia="Arial" w:hAnsi="Arial"/>
                <w:sz w:val="12"/>
                <w:szCs w:val="12"/>
                <w:b w:val="1"/>
                <w:bCs w:val="1"/>
                <w:color w:val="auto"/>
                <w:w w:val="95"/>
              </w:rPr>
              <w:t>Share</w:t>
            </w:r>
            <w:r>
              <w:rPr>
                <w:rFonts w:ascii="Arial" w:cs="Arial" w:eastAsia="Arial" w:hAnsi="Arial"/>
                <w:sz w:val="18"/>
                <w:szCs w:val="18"/>
                <w:b w:val="1"/>
                <w:bCs w:val="1"/>
                <w:color w:val="auto"/>
                <w:w w:val="95"/>
                <w:vertAlign w:val="superscript"/>
              </w:rPr>
              <w:t>(1)</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2012</w:t>
            </w:r>
          </w:p>
        </w:tc>
        <w:tc>
          <w:tcPr>
            <w:tcW w:w="3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7, 2012</w:t>
            </w:r>
          </w:p>
        </w:tc>
        <w:tc>
          <w:tcPr>
            <w:tcW w:w="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1860" w:type="dxa"/>
            <w:vAlign w:val="bottom"/>
            <w:gridSpan w:val="2"/>
          </w:tcPr>
          <w:p>
            <w:pPr>
              <w:jc w:val="right"/>
              <w:ind w:right="380"/>
              <w:spacing w:after="0"/>
              <w:rPr>
                <w:sz w:val="20"/>
                <w:szCs w:val="20"/>
                <w:color w:val="auto"/>
              </w:rPr>
            </w:pPr>
            <w:r>
              <w:rPr>
                <w:rFonts w:ascii="Arial" w:cs="Arial" w:eastAsia="Arial" w:hAnsi="Arial"/>
                <w:sz w:val="18"/>
                <w:szCs w:val="18"/>
                <w:color w:val="auto"/>
              </w:rPr>
              <w:t>June 30, 2012</w:t>
            </w:r>
          </w:p>
        </w:tc>
        <w:tc>
          <w:tcPr>
            <w:tcW w:w="480" w:type="dxa"/>
            <w:vAlign w:val="bottom"/>
          </w:tcPr>
          <w:p>
            <w:pPr>
              <w:spacing w:after="0"/>
              <w:rPr>
                <w:sz w:val="18"/>
                <w:szCs w:val="18"/>
                <w:color w:val="auto"/>
              </w:rPr>
            </w:pPr>
          </w:p>
        </w:tc>
        <w:tc>
          <w:tcPr>
            <w:tcW w:w="2120" w:type="dxa"/>
            <w:vAlign w:val="bottom"/>
            <w:gridSpan w:val="2"/>
          </w:tcPr>
          <w:p>
            <w:pPr>
              <w:jc w:val="right"/>
              <w:ind w:right="840"/>
              <w:spacing w:after="0"/>
              <w:rPr>
                <w:sz w:val="20"/>
                <w:szCs w:val="20"/>
                <w:color w:val="auto"/>
              </w:rPr>
            </w:pPr>
            <w:r>
              <w:rPr>
                <w:rFonts w:ascii="Arial" w:cs="Arial" w:eastAsia="Arial" w:hAnsi="Arial"/>
                <w:sz w:val="18"/>
                <w:szCs w:val="18"/>
                <w:color w:val="auto"/>
              </w:rPr>
              <w:t>August 3, 2012</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September 30, 2012</w:t>
            </w:r>
          </w:p>
        </w:tc>
        <w:tc>
          <w:tcPr>
            <w:tcW w:w="4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0"/>
              </w:rPr>
              <w:t>October 30, 2012</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dividends declared during the nine months ended September 30, 2013 and 2012, were derived from net investment income, determined on a tax basis.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general, the Company may make certain adjustments to the classification of stockholders’ equity as a result of permanent book-to-tax differences, which may include differences in the book and tax basis of certain assets and liabilities and nondeductible federal taxes or expenses, among other items. To the extent these differences are permanent, they are charged or credited to Additional Paid-in Capital or Accumulated Net Investment Income, as appropriate, in the period that the differences arise. These adjustments have no effect on the Company’s net assets or results of operations.</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We neither have any uncertain tax positions that met the recognition or measurement criteria of ASC 740-10-25, </w:t>
      </w:r>
      <w:r>
        <w:rPr>
          <w:rFonts w:ascii="Arial" w:cs="Arial" w:eastAsia="Arial" w:hAnsi="Arial"/>
          <w:sz w:val="16"/>
          <w:szCs w:val="16"/>
          <w:i w:val="1"/>
          <w:iCs w:val="1"/>
          <w:color w:val="auto"/>
        </w:rPr>
        <w:t>Income Taxes</w:t>
      </w:r>
      <w:r>
        <w:rPr>
          <w:rFonts w:ascii="Arial" w:cs="Arial" w:eastAsia="Arial" w:hAnsi="Arial"/>
          <w:sz w:val="16"/>
          <w:szCs w:val="16"/>
          <w:color w:val="auto"/>
        </w:rPr>
        <w:t>, nor did we have any unrecognized tax benefits as of the periods presented herein. Although we file federal and state tax returns, our primary tax jurisdiction is federal. Our inception-to-date taxable years remain subject to examination by the Internal Revenue Service as well as the respective state and local tax authorities.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basis of the Company’s investments as of September 30, 2013 and December 31, 2012, approximates their amortized cost.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three and nine months ended September 30, 2013, a net expense of $0.1 million and $0.1 million, respectively, was recorded for U.S. federal excise tax. For the three and nine months ended September 30, 2012, we did not incur any U.S. federal excise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460" w:right="620" w:hanging="452"/>
        <w:spacing w:after="0" w:line="268" w:lineRule="auto"/>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360"/>
          </w:cols>
          <w:pgMar w:left="240" w:top="459" w:right="2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following per share data and ratios have been derived from information provided in the consolidated financial statements. The following are the financial highlights for a share of Common Stock outstanding during the three months ended September 30, 2013 and 2012.</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Nine Months Ended</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3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2013</w:t>
            </w:r>
          </w:p>
        </w:tc>
        <w:tc>
          <w:tcPr>
            <w:tcW w:w="1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1"/>
                <w:szCs w:val="11"/>
                <w:color w:val="auto"/>
              </w:rPr>
              <w:t>(1)(5)</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15.19</w:t>
            </w:r>
          </w:p>
        </w:tc>
        <w:tc>
          <w:tcPr>
            <w:tcW w:w="1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unrealized and realized gains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from investment operations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60" w:type="dxa"/>
            <w:vAlign w:val="bottom"/>
            <w:gridSpan w:val="2"/>
          </w:tcPr>
          <w:p>
            <w:pPr>
              <w:spacing w:after="0"/>
              <w:rPr>
                <w:sz w:val="20"/>
                <w:szCs w:val="20"/>
                <w:color w:val="auto"/>
              </w:rPr>
            </w:pPr>
            <w:r>
              <w:rPr>
                <w:rFonts w:ascii="Arial" w:cs="Arial" w:eastAsia="Arial" w:hAnsi="Arial"/>
                <w:sz w:val="18"/>
                <w:szCs w:val="18"/>
                <w:color w:val="auto"/>
              </w:rPr>
              <w:t>Dividends declared from net investment income</w:t>
            </w:r>
          </w:p>
        </w:tc>
        <w:tc>
          <w:tcPr>
            <w:tcW w:w="220" w:type="dxa"/>
            <w:vAlign w:val="bottom"/>
          </w:tcPr>
          <w:p>
            <w:pPr>
              <w:spacing w:after="0"/>
              <w:rPr>
                <w:sz w:val="19"/>
                <w:szCs w:val="19"/>
                <w:color w:val="auto"/>
              </w:rPr>
            </w:pPr>
          </w:p>
        </w:tc>
        <w:tc>
          <w:tcPr>
            <w:tcW w:w="2080" w:type="dxa"/>
            <w:vAlign w:val="bottom"/>
            <w:gridSpan w:val="2"/>
          </w:tcPr>
          <w:p>
            <w:pPr>
              <w:jc w:val="right"/>
              <w:ind w:right="1052"/>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realized gains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420"/>
              <w:spacing w:after="0"/>
              <w:rPr>
                <w:sz w:val="20"/>
                <w:szCs w:val="20"/>
                <w:color w:val="auto"/>
              </w:rPr>
            </w:pPr>
            <w:r>
              <w:rPr>
                <w:rFonts w:ascii="Arial" w:cs="Arial" w:eastAsia="Arial" w:hAnsi="Arial"/>
                <w:sz w:val="18"/>
                <w:szCs w:val="18"/>
                <w:color w:val="auto"/>
              </w:rPr>
              <w:t>Total dividends declared</w:t>
            </w: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jc w:val="right"/>
              <w:ind w:right="1052"/>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increase in net assets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1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420"/>
              <w:spacing w:after="0"/>
              <w:rPr>
                <w:sz w:val="20"/>
                <w:szCs w:val="20"/>
                <w:color w:val="auto"/>
              </w:rPr>
            </w:pPr>
            <w:r>
              <w:rPr>
                <w:rFonts w:ascii="Arial" w:cs="Arial" w:eastAsia="Arial" w:hAnsi="Arial"/>
                <w:sz w:val="18"/>
                <w:szCs w:val="18"/>
                <w:b w:val="1"/>
                <w:bCs w:val="1"/>
                <w:color w:val="auto"/>
              </w:rPr>
              <w:t>Net Asset Value, End of Period</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1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Shares Outstanding, End of Period </w:t>
            </w:r>
            <w:r>
              <w:rPr>
                <w:rFonts w:ascii="Arial" w:cs="Arial" w:eastAsia="Arial" w:hAnsi="Arial"/>
                <w:sz w:val="11"/>
                <w:szCs w:val="11"/>
                <w:color w:val="auto"/>
              </w:rPr>
              <w:t>(5)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36,546,516</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24,699,457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1"/>
                <w:szCs w:val="11"/>
                <w:color w:val="auto"/>
              </w:rPr>
              <w:t>(2) (3)</w:t>
            </w:r>
          </w:p>
        </w:tc>
        <w:tc>
          <w:tcPr>
            <w:tcW w:w="220" w:type="dxa"/>
            <w:vAlign w:val="bottom"/>
          </w:tcPr>
          <w:p>
            <w:pPr>
              <w:spacing w:after="0"/>
              <w:rPr>
                <w:sz w:val="24"/>
                <w:szCs w:val="24"/>
                <w:color w:val="auto"/>
              </w:rPr>
            </w:pPr>
          </w:p>
        </w:tc>
        <w:tc>
          <w:tcPr>
            <w:tcW w:w="2080" w:type="dxa"/>
            <w:vAlign w:val="bottom"/>
            <w:gridSpan w:val="2"/>
          </w:tcPr>
          <w:p>
            <w:pPr>
              <w:jc w:val="right"/>
              <w:ind w:right="952"/>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 xml:space="preserve">Ratio of net expenses to average net assets </w:t>
            </w:r>
            <w:r>
              <w:rPr>
                <w:rFonts w:ascii="Arial" w:cs="Arial" w:eastAsia="Arial" w:hAnsi="Arial"/>
                <w:sz w:val="11"/>
                <w:szCs w:val="11"/>
                <w:color w:val="auto"/>
              </w:rPr>
              <w:t>(3)</w:t>
            </w:r>
          </w:p>
        </w:tc>
        <w:tc>
          <w:tcPr>
            <w:tcW w:w="220" w:type="dxa"/>
            <w:vAlign w:val="bottom"/>
          </w:tcPr>
          <w:p>
            <w:pPr>
              <w:spacing w:after="0"/>
              <w:rPr>
                <w:sz w:val="18"/>
                <w:szCs w:val="18"/>
                <w:color w:val="auto"/>
              </w:rPr>
            </w:pPr>
          </w:p>
        </w:tc>
        <w:tc>
          <w:tcPr>
            <w:tcW w:w="2080" w:type="dxa"/>
            <w:vAlign w:val="bottom"/>
            <w:gridSpan w:val="2"/>
          </w:tcPr>
          <w:p>
            <w:pPr>
              <w:jc w:val="right"/>
              <w:ind w:right="952"/>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Ratio of net investment income to average net assets </w:t>
            </w:r>
            <w:r>
              <w:rPr>
                <w:rFonts w:ascii="Arial" w:cs="Arial" w:eastAsia="Arial" w:hAnsi="Arial"/>
                <w:sz w:val="11"/>
                <w:szCs w:val="11"/>
                <w:color w:val="auto"/>
              </w:rPr>
              <w:t>(3)</w:t>
            </w:r>
          </w:p>
        </w:tc>
        <w:tc>
          <w:tcPr>
            <w:tcW w:w="2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561,089</w:t>
            </w:r>
          </w:p>
        </w:tc>
        <w:tc>
          <w:tcPr>
            <w:tcW w:w="1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373,491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1"/>
                <w:szCs w:val="11"/>
                <w:color w:val="auto"/>
              </w:rPr>
              <w:t>(5)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33,891,011</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18,832,303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 xml:space="preserve">Total committed capital, end of period </w:t>
            </w:r>
            <w:r>
              <w:rPr>
                <w:rFonts w:ascii="Arial" w:cs="Arial" w:eastAsia="Arial" w:hAnsi="Arial"/>
                <w:sz w:val="11"/>
                <w:szCs w:val="11"/>
                <w:color w:val="auto"/>
              </w:rPr>
              <w:t>(4)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1,500,000</w:t>
            </w:r>
          </w:p>
        </w:tc>
        <w:tc>
          <w:tcPr>
            <w:tcW w:w="1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1,402,970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contributed capital to total committed capital, end of period</w:t>
            </w:r>
          </w:p>
        </w:tc>
        <w:tc>
          <w:tcPr>
            <w:tcW w:w="2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Year of formation</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2010</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80" w:right="240" w:hanging="572"/>
        <w:spacing w:after="0" w:line="254" w:lineRule="auto"/>
        <w:tabs>
          <w:tab w:leader="none" w:pos="5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Based on actual number of shares outstanding at the end of the corresponding period or the weighted average shares outstanding for the period, unless otherwise noted, as appropriate.</w:t>
      </w:r>
    </w:p>
    <w:p>
      <w:pPr>
        <w:ind w:left="580" w:hanging="572"/>
        <w:spacing w:after="0" w:line="250" w:lineRule="auto"/>
        <w:tabs>
          <w:tab w:leader="none" w:pos="5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Total return is calculated as the change in net asset value per share during the period plus declared dividends per share, divided by the beginning net asset value per share.</w:t>
      </w:r>
    </w:p>
    <w:p>
      <w:pPr>
        <w:ind w:left="580" w:hanging="572"/>
        <w:spacing w:after="0"/>
        <w:tabs>
          <w:tab w:leader="none" w:pos="5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Amount includes $117.1 million and $98.4 million of commitments from the Adviser and its affiliates as of September 30, 2013 and 2012, respectively.</w:t>
      </w:r>
    </w:p>
    <w:p>
      <w:pPr>
        <w:spacing w:after="0" w:line="32" w:lineRule="exact"/>
        <w:rPr>
          <w:rFonts w:ascii="Arial" w:cs="Arial" w:eastAsia="Arial" w:hAnsi="Arial"/>
          <w:sz w:val="16"/>
          <w:szCs w:val="16"/>
          <w:color w:val="auto"/>
        </w:rPr>
      </w:pPr>
    </w:p>
    <w:p>
      <w:pPr>
        <w:ind w:left="580" w:right="500" w:hanging="572"/>
        <w:spacing w:after="0" w:line="261" w:lineRule="auto"/>
        <w:tabs>
          <w:tab w:leader="none" w:pos="5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November 5, 2013, the Company entered into an agreement to amend the Revolving Credit Facility (DBTCA) by extending the stated maturity date from December 22, 2013 to June 30, 2014.</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360"/>
          </w:cols>
          <w:pgMar w:left="240" w:top="460" w:right="2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APPENDIX A – DESCRIPTION OF SECURITIES RATINGS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 &amp; Poor’s Long-Term Credit Issue Ratings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descriptions of Standard &amp; Poor’s long-term issue credit ratings have been published by Standard &amp; Poor’s Financial Services LLC:</w:t>
      </w:r>
    </w:p>
    <w:p>
      <w:pPr>
        <w:spacing w:after="0" w:line="194" w:lineRule="exact"/>
        <w:rPr>
          <w:sz w:val="20"/>
          <w:szCs w:val="20"/>
          <w:color w:val="auto"/>
        </w:rPr>
      </w:pPr>
    </w:p>
    <w:p>
      <w:pPr>
        <w:ind w:right="740" w:firstLine="8"/>
        <w:spacing w:after="0" w:line="268" w:lineRule="auto"/>
        <w:tabs>
          <w:tab w:leader="none" w:pos="424" w:val="left"/>
        </w:tabs>
        <w:numPr>
          <w:ilvl w:val="0"/>
          <w:numId w:val="177"/>
        </w:numPr>
        <w:rPr>
          <w:rFonts w:ascii="Arial" w:cs="Arial" w:eastAsia="Arial" w:hAnsi="Arial"/>
          <w:sz w:val="18"/>
          <w:szCs w:val="18"/>
          <w:b w:val="1"/>
          <w:bCs w:val="1"/>
          <w:color w:val="auto"/>
        </w:rPr>
      </w:pPr>
      <w:r>
        <w:rPr>
          <w:rFonts w:ascii="Arial" w:cs="Arial" w:eastAsia="Arial" w:hAnsi="Arial"/>
          <w:sz w:val="18"/>
          <w:szCs w:val="18"/>
          <w:color w:val="auto"/>
        </w:rPr>
        <w:t>- An obligation rated ‘AAA’ has the highest rating assigned by Standard &amp; Poor’s. The obligor’s capacity to meet its financial commitment on the obligation is extremely strong.</w:t>
      </w:r>
    </w:p>
    <w:p>
      <w:pPr>
        <w:spacing w:after="0" w:line="132" w:lineRule="exact"/>
        <w:rPr>
          <w:sz w:val="20"/>
          <w:szCs w:val="20"/>
          <w:color w:val="auto"/>
        </w:rPr>
      </w:pPr>
    </w:p>
    <w:p>
      <w:pPr>
        <w:ind w:right="220" w:firstLine="8"/>
        <w:spacing w:after="0" w:line="268" w:lineRule="auto"/>
        <w:tabs>
          <w:tab w:leader="none" w:pos="297"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 An obligation rated ‘AA’ differs from the highest-rated obligations only to a small degree. The obligor’s capacity to meet its financial commitment on the obligation is very strong.</w:t>
      </w:r>
    </w:p>
    <w:p>
      <w:pPr>
        <w:spacing w:after="0" w:line="12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An obligation rated ‘A’ is somewhat more susceptible to the adverse effects of changes in circumstances and economic conditions than obligations in higher-rated categories. However, the obligor’s capacity to meet its financial commitment on the obligation is still strong.</w:t>
      </w:r>
    </w:p>
    <w:p>
      <w:pPr>
        <w:spacing w:after="0" w:line="126" w:lineRule="exact"/>
        <w:rPr>
          <w:sz w:val="20"/>
          <w:szCs w:val="20"/>
          <w:color w:val="auto"/>
        </w:rPr>
      </w:pPr>
    </w:p>
    <w:p>
      <w:pPr>
        <w:ind w:right="140" w:firstLine="8"/>
        <w:spacing w:after="0" w:line="332" w:lineRule="auto"/>
        <w:tabs>
          <w:tab w:leader="none" w:pos="395" w:val="left"/>
        </w:tabs>
        <w:numPr>
          <w:ilvl w:val="0"/>
          <w:numId w:val="179"/>
        </w:numPr>
        <w:rPr>
          <w:rFonts w:ascii="Arial" w:cs="Arial" w:eastAsia="Arial" w:hAnsi="Arial"/>
          <w:sz w:val="16"/>
          <w:szCs w:val="16"/>
          <w:b w:val="1"/>
          <w:bCs w:val="1"/>
          <w:color w:val="auto"/>
        </w:rPr>
      </w:pPr>
      <w:r>
        <w:rPr>
          <w:rFonts w:ascii="Arial" w:cs="Arial" w:eastAsia="Arial" w:hAnsi="Arial"/>
          <w:sz w:val="16"/>
          <w:szCs w:val="16"/>
          <w:color w:val="auto"/>
        </w:rPr>
        <w:t>- An obligation rated ‘BBB’ exhibits adequate protection parameters. However, adverse economic conditions or changing circumstances are more likely to lead to a weakened capacity of the obligor to meet its financial commitment on the obligation.</w:t>
      </w:r>
    </w:p>
    <w:p>
      <w:pPr>
        <w:spacing w:after="0" w:line="79"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b w:val="1"/>
          <w:bCs w:val="1"/>
          <w:color w:val="auto"/>
        </w:rPr>
        <w:t xml:space="preserve">BB, B, CCC, CC, and C </w:t>
      </w:r>
      <w:r>
        <w:rPr>
          <w:rFonts w:ascii="Arial" w:cs="Arial" w:eastAsia="Arial" w:hAnsi="Arial"/>
          <w:sz w:val="18"/>
          <w:szCs w:val="18"/>
          <w:color w:val="auto"/>
        </w:rPr>
        <w:t>- Obligations rated ‘BB’, ‘B’, ‘CCC’, ‘CC’, and ‘C’ are regarded as having significant speculative characteristics. ‘BB’ indicates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least degree of speculation and ‘C’ the highest. While such obligations will likely have some quality and protective characteristics, these may be outweighed by large uncertainties or major exposures to adverse conditions.</w:t>
      </w:r>
    </w:p>
    <w:p>
      <w:pPr>
        <w:spacing w:after="0" w:line="138" w:lineRule="exact"/>
        <w:rPr>
          <w:sz w:val="20"/>
          <w:szCs w:val="20"/>
          <w:color w:val="auto"/>
        </w:rPr>
      </w:pPr>
    </w:p>
    <w:p>
      <w:pPr>
        <w:ind w:right="360" w:firstLine="8"/>
        <w:spacing w:after="0" w:line="332" w:lineRule="auto"/>
        <w:tabs>
          <w:tab w:leader="none" w:pos="278" w:val="left"/>
        </w:tabs>
        <w:numPr>
          <w:ilvl w:val="0"/>
          <w:numId w:val="180"/>
        </w:numPr>
        <w:rPr>
          <w:rFonts w:ascii="Arial" w:cs="Arial" w:eastAsia="Arial" w:hAnsi="Arial"/>
          <w:sz w:val="16"/>
          <w:szCs w:val="16"/>
          <w:b w:val="1"/>
          <w:bCs w:val="1"/>
          <w:color w:val="auto"/>
        </w:rPr>
      </w:pPr>
      <w:r>
        <w:rPr>
          <w:rFonts w:ascii="Arial" w:cs="Arial" w:eastAsia="Arial" w:hAnsi="Arial"/>
          <w:sz w:val="16"/>
          <w:szCs w:val="16"/>
          <w:color w:val="auto"/>
        </w:rPr>
        <w:t>- An obligation rated ‘BB’ is less vulnerable to nonpayment than other speculative issues. However, it faces major ongoing uncertainties or exposure to adverse business, financial, or economic conditions which could lead to the obligor’s inadequate capacity to meet its financial commitment on the obligation.</w:t>
      </w:r>
    </w:p>
    <w:p>
      <w:pPr>
        <w:spacing w:after="0" w:line="7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An obligation rated ‘B’ is more vulnerable to nonpayment than obligations rated ‘BB’, but the obligor currently has the capacity to meet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on the obligation. Adverse business, financial, or economic conditions will likely impair the obligor’s capacity or willingness to meet its financial commitment on the obligation.</w:t>
      </w:r>
    </w:p>
    <w:p>
      <w:pPr>
        <w:spacing w:after="0" w:line="138" w:lineRule="exact"/>
        <w:rPr>
          <w:sz w:val="20"/>
          <w:szCs w:val="20"/>
          <w:color w:val="auto"/>
        </w:rPr>
      </w:pPr>
    </w:p>
    <w:p>
      <w:pPr>
        <w:ind w:firstLine="8"/>
        <w:spacing w:after="0" w:line="259" w:lineRule="auto"/>
        <w:tabs>
          <w:tab w:leader="none" w:pos="424"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 An obligation rated ‘CCC’ is currently vulnerable to nonpayment, and is dependent upon favorable business, financial, and economic conditions for the obligor to meet its financial commitment on the obligation. In the event of adverse business, financial, or economic conditions, the obligor is not likely to have the capacity to meet its financial commitment on the obligation.</w:t>
      </w:r>
    </w:p>
    <w:p>
      <w:pPr>
        <w:spacing w:after="0" w:line="140" w:lineRule="exact"/>
        <w:rPr>
          <w:sz w:val="20"/>
          <w:szCs w:val="20"/>
          <w:color w:val="auto"/>
        </w:rPr>
      </w:pPr>
    </w:p>
    <w:p>
      <w:pPr>
        <w:ind w:right="100" w:firstLine="8"/>
        <w:spacing w:after="0" w:line="268" w:lineRule="auto"/>
        <w:tabs>
          <w:tab w:leader="none" w:pos="297"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 An obligation rated ‘CC’ is currently highly vulnerable to nonpayment. The ‘CC’ rating is used when a default has not yet occurred, but Standard &amp; Poor’s expects default to be a virtual certainty, regardless of the anticipated time to default.</w:t>
      </w:r>
    </w:p>
    <w:p>
      <w:pPr>
        <w:spacing w:after="0" w:line="126"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 An obligation rated ‘C’ is currently highly vulnerable to nonpayment, and the obligation is expected to have lower relative seniority or lower ultimate</w:t>
      </w:r>
      <w:r>
        <w:rPr>
          <w:rFonts w:ascii="Arial" w:cs="Arial" w:eastAsia="Arial" w:hAnsi="Arial"/>
          <w:sz w:val="18"/>
          <w:szCs w:val="18"/>
          <w:b w:val="1"/>
          <w:bCs w:val="1"/>
          <w:color w:val="auto"/>
        </w:rPr>
        <w:t xml:space="preserve"> </w:t>
      </w:r>
      <w:r>
        <w:rPr>
          <w:rFonts w:ascii="Arial" w:cs="Arial" w:eastAsia="Arial" w:hAnsi="Arial"/>
          <w:sz w:val="18"/>
          <w:szCs w:val="18"/>
          <w:color w:val="auto"/>
        </w:rPr>
        <w:t>recovery compared to obligations that are rated higher.</w:t>
      </w:r>
    </w:p>
    <w:p>
      <w:pPr>
        <w:spacing w:after="0" w:line="12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 An obligation rated ‘D’ is in default or in breach of an imputed promise. For non-hybrid capital instruments, the ‘D’ rating category is used when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on an obligation are not made on the date due, unless Standard &amp; Poor’s believes that such payments will be made within five business days in the absence of a stated grace period or within the earlier of the stated grace period or 30 calendar days. The ‘D’ rating also will be used upon the filing of a bankruptcy petition or the taking of similar action and where default on an obligation is a virtual certainty, for example due to automatic stay provisions. An obligation’s rating is lowered to ‘D’ if it is subject to a distressed exchange offer.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 xml:space="preserve">Plus (+) or Minus (-) </w:t>
      </w:r>
      <w:r>
        <w:rPr>
          <w:rFonts w:ascii="Arial" w:cs="Arial" w:eastAsia="Arial" w:hAnsi="Arial"/>
          <w:sz w:val="18"/>
          <w:szCs w:val="18"/>
          <w:color w:val="auto"/>
        </w:rPr>
        <w:t>- The ratings from ‘AA’ to ‘CCC’ may be modified by the addition of a plus (+) or minus (-) sign to show relative standing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major rating categories.</w:t>
      </w:r>
    </w:p>
    <w:p>
      <w:pPr>
        <w:spacing w:after="0" w:line="12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NR </w:t>
      </w:r>
      <w:r>
        <w:rPr>
          <w:rFonts w:ascii="Arial" w:cs="Arial" w:eastAsia="Arial" w:hAnsi="Arial"/>
          <w:sz w:val="18"/>
          <w:szCs w:val="18"/>
          <w:color w:val="auto"/>
        </w:rPr>
        <w:t>- This indicates that no rating has been requested, or that there is insufficient information on which to base a rating, or that Standard &amp; Poor’s does not rate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obligation as a matter of policy.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Moody’s Long-Term Corporate Obligation Ratings: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descriptions of Moody’s long-term corporate obligation ratings have been published by Moody’s Investors Service, Inc. and Moody’s Analytics,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Aaa </w:t>
      </w:r>
      <w:r>
        <w:rPr>
          <w:rFonts w:ascii="Arial" w:cs="Arial" w:eastAsia="Arial" w:hAnsi="Arial"/>
          <w:sz w:val="18"/>
          <w:szCs w:val="18"/>
          <w:color w:val="auto"/>
        </w:rPr>
        <w:t>- Obligations rated Aaa are judged to be of the highest quality, with minimal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Aa </w:t>
      </w:r>
      <w:r>
        <w:rPr>
          <w:rFonts w:ascii="Arial" w:cs="Arial" w:eastAsia="Arial" w:hAnsi="Arial"/>
          <w:sz w:val="18"/>
          <w:szCs w:val="18"/>
          <w:color w:val="auto"/>
        </w:rPr>
        <w:t>- Obligations rated Aa are judged to be of high quality and are subject to very low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Obligations rated A are considered upper-medium grade and are subject to low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Baa </w:t>
      </w:r>
      <w:r>
        <w:rPr>
          <w:rFonts w:ascii="Arial" w:cs="Arial" w:eastAsia="Arial" w:hAnsi="Arial"/>
          <w:sz w:val="15"/>
          <w:szCs w:val="15"/>
          <w:color w:val="auto"/>
        </w:rPr>
        <w:t>- Obligations rated Baa are subject to moderate credit risk. They are considered medium grade and as such may possess certain speculative characteristics.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 </w:t>
      </w:r>
      <w:r>
        <w:rPr>
          <w:rFonts w:ascii="Arial" w:cs="Arial" w:eastAsia="Arial" w:hAnsi="Arial"/>
          <w:sz w:val="18"/>
          <w:szCs w:val="18"/>
          <w:color w:val="auto"/>
        </w:rPr>
        <w:t>- Obligations rated Ba are judged to have speculative elements and are subject to substantial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Obligations rated B are considered speculative and are subject to high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Caa </w:t>
      </w:r>
      <w:r>
        <w:rPr>
          <w:rFonts w:ascii="Arial" w:cs="Arial" w:eastAsia="Arial" w:hAnsi="Arial"/>
          <w:sz w:val="18"/>
          <w:szCs w:val="18"/>
          <w:color w:val="auto"/>
        </w:rPr>
        <w:t>- Obligations rated Caa are judged to be of poor standing and are subject to very high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 </w:t>
      </w:r>
      <w:r>
        <w:rPr>
          <w:rFonts w:ascii="Arial" w:cs="Arial" w:eastAsia="Arial" w:hAnsi="Arial"/>
          <w:sz w:val="16"/>
          <w:szCs w:val="16"/>
          <w:color w:val="auto"/>
        </w:rPr>
        <w:t>- Obligations rated Ca are highly speculative and are likely in, or very near, default, with some prospect of recovery of principal and interest.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 Obligations rated C are the lowest rated class of bonds and are typically in default, with little prospect for recovery of principal or interest.</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Moody’s appends numerical modifiers 1, 2, and 3 to each generic rating classification from Aa through Caa. The modifier 1 indicates that the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ranks in the higher end of its generic rating category; the modifier 2 indicates a mid-range ranking; and the modifier 3 indicates a ranking in the lower end of that generic rating category.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Fitch Ratings Corporate Bond Ratings: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descriptions of Fitch Ratings’ long-term corporate finance obligations ratings have been published by Fitch Ratings, Inc. and Fitch Ratings Ltd:</w:t>
      </w:r>
    </w:p>
    <w:p>
      <w:pPr>
        <w:spacing w:after="0" w:line="194" w:lineRule="exact"/>
        <w:rPr>
          <w:sz w:val="20"/>
          <w:szCs w:val="20"/>
          <w:color w:val="auto"/>
        </w:rPr>
      </w:pPr>
    </w:p>
    <w:p>
      <w:pPr>
        <w:ind w:right="320" w:firstLine="8"/>
        <w:spacing w:after="0" w:line="268" w:lineRule="auto"/>
        <w:tabs>
          <w:tab w:leader="none" w:pos="424"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 Highest credit quality. ‘AAA’ ratings denote the lowest expectation of credit risk. They are assigned only in cases of exceptionally strong capacity for payment of financial commitments. This capacity is highly unlikely to be adversely affected by foreseeable events.</w:t>
      </w:r>
    </w:p>
    <w:p>
      <w:pPr>
        <w:spacing w:after="0" w:line="132" w:lineRule="exact"/>
        <w:rPr>
          <w:sz w:val="20"/>
          <w:szCs w:val="20"/>
          <w:color w:val="auto"/>
        </w:rPr>
      </w:pPr>
    </w:p>
    <w:p>
      <w:pPr>
        <w:ind w:firstLine="8"/>
        <w:spacing w:after="0" w:line="268" w:lineRule="auto"/>
        <w:tabs>
          <w:tab w:leader="none" w:pos="297"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 Very high credit quality. ‘AA’ ratings denote expectations of very low credit risk. They indicate very strong capacity for payment of financial commitments. This capacity is not significantly vulnerable to foreseeable events.</w:t>
      </w:r>
    </w:p>
    <w:p>
      <w:pPr>
        <w:spacing w:after="0" w:line="12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High credit quality. ‘A’ ratings denote expectations of low credit risk. The capacity for payment of financial commitments is considered strong. This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may, nevertheless, be more vulnerable to adverse business or economic conditions than is the case for higher ratings.</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60"/>
          </w:cols>
          <w:pgMar w:left="240" w:top="460" w:right="2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8"/>
        <w:spacing w:after="0" w:line="332" w:lineRule="auto"/>
        <w:tabs>
          <w:tab w:leader="none" w:pos="395" w:val="left"/>
        </w:tabs>
        <w:numPr>
          <w:ilvl w:val="0"/>
          <w:numId w:val="185"/>
        </w:numPr>
        <w:rPr>
          <w:rFonts w:ascii="Arial" w:cs="Arial" w:eastAsia="Arial" w:hAnsi="Arial"/>
          <w:sz w:val="16"/>
          <w:szCs w:val="16"/>
          <w:b w:val="1"/>
          <w:bCs w:val="1"/>
          <w:color w:val="auto"/>
        </w:rPr>
      </w:pPr>
      <w:r>
        <w:rPr>
          <w:rFonts w:ascii="Arial" w:cs="Arial" w:eastAsia="Arial" w:hAnsi="Arial"/>
          <w:sz w:val="16"/>
          <w:szCs w:val="16"/>
          <w:color w:val="auto"/>
        </w:rPr>
        <w:t>- Good credit quality. ‘BBB’ ratings indicate that expectations of credit risk are currently low. The capacity for payment of financial commitments is considered adequate but adverse business or economic conditions are more likely to impair this capacity.</w:t>
      </w:r>
    </w:p>
    <w:p>
      <w:pPr>
        <w:spacing w:after="0" w:line="85" w:lineRule="exact"/>
        <w:rPr>
          <w:sz w:val="20"/>
          <w:szCs w:val="20"/>
          <w:color w:val="auto"/>
        </w:rPr>
      </w:pPr>
    </w:p>
    <w:p>
      <w:pPr>
        <w:ind w:right="280" w:firstLine="8"/>
        <w:spacing w:after="0" w:line="268" w:lineRule="auto"/>
        <w:tabs>
          <w:tab w:leader="none" w:pos="278"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 Speculative. ‘BB’ ratings indicate an elevated vulnerability to credit risk, particularly in the event of adverse changes in business or economic conditions over time; however, business or financial alternatives may be available to allow financial commitments to be met.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Highly speculative. ‘B’ ratings indicate that material credit risk is present.</w:t>
      </w:r>
    </w:p>
    <w:p>
      <w:pPr>
        <w:spacing w:after="0" w:line="177" w:lineRule="exact"/>
        <w:rPr>
          <w:sz w:val="20"/>
          <w:szCs w:val="20"/>
          <w:color w:val="auto"/>
        </w:rPr>
      </w:pPr>
    </w:p>
    <w:p>
      <w:pPr>
        <w:ind w:left="440" w:hanging="432"/>
        <w:spacing w:after="0"/>
        <w:tabs>
          <w:tab w:leader="none" w:pos="440"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 Substantial credit risk. ‘CCC’ ratings indicate that substantial credit risk is present.</w:t>
      </w:r>
    </w:p>
    <w:p>
      <w:pPr>
        <w:spacing w:after="0" w:line="171" w:lineRule="exact"/>
        <w:rPr>
          <w:sz w:val="20"/>
          <w:szCs w:val="20"/>
          <w:color w:val="auto"/>
        </w:rPr>
      </w:pPr>
    </w:p>
    <w:p>
      <w:pPr>
        <w:ind w:left="300" w:hanging="292"/>
        <w:spacing w:after="0"/>
        <w:tabs>
          <w:tab w:leader="none" w:pos="300"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t>- Very high levels of credit risk. ‘CC’ ratings indicate very high levels of credit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 Exceptionally high levels of credit risk. ‘C’ indicates exceptionally high levels of credit risk.</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Defaulted obligations typically are not assigned ‘RD’ or ‘D’ ratings, but are instead rated in the ‘B’ to ‘C’ rating categories, depending upon their recovery prospects and other relevant characteristics. This approach better aligns obligations that have comparable overall expected loss but varying vulnerability to default and loss.</w:t>
      </w:r>
    </w:p>
    <w:p>
      <w:pPr>
        <w:spacing w:after="0" w:line="13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Plus (+) or Minus (-) </w:t>
      </w:r>
      <w:r>
        <w:rPr>
          <w:rFonts w:ascii="Arial" w:cs="Arial" w:eastAsia="Arial" w:hAnsi="Arial"/>
          <w:sz w:val="18"/>
          <w:szCs w:val="18"/>
          <w:color w:val="auto"/>
        </w:rPr>
        <w:t>- The modifiers “+” or “-” may be appended to a rating to denote relative status within major rating categories. Such suffixes are not added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‘AAA’ obligation rating category, or to corporate finance obligation ratings in the categories below ‘CCC’.</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760"/>
        <w:spacing w:after="0"/>
        <w:rPr>
          <w:sz w:val="20"/>
          <w:szCs w:val="20"/>
          <w:color w:val="auto"/>
        </w:rPr>
      </w:pPr>
      <w:r>
        <w:rPr>
          <w:rFonts w:ascii="Arial" w:cs="Arial" w:eastAsia="Arial" w:hAnsi="Arial"/>
          <w:sz w:val="24"/>
          <w:szCs w:val="24"/>
          <w:b w:val="1"/>
          <w:bCs w:val="1"/>
          <w:color w:val="auto"/>
        </w:rPr>
        <w:t>Shares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313690</wp:posOffset>
            </wp:positionV>
            <wp:extent cx="151765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2800" w:type="dxa"/>
            <w:vAlign w:val="bottom"/>
          </w:tcPr>
          <w:p>
            <w:pPr>
              <w:jc w:val="center"/>
              <w:ind w:right="965"/>
              <w:spacing w:after="0"/>
              <w:rPr>
                <w:sz w:val="20"/>
                <w:szCs w:val="20"/>
                <w:color w:val="auto"/>
              </w:rPr>
            </w:pPr>
            <w:r>
              <w:rPr>
                <w:rFonts w:ascii="Arial" w:cs="Arial" w:eastAsia="Arial" w:hAnsi="Arial"/>
                <w:sz w:val="32"/>
                <w:szCs w:val="32"/>
                <w:b w:val="1"/>
                <w:bCs w:val="1"/>
                <w:color w:val="auto"/>
                <w:w w:val="93"/>
              </w:rPr>
              <w:t>J.P. Morgan</w:t>
            </w:r>
          </w:p>
        </w:tc>
        <w:tc>
          <w:tcPr>
            <w:tcW w:w="4880" w:type="dxa"/>
            <w:vAlign w:val="bottom"/>
          </w:tcPr>
          <w:p>
            <w:pPr>
              <w:jc w:val="center"/>
              <w:ind w:left="854"/>
              <w:spacing w:after="0"/>
              <w:rPr>
                <w:sz w:val="20"/>
                <w:szCs w:val="20"/>
                <w:color w:val="auto"/>
              </w:rPr>
            </w:pPr>
            <w:r>
              <w:rPr>
                <w:rFonts w:ascii="Arial" w:cs="Arial" w:eastAsia="Arial" w:hAnsi="Arial"/>
                <w:sz w:val="32"/>
                <w:szCs w:val="32"/>
                <w:b w:val="1"/>
                <w:bCs w:val="1"/>
                <w:color w:val="auto"/>
                <w:w w:val="96"/>
              </w:rPr>
              <w:t>BofA Merrill Lynch</w:t>
            </w:r>
          </w:p>
        </w:tc>
        <w:tc>
          <w:tcPr>
            <w:tcW w:w="3740" w:type="dxa"/>
            <w:vAlign w:val="bottom"/>
          </w:tcPr>
          <w:p>
            <w:pPr>
              <w:ind w:left="580"/>
              <w:spacing w:after="0"/>
              <w:rPr>
                <w:sz w:val="20"/>
                <w:szCs w:val="20"/>
                <w:color w:val="auto"/>
              </w:rPr>
            </w:pPr>
            <w:r>
              <w:rPr>
                <w:rFonts w:ascii="Arial" w:cs="Arial" w:eastAsia="Arial" w:hAnsi="Arial"/>
                <w:sz w:val="32"/>
                <w:szCs w:val="32"/>
                <w:b w:val="1"/>
                <w:bCs w:val="1"/>
                <w:color w:val="auto"/>
                <w:w w:val="91"/>
              </w:rPr>
              <w:t>Goldman, Sachs &amp; Co.</w:t>
            </w:r>
          </w:p>
        </w:tc>
      </w:tr>
      <w:tr>
        <w:trPr>
          <w:trHeight w:val="454"/>
        </w:trPr>
        <w:tc>
          <w:tcPr>
            <w:tcW w:w="2800" w:type="dxa"/>
            <w:vAlign w:val="bottom"/>
          </w:tcPr>
          <w:p>
            <w:pPr>
              <w:jc w:val="center"/>
              <w:ind w:right="885"/>
              <w:spacing w:after="0"/>
              <w:rPr>
                <w:sz w:val="20"/>
                <w:szCs w:val="20"/>
                <w:color w:val="auto"/>
              </w:rPr>
            </w:pPr>
            <w:r>
              <w:rPr>
                <w:rFonts w:ascii="Arial" w:cs="Arial" w:eastAsia="Arial" w:hAnsi="Arial"/>
                <w:sz w:val="22"/>
                <w:szCs w:val="22"/>
                <w:b w:val="1"/>
                <w:bCs w:val="1"/>
                <w:color w:val="auto"/>
                <w:w w:val="92"/>
              </w:rPr>
              <w:t>Citigroup</w:t>
            </w:r>
          </w:p>
        </w:tc>
        <w:tc>
          <w:tcPr>
            <w:tcW w:w="4880" w:type="dxa"/>
            <w:vAlign w:val="bottom"/>
          </w:tcPr>
          <w:p>
            <w:pPr>
              <w:ind w:left="1100"/>
              <w:spacing w:after="0"/>
              <w:rPr>
                <w:sz w:val="20"/>
                <w:szCs w:val="20"/>
                <w:color w:val="auto"/>
              </w:rPr>
            </w:pPr>
            <w:r>
              <w:rPr>
                <w:rFonts w:ascii="Arial" w:cs="Arial" w:eastAsia="Arial" w:hAnsi="Arial"/>
                <w:sz w:val="22"/>
                <w:szCs w:val="22"/>
                <w:b w:val="1"/>
                <w:bCs w:val="1"/>
                <w:color w:val="auto"/>
              </w:rPr>
              <w:t>Wells Fargo Securities</w:t>
            </w:r>
          </w:p>
        </w:tc>
        <w:tc>
          <w:tcPr>
            <w:tcW w:w="3740" w:type="dxa"/>
            <w:vAlign w:val="bottom"/>
          </w:tcPr>
          <w:p>
            <w:pPr>
              <w:ind w:left="2400"/>
              <w:spacing w:after="0"/>
              <w:rPr>
                <w:sz w:val="20"/>
                <w:szCs w:val="20"/>
                <w:color w:val="auto"/>
              </w:rPr>
            </w:pPr>
            <w:r>
              <w:rPr>
                <w:rFonts w:ascii="Arial" w:cs="Arial" w:eastAsia="Arial" w:hAnsi="Arial"/>
                <w:sz w:val="22"/>
                <w:szCs w:val="22"/>
                <w:b w:val="1"/>
                <w:bCs w:val="1"/>
                <w:color w:val="auto"/>
              </w:rPr>
              <w:t>Barclays</w:t>
            </w:r>
          </w:p>
        </w:tc>
      </w:tr>
      <w:tr>
        <w:trPr>
          <w:trHeight w:val="567"/>
        </w:trPr>
        <w:tc>
          <w:tcPr>
            <w:tcW w:w="2800" w:type="dxa"/>
            <w:vAlign w:val="bottom"/>
          </w:tcPr>
          <w:p>
            <w:pPr>
              <w:spacing w:after="0"/>
              <w:rPr>
                <w:sz w:val="24"/>
                <w:szCs w:val="24"/>
                <w:color w:val="auto"/>
              </w:rPr>
            </w:pPr>
          </w:p>
        </w:tc>
        <w:tc>
          <w:tcPr>
            <w:tcW w:w="4880" w:type="dxa"/>
            <w:vAlign w:val="bottom"/>
          </w:tcPr>
          <w:p>
            <w:pPr>
              <w:jc w:val="center"/>
              <w:ind w:left="814"/>
              <w:spacing w:after="0"/>
              <w:rPr>
                <w:sz w:val="20"/>
                <w:szCs w:val="20"/>
                <w:color w:val="auto"/>
              </w:rPr>
            </w:pPr>
            <w:r>
              <w:rPr>
                <w:rFonts w:ascii="Arial" w:cs="Arial" w:eastAsia="Arial" w:hAnsi="Arial"/>
                <w:sz w:val="22"/>
                <w:szCs w:val="22"/>
                <w:b w:val="1"/>
                <w:bCs w:val="1"/>
                <w:i w:val="1"/>
                <w:iCs w:val="1"/>
                <w:color w:val="auto"/>
                <w:w w:val="87"/>
              </w:rPr>
              <w:t>Co-Managers</w:t>
            </w:r>
          </w:p>
        </w:tc>
        <w:tc>
          <w:tcPr>
            <w:tcW w:w="3740" w:type="dxa"/>
            <w:vAlign w:val="bottom"/>
          </w:tcPr>
          <w:p>
            <w:pPr>
              <w:spacing w:after="0"/>
              <w:rPr>
                <w:sz w:val="24"/>
                <w:szCs w:val="24"/>
                <w:color w:val="auto"/>
              </w:rPr>
            </w:pPr>
          </w:p>
        </w:tc>
      </w:tr>
      <w:tr>
        <w:trPr>
          <w:trHeight w:val="2056"/>
        </w:trPr>
        <w:tc>
          <w:tcPr>
            <w:tcW w:w="28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68"/>
        </w:trPr>
        <w:tc>
          <w:tcPr>
            <w:tcW w:w="2800" w:type="dxa"/>
            <w:vAlign w:val="bottom"/>
            <w:tcBorders>
              <w:bottom w:val="single" w:sz="8" w:color="auto"/>
            </w:tcBorders>
          </w:tcPr>
          <w:p>
            <w:pPr>
              <w:spacing w:after="0"/>
              <w:rPr>
                <w:sz w:val="5"/>
                <w:szCs w:val="5"/>
                <w:color w:val="auto"/>
              </w:rPr>
            </w:pPr>
          </w:p>
        </w:tc>
        <w:tc>
          <w:tcPr>
            <w:tcW w:w="488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40" w:type="dxa"/>
            <w:vAlign w:val="bottom"/>
            <w:gridSpan w:val="11"/>
          </w:tcPr>
          <w:p>
            <w:pPr>
              <w:jc w:val="center"/>
              <w:ind w:right="2660"/>
              <w:spacing w:after="0"/>
              <w:rPr>
                <w:sz w:val="20"/>
                <w:szCs w:val="20"/>
                <w:color w:val="auto"/>
              </w:rPr>
            </w:pPr>
            <w:r>
              <w:rPr>
                <w:rFonts w:ascii="Arial" w:cs="Arial" w:eastAsia="Arial" w:hAnsi="Arial"/>
                <w:sz w:val="18"/>
                <w:szCs w:val="18"/>
                <w:b w:val="1"/>
                <w:bCs w:val="1"/>
                <w:color w:val="auto"/>
                <w:w w:val="98"/>
              </w:rPr>
              <w:t>TPG SPECIALTY LENDING, INC.</w:t>
            </w:r>
          </w:p>
        </w:tc>
        <w:tc>
          <w:tcPr>
            <w:tcW w:w="1360" w:type="dxa"/>
            <w:vAlign w:val="bottom"/>
          </w:tcPr>
          <w:p>
            <w:pPr>
              <w:spacing w:after="0"/>
              <w:rPr>
                <w:sz w:val="19"/>
                <w:szCs w:val="19"/>
                <w:color w:val="auto"/>
              </w:rPr>
            </w:pPr>
          </w:p>
        </w:tc>
      </w:tr>
      <w:tr>
        <w:trPr>
          <w:trHeight w:val="297"/>
        </w:trPr>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700" w:type="dxa"/>
            <w:vAlign w:val="bottom"/>
            <w:gridSpan w:val="9"/>
          </w:tcPr>
          <w:p>
            <w:pPr>
              <w:jc w:val="center"/>
              <w:ind w:right="3800"/>
              <w:spacing w:after="0"/>
              <w:rPr>
                <w:sz w:val="20"/>
                <w:szCs w:val="20"/>
                <w:color w:val="auto"/>
              </w:rPr>
            </w:pPr>
            <w:r>
              <w:rPr>
                <w:rFonts w:ascii="Arial" w:cs="Arial" w:eastAsia="Arial" w:hAnsi="Arial"/>
                <w:sz w:val="18"/>
                <w:szCs w:val="18"/>
                <w:b w:val="1"/>
                <w:bCs w:val="1"/>
                <w:color w:val="auto"/>
                <w:w w:val="92"/>
              </w:rPr>
              <w:t>PART C</w:t>
            </w:r>
          </w:p>
        </w:tc>
        <w:tc>
          <w:tcPr>
            <w:tcW w:w="1360" w:type="dxa"/>
            <w:vAlign w:val="bottom"/>
          </w:tcPr>
          <w:p>
            <w:pPr>
              <w:spacing w:after="0"/>
              <w:rPr>
                <w:sz w:val="24"/>
                <w:szCs w:val="24"/>
                <w:color w:val="auto"/>
              </w:rPr>
            </w:pPr>
          </w:p>
        </w:tc>
      </w:tr>
      <w:tr>
        <w:trPr>
          <w:trHeight w:val="297"/>
        </w:trPr>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20" w:type="dxa"/>
            <w:vAlign w:val="bottom"/>
            <w:gridSpan w:val="10"/>
          </w:tcPr>
          <w:p>
            <w:pPr>
              <w:jc w:val="center"/>
              <w:ind w:right="3080"/>
              <w:spacing w:after="0"/>
              <w:rPr>
                <w:sz w:val="20"/>
                <w:szCs w:val="20"/>
                <w:color w:val="auto"/>
              </w:rPr>
            </w:pPr>
            <w:r>
              <w:rPr>
                <w:rFonts w:ascii="Arial" w:cs="Arial" w:eastAsia="Arial" w:hAnsi="Arial"/>
                <w:sz w:val="18"/>
                <w:szCs w:val="18"/>
                <w:b w:val="1"/>
                <w:bCs w:val="1"/>
                <w:color w:val="auto"/>
                <w:w w:val="93"/>
              </w:rPr>
              <w:t>Other Information</w:t>
            </w:r>
          </w:p>
        </w:tc>
        <w:tc>
          <w:tcPr>
            <w:tcW w:w="1360" w:type="dxa"/>
            <w:vAlign w:val="bottom"/>
          </w:tcPr>
          <w:p>
            <w:pPr>
              <w:spacing w:after="0"/>
              <w:rPr>
                <w:sz w:val="24"/>
                <w:szCs w:val="24"/>
                <w:color w:val="auto"/>
              </w:rPr>
            </w:pPr>
          </w:p>
        </w:tc>
      </w:tr>
      <w:tr>
        <w:trPr>
          <w:trHeight w:val="419"/>
        </w:trPr>
        <w:tc>
          <w:tcPr>
            <w:tcW w:w="760" w:type="dxa"/>
            <w:vAlign w:val="bottom"/>
          </w:tcPr>
          <w:p>
            <w:pPr>
              <w:spacing w:after="0"/>
              <w:rPr>
                <w:sz w:val="20"/>
                <w:szCs w:val="20"/>
                <w:color w:val="auto"/>
              </w:rPr>
            </w:pPr>
            <w:r>
              <w:rPr>
                <w:rFonts w:ascii="Arial" w:cs="Arial" w:eastAsia="Arial" w:hAnsi="Arial"/>
                <w:sz w:val="18"/>
                <w:szCs w:val="18"/>
                <w:b w:val="1"/>
                <w:bCs w:val="1"/>
                <w:color w:val="auto"/>
              </w:rPr>
              <w:t>Item 25.</w:t>
            </w:r>
          </w:p>
        </w:tc>
        <w:tc>
          <w:tcPr>
            <w:tcW w:w="9200" w:type="dxa"/>
            <w:vAlign w:val="bottom"/>
            <w:gridSpan w:val="13"/>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1360" w:type="dxa"/>
            <w:vAlign w:val="bottom"/>
          </w:tcPr>
          <w:p>
            <w:pPr>
              <w:spacing w:after="0"/>
              <w:rPr>
                <w:sz w:val="24"/>
                <w:szCs w:val="24"/>
                <w:color w:val="auto"/>
              </w:rPr>
            </w:pPr>
          </w:p>
        </w:tc>
      </w:tr>
      <w:tr>
        <w:trPr>
          <w:trHeight w:val="297"/>
        </w:trPr>
        <w:tc>
          <w:tcPr>
            <w:tcW w:w="760" w:type="dxa"/>
            <w:vAlign w:val="bottom"/>
          </w:tcPr>
          <w:p>
            <w:pPr>
              <w:spacing w:after="0"/>
              <w:rPr>
                <w:sz w:val="20"/>
                <w:szCs w:val="20"/>
                <w:color w:val="auto"/>
              </w:rPr>
            </w:pPr>
            <w:r>
              <w:rPr>
                <w:rFonts w:ascii="Arial" w:cs="Arial" w:eastAsia="Arial" w:hAnsi="Arial"/>
                <w:sz w:val="18"/>
                <w:szCs w:val="18"/>
                <w:b w:val="1"/>
                <w:bCs w:val="1"/>
                <w:color w:val="auto"/>
              </w:rPr>
              <w:t>(1)</w:t>
            </w:r>
          </w:p>
        </w:tc>
        <w:tc>
          <w:tcPr>
            <w:tcW w:w="9200" w:type="dxa"/>
            <w:vAlign w:val="bottom"/>
            <w:gridSpan w:val="13"/>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1360" w:type="dxa"/>
            <w:vAlign w:val="bottom"/>
          </w:tcPr>
          <w:p>
            <w:pPr>
              <w:spacing w:after="0"/>
              <w:rPr>
                <w:sz w:val="24"/>
                <w:szCs w:val="24"/>
                <w:color w:val="auto"/>
              </w:rPr>
            </w:pPr>
          </w:p>
        </w:tc>
      </w:tr>
      <w:tr>
        <w:trPr>
          <w:trHeight w:val="378"/>
        </w:trPr>
        <w:tc>
          <w:tcPr>
            <w:tcW w:w="9960" w:type="dxa"/>
            <w:vAlign w:val="bottom"/>
            <w:gridSpan w:val="14"/>
          </w:tcPr>
          <w:p>
            <w:pPr>
              <w:ind w:left="460"/>
              <w:spacing w:after="0"/>
              <w:rPr>
                <w:sz w:val="20"/>
                <w:szCs w:val="20"/>
                <w:color w:val="auto"/>
              </w:rPr>
            </w:pPr>
            <w:r>
              <w:rPr>
                <w:rFonts w:ascii="Arial" w:cs="Arial" w:eastAsia="Arial" w:hAnsi="Arial"/>
                <w:sz w:val="18"/>
                <w:szCs w:val="18"/>
                <w:color w:val="auto"/>
              </w:rPr>
              <w:t>The following financial statements of TPG Specialty Lending, Inc. are provided in Part A of this Registration Statement:</w:t>
            </w:r>
          </w:p>
        </w:tc>
        <w:tc>
          <w:tcPr>
            <w:tcW w:w="1360" w:type="dxa"/>
            <w:vAlign w:val="bottom"/>
          </w:tcPr>
          <w:p>
            <w:pPr>
              <w:spacing w:after="0"/>
              <w:rPr>
                <w:sz w:val="24"/>
                <w:szCs w:val="24"/>
                <w:color w:val="auto"/>
              </w:rPr>
            </w:pPr>
          </w:p>
        </w:tc>
      </w:tr>
      <w:tr>
        <w:trPr>
          <w:trHeight w:val="291"/>
        </w:trPr>
        <w:tc>
          <w:tcPr>
            <w:tcW w:w="9960" w:type="dxa"/>
            <w:vAlign w:val="bottom"/>
            <w:gridSpan w:val="14"/>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360" w:type="dxa"/>
            <w:vAlign w:val="bottom"/>
          </w:tcPr>
          <w:p>
            <w:pPr>
              <w:spacing w:after="0"/>
              <w:rPr>
                <w:sz w:val="24"/>
                <w:szCs w:val="24"/>
                <w:color w:val="auto"/>
              </w:rPr>
            </w:pPr>
          </w:p>
        </w:tc>
      </w:tr>
      <w:tr>
        <w:trPr>
          <w:trHeight w:val="184"/>
        </w:trPr>
        <w:tc>
          <w:tcPr>
            <w:tcW w:w="9960" w:type="dxa"/>
            <w:vAlign w:val="bottom"/>
            <w:gridSpan w:val="14"/>
          </w:tcPr>
          <w:p>
            <w:pPr>
              <w:spacing w:after="0" w:line="184" w:lineRule="exact"/>
              <w:rPr>
                <w:rFonts w:ascii="Arial" w:cs="Arial" w:eastAsia="Arial" w:hAnsi="Arial"/>
                <w:sz w:val="18"/>
                <w:szCs w:val="18"/>
                <w:color w:val="0000EE"/>
              </w:rPr>
            </w:pPr>
            <w:hyperlink w:anchor="page164">
              <w:r>
                <w:rPr>
                  <w:rFonts w:ascii="Arial" w:cs="Arial" w:eastAsia="Arial" w:hAnsi="Arial"/>
                  <w:sz w:val="18"/>
                  <w:szCs w:val="18"/>
                  <w:color w:val="0000EE"/>
                </w:rPr>
                <w:t>Report of Independent Registered Public Accounting Firm</w:t>
              </w:r>
            </w:hyperlink>
          </w:p>
        </w:tc>
        <w:tc>
          <w:tcPr>
            <w:tcW w:w="136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454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165">
              <w:r>
                <w:rPr>
                  <w:rFonts w:ascii="Arial" w:cs="Arial" w:eastAsia="Arial" w:hAnsi="Arial"/>
                  <w:sz w:val="18"/>
                  <w:szCs w:val="18"/>
                  <w:color w:val="0000EE"/>
                  <w:w w:val="86"/>
                </w:rPr>
                <w:t>Consolidated Balance Sheets as of December 31, 2012 and 2011</w:t>
              </w:r>
            </w:hyperlink>
          </w:p>
        </w:tc>
        <w:tc>
          <w:tcPr>
            <w:tcW w:w="5420" w:type="dxa"/>
            <w:vAlign w:val="bottom"/>
            <w:gridSpan w:val="10"/>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9960" w:type="dxa"/>
            <w:vAlign w:val="bottom"/>
            <w:gridSpan w:val="14"/>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Consolidated Statements of Operations for the years ended December 31, 2012 and 2011</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62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Consolidated Schedules of Investments as of December 31, 2012 and 2011</w:t>
              </w:r>
            </w:hyperlink>
          </w:p>
        </w:tc>
        <w:tc>
          <w:tcPr>
            <w:tcW w:w="3720" w:type="dxa"/>
            <w:vAlign w:val="bottom"/>
            <w:gridSpan w:val="7"/>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9960" w:type="dxa"/>
            <w:vAlign w:val="bottom"/>
            <w:gridSpan w:val="14"/>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Consolidated Statements of Changes in Net Assets for the years ended December 31, 2012 and 2011</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196"/>
        </w:trPr>
        <w:tc>
          <w:tcPr>
            <w:tcW w:w="7060" w:type="dxa"/>
            <w:vAlign w:val="bottom"/>
            <w:tcBorders>
              <w:top w:val="single" w:sz="8" w:color="0000EE"/>
            </w:tcBorders>
            <w:gridSpan w:val="11"/>
          </w:tcPr>
          <w:p>
            <w:pPr>
              <w:spacing w:after="0" w:line="196" w:lineRule="exact"/>
              <w:rPr>
                <w:rFonts w:ascii="Arial" w:cs="Arial" w:eastAsia="Arial" w:hAnsi="Arial"/>
                <w:sz w:val="18"/>
                <w:szCs w:val="18"/>
                <w:color w:val="0000EE"/>
                <w:w w:val="97"/>
              </w:rPr>
            </w:pPr>
            <w:hyperlink w:anchor="page173">
              <w:r>
                <w:rPr>
                  <w:rFonts w:ascii="Arial" w:cs="Arial" w:eastAsia="Arial" w:hAnsi="Arial"/>
                  <w:sz w:val="18"/>
                  <w:szCs w:val="18"/>
                  <w:color w:val="0000EE"/>
                  <w:w w:val="97"/>
                </w:rPr>
                <w:t>Consolidated Statements of Cash Flows for the years ended December 31, 2012 and 2011</w:t>
              </w:r>
            </w:hyperlink>
          </w:p>
        </w:tc>
        <w:tc>
          <w:tcPr>
            <w:tcW w:w="2900" w:type="dxa"/>
            <w:vAlign w:val="bottom"/>
            <w:gridSpan w:val="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r>
      <w:tr>
        <w:trPr>
          <w:trHeight w:val="196"/>
        </w:trPr>
        <w:tc>
          <w:tcPr>
            <w:tcW w:w="63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Notes to Consolidated Financial Statements</w:t>
              </w:r>
            </w:hyperlink>
          </w:p>
        </w:tc>
        <w:tc>
          <w:tcPr>
            <w:tcW w:w="3660" w:type="dxa"/>
            <w:vAlign w:val="bottom"/>
            <w:gridSpan w:val="6"/>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36"/>
        </w:trPr>
        <w:tc>
          <w:tcPr>
            <w:tcW w:w="9960" w:type="dxa"/>
            <w:vAlign w:val="bottom"/>
            <w:gridSpan w:val="14"/>
          </w:tcPr>
          <w:p>
            <w:pPr>
              <w:spacing w:after="0"/>
              <w:rPr>
                <w:sz w:val="20"/>
                <w:szCs w:val="20"/>
                <w:color w:val="auto"/>
              </w:rPr>
            </w:pPr>
            <w:r>
              <w:rPr>
                <w:rFonts w:ascii="Arial" w:cs="Arial" w:eastAsia="Arial" w:hAnsi="Arial"/>
                <w:sz w:val="18"/>
                <w:szCs w:val="18"/>
                <w:b w:val="1"/>
                <w:bCs w:val="1"/>
                <w:color w:val="auto"/>
              </w:rPr>
              <w:t>Unaudited Consolidated Financial Statements</w:t>
            </w:r>
          </w:p>
        </w:tc>
        <w:tc>
          <w:tcPr>
            <w:tcW w:w="1360" w:type="dxa"/>
            <w:vAlign w:val="bottom"/>
          </w:tcPr>
          <w:p>
            <w:pPr>
              <w:spacing w:after="0"/>
              <w:rPr>
                <w:sz w:val="24"/>
                <w:szCs w:val="24"/>
                <w:color w:val="auto"/>
              </w:rPr>
            </w:pPr>
          </w:p>
        </w:tc>
      </w:tr>
      <w:tr>
        <w:trPr>
          <w:trHeight w:val="184"/>
        </w:trPr>
        <w:tc>
          <w:tcPr>
            <w:tcW w:w="9960" w:type="dxa"/>
            <w:vAlign w:val="bottom"/>
            <w:gridSpan w:val="14"/>
          </w:tcPr>
          <w:p>
            <w:pPr>
              <w:spacing w:after="0" w:line="184" w:lineRule="exact"/>
              <w:rPr>
                <w:rFonts w:ascii="Arial" w:cs="Arial" w:eastAsia="Arial" w:hAnsi="Arial"/>
                <w:sz w:val="18"/>
                <w:szCs w:val="18"/>
                <w:color w:val="0000EE"/>
              </w:rPr>
            </w:pPr>
            <w:hyperlink w:anchor="page193">
              <w:r>
                <w:rPr>
                  <w:rFonts w:ascii="Arial" w:cs="Arial" w:eastAsia="Arial" w:hAnsi="Arial"/>
                  <w:sz w:val="18"/>
                  <w:szCs w:val="18"/>
                  <w:color w:val="0000EE"/>
                </w:rPr>
                <w:t>Consolidated Balance Sheets as of September 30, 2013 and December 31, 2012</w:t>
              </w:r>
            </w:hyperlink>
          </w:p>
        </w:tc>
        <w:tc>
          <w:tcPr>
            <w:tcW w:w="1360" w:type="dxa"/>
            <w:vAlign w:val="bottom"/>
          </w:tcPr>
          <w:p>
            <w:pPr>
              <w:jc w:val="right"/>
              <w:spacing w:after="0" w:line="184" w:lineRule="exact"/>
              <w:rPr>
                <w:sz w:val="20"/>
                <w:szCs w:val="20"/>
                <w:color w:val="auto"/>
              </w:rPr>
            </w:pPr>
            <w:r>
              <w:rPr>
                <w:rFonts w:ascii="Arial" w:cs="Arial" w:eastAsia="Arial" w:hAnsi="Arial"/>
                <w:sz w:val="18"/>
                <w:szCs w:val="18"/>
                <w:color w:val="auto"/>
              </w:rPr>
              <w:t>F-31</w:t>
            </w:r>
          </w:p>
        </w:tc>
      </w:tr>
      <w:tr>
        <w:trPr>
          <w:trHeight w:val="20"/>
        </w:trPr>
        <w:tc>
          <w:tcPr>
            <w:tcW w:w="5600" w:type="dxa"/>
            <w:vAlign w:val="bottom"/>
            <w:gridSpan w:val="6"/>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52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194">
              <w:r>
                <w:rPr>
                  <w:rFonts w:ascii="Arial" w:cs="Arial" w:eastAsia="Arial" w:hAnsi="Arial"/>
                  <w:sz w:val="18"/>
                  <w:szCs w:val="18"/>
                  <w:color w:val="0000EE"/>
                  <w:w w:val="87"/>
                </w:rPr>
                <w:t>Consolidated Statements of Operations for the three and nine months ended September 30, 2013 and 2012</w:t>
              </w:r>
            </w:hyperlink>
          </w:p>
        </w:tc>
        <w:tc>
          <w:tcPr>
            <w:tcW w:w="244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F-32</w:t>
            </w:r>
          </w:p>
        </w:tc>
      </w:tr>
      <w:tr>
        <w:trPr>
          <w:trHeight w:val="196"/>
        </w:trPr>
        <w:tc>
          <w:tcPr>
            <w:tcW w:w="9960" w:type="dxa"/>
            <w:vAlign w:val="bottom"/>
            <w:gridSpan w:val="14"/>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Consolidated Schedules of Investments as of September 30, 2013 and December 31, 2012</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F-33</w:t>
            </w:r>
          </w:p>
        </w:tc>
      </w:tr>
      <w:tr>
        <w:trPr>
          <w:trHeight w:val="20"/>
        </w:trPr>
        <w:tc>
          <w:tcPr>
            <w:tcW w:w="6320" w:type="dxa"/>
            <w:vAlign w:val="bottom"/>
            <w:gridSpan w:val="9"/>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64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201">
              <w:r>
                <w:rPr>
                  <w:rFonts w:ascii="Arial" w:cs="Arial" w:eastAsia="Arial" w:hAnsi="Arial"/>
                  <w:sz w:val="18"/>
                  <w:szCs w:val="18"/>
                  <w:color w:val="0000EE"/>
                  <w:w w:val="87"/>
                </w:rPr>
                <w:t>Consolidated Statements of Changes in Net Assets for the nine months ended September 30, 2013 and 2012</w:t>
              </w:r>
            </w:hyperlink>
          </w:p>
        </w:tc>
        <w:tc>
          <w:tcPr>
            <w:tcW w:w="23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F-39</w:t>
            </w:r>
          </w:p>
        </w:tc>
      </w:tr>
      <w:tr>
        <w:trPr>
          <w:trHeight w:val="196"/>
        </w:trPr>
        <w:tc>
          <w:tcPr>
            <w:tcW w:w="9960" w:type="dxa"/>
            <w:vAlign w:val="bottom"/>
            <w:gridSpan w:val="14"/>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Consolidated Statements of Cash Flows for the nine months ended September 30, 2013 and 2012</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F-40</w:t>
            </w:r>
          </w:p>
        </w:tc>
      </w:tr>
      <w:tr>
        <w:trPr>
          <w:trHeight w:val="196"/>
        </w:trPr>
        <w:tc>
          <w:tcPr>
            <w:tcW w:w="68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Notes to Consolidated Financial Statements</w:t>
              </w:r>
            </w:hyperlink>
          </w:p>
        </w:tc>
        <w:tc>
          <w:tcPr>
            <w:tcW w:w="3140" w:type="dxa"/>
            <w:vAlign w:val="bottom"/>
            <w:gridSpan w:val="4"/>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F-41</w:t>
            </w:r>
          </w:p>
        </w:tc>
      </w:tr>
      <w:tr>
        <w:trPr>
          <w:trHeight w:val="20"/>
        </w:trPr>
        <w:tc>
          <w:tcPr>
            <w:tcW w:w="7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96" w:lineRule="exact"/>
        <w:rPr>
          <w:sz w:val="20"/>
          <w:szCs w:val="20"/>
          <w:color w:val="auto"/>
        </w:rPr>
      </w:pPr>
    </w:p>
    <w:p>
      <w:pPr>
        <w:ind w:left="920" w:hanging="912"/>
        <w:spacing w:after="0"/>
        <w:tabs>
          <w:tab w:leader="none" w:pos="92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4" w:lineRule="exact"/>
        <w:rPr>
          <w:sz w:val="20"/>
          <w:szCs w:val="20"/>
          <w:color w:val="auto"/>
        </w:rPr>
      </w:pPr>
    </w:p>
    <w:p>
      <w:pPr>
        <w:ind w:left="1300" w:right="800" w:hanging="1292"/>
        <w:spacing w:after="0" w:line="268" w:lineRule="auto"/>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Amended and Restated Certificate of Incorporation (incorporated by reference to Exhibit 3.1 to Amendment No. 1 to the Company’s Registration Statement on Form 10 filed on March 14, 2011)</w:t>
      </w:r>
    </w:p>
    <w:p>
      <w:pPr>
        <w:spacing w:after="0" w:line="77" w:lineRule="exact"/>
        <w:rPr>
          <w:rFonts w:ascii="Arial" w:cs="Arial" w:eastAsia="Arial" w:hAnsi="Arial"/>
          <w:sz w:val="18"/>
          <w:szCs w:val="18"/>
          <w:color w:val="auto"/>
        </w:rPr>
      </w:pPr>
    </w:p>
    <w:p>
      <w:pPr>
        <w:ind w:left="1300" w:hanging="1292"/>
        <w:spacing w:after="0" w:line="268" w:lineRule="auto"/>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Bylaws (incorporated by reference to Exhibit 3.2 to Amendment No. 1 to the Company’s Registration Statement on Form 10 filed on March 14, 2011)</w:t>
      </w:r>
    </w:p>
    <w:p>
      <w:pPr>
        <w:spacing w:after="0" w:line="77" w:lineRule="exact"/>
        <w:rPr>
          <w:rFonts w:ascii="Arial" w:cs="Arial" w:eastAsia="Arial" w:hAnsi="Arial"/>
          <w:sz w:val="18"/>
          <w:szCs w:val="18"/>
          <w:color w:val="auto"/>
        </w:rPr>
      </w:pPr>
    </w:p>
    <w:p>
      <w:pPr>
        <w:ind w:left="1300" w:hanging="1292"/>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(d)(1)</w:t>
            </w:r>
          </w:p>
        </w:tc>
        <w:tc>
          <w:tcPr>
            <w:tcW w:w="10360" w:type="dxa"/>
            <w:vAlign w:val="bottom"/>
          </w:tcPr>
          <w:p>
            <w:pPr>
              <w:ind w:left="440"/>
              <w:spacing w:after="0"/>
              <w:rPr>
                <w:sz w:val="20"/>
                <w:szCs w:val="20"/>
                <w:color w:val="auto"/>
              </w:rPr>
            </w:pPr>
            <w:r>
              <w:rPr>
                <w:rFonts w:ascii="Arial" w:cs="Arial" w:eastAsia="Arial" w:hAnsi="Arial"/>
                <w:sz w:val="18"/>
                <w:szCs w:val="18"/>
                <w:color w:val="auto"/>
                <w:w w:val="94"/>
              </w:rPr>
              <w:t>Form of Subscription Agreement in connection with the Private Offerings (incorporated by reference to Exhibit 4.1 to the Company’s</w:t>
            </w:r>
          </w:p>
        </w:tc>
      </w:tr>
      <w:tr>
        <w:trPr>
          <w:trHeight w:val="222"/>
        </w:trPr>
        <w:tc>
          <w:tcPr>
            <w:tcW w:w="860" w:type="dxa"/>
            <w:vAlign w:val="bottom"/>
          </w:tcPr>
          <w:p>
            <w:pPr>
              <w:spacing w:after="0"/>
              <w:rPr>
                <w:sz w:val="19"/>
                <w:szCs w:val="19"/>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rPr>
              <w:t>Registration Statement on Form 10 filed on January 14, 2011).</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(d)(2)</w:t>
            </w:r>
          </w:p>
        </w:tc>
        <w:tc>
          <w:tcPr>
            <w:tcW w:w="10360" w:type="dxa"/>
            <w:vAlign w:val="bottom"/>
          </w:tcPr>
          <w:p>
            <w:pPr>
              <w:ind w:left="440"/>
              <w:spacing w:after="0"/>
              <w:rPr>
                <w:sz w:val="20"/>
                <w:szCs w:val="20"/>
                <w:color w:val="auto"/>
              </w:rPr>
            </w:pPr>
            <w:r>
              <w:rPr>
                <w:rFonts w:ascii="Arial" w:cs="Arial" w:eastAsia="Arial" w:hAnsi="Arial"/>
                <w:sz w:val="18"/>
                <w:szCs w:val="18"/>
                <w:color w:val="auto"/>
                <w:w w:val="90"/>
              </w:rPr>
              <w:t>Form of Common Stock Certificate (incorporated by reference to Exhibit 4.2 to the Company’s Annual Report on Form 10-K filed on March</w:t>
            </w:r>
          </w:p>
        </w:tc>
      </w:tr>
      <w:tr>
        <w:trPr>
          <w:trHeight w:val="222"/>
        </w:trPr>
        <w:tc>
          <w:tcPr>
            <w:tcW w:w="860" w:type="dxa"/>
            <w:vAlign w:val="bottom"/>
          </w:tcPr>
          <w:p>
            <w:pPr>
              <w:spacing w:after="0"/>
              <w:rPr>
                <w:sz w:val="19"/>
                <w:szCs w:val="19"/>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rPr>
              <w:t>22, 2012)</w:t>
            </w:r>
          </w:p>
        </w:tc>
      </w:tr>
    </w:tbl>
    <w:p>
      <w:pPr>
        <w:spacing w:after="0" w:line="102" w:lineRule="exact"/>
        <w:rPr>
          <w:sz w:val="20"/>
          <w:szCs w:val="20"/>
          <w:color w:val="auto"/>
        </w:rPr>
      </w:pPr>
    </w:p>
    <w:p>
      <w:pPr>
        <w:ind w:left="1300" w:right="260" w:hanging="1292"/>
        <w:spacing w:after="0" w:line="268" w:lineRule="auto"/>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10.7 to the Company’s Annual Report on Form 10-K filed on March 22, 2012)</w:t>
      </w:r>
    </w:p>
    <w:p>
      <w:pPr>
        <w:spacing w:after="0" w:line="77" w:lineRule="exact"/>
        <w:rPr>
          <w:rFonts w:ascii="Arial" w:cs="Arial" w:eastAsia="Arial" w:hAnsi="Arial"/>
          <w:sz w:val="18"/>
          <w:szCs w:val="18"/>
          <w:color w:val="auto"/>
        </w:rPr>
      </w:pPr>
    </w:p>
    <w:p>
      <w:pPr>
        <w:ind w:left="1300" w:hanging="1292"/>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300" w:right="180" w:hanging="1292"/>
        <w:spacing w:after="0" w:line="332" w:lineRule="auto"/>
        <w:tabs>
          <w:tab w:leader="none" w:pos="130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1" w:lineRule="exact"/>
        <w:rPr>
          <w:rFonts w:ascii="Arial" w:cs="Arial" w:eastAsia="Arial" w:hAnsi="Arial"/>
          <w:sz w:val="16"/>
          <w:szCs w:val="16"/>
          <w:color w:val="auto"/>
        </w:rPr>
      </w:pPr>
    </w:p>
    <w:p>
      <w:pPr>
        <w:ind w:left="1300" w:hanging="1292"/>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Form of Underwriting Agreement (1)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1260" w:hanging="1252"/>
        <w:spacing w:after="0"/>
        <w:tabs>
          <w:tab w:leader="none" w:pos="12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(j)(1)</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Custody Agreement dated June 26, 2011 (incorporated by reference to Exhibit 10.8 to the Company’s Annual Report on Form 10-K filed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March 22,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(j)(2)</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Custodian Agreement dated November 29, 2012 between TPG Specialty Lending, Inc. and State Street Bank and Trust Company (incorporated</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 to Exhibit 10.1 to the Company’s Current Report on Form 8-K filed on December 4,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Form of Indemnification Agreement between the Company and certain officers and directors (incorporated by reference to Exhibit 10.3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Amendment No. 1 to the Company’s Registration Statement on Form 10 filed on March 14,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(k)(2)</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Administration Agreement, dated as of March 15, 2011, between the Company and the Adviser (incorporated by reference to Exhibit 10.1 to the</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March 15,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(k)(3)</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Revolving Credit Agreement, dated September 28, 2011, among TPG Specialty Lending Inc., as Borrower, Deutsche Bank Trust Company</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Americas, as Administrative Agent, and Lenders Party Thereto (incorporated by reference to Exhibit 10.1 to the Company’s Quarterly Report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on Form 10-Q for the quarter ended September 30, 2011, filed on November 14,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(k)(4)</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First Amendment to Revolving Credit Agreement, dated September 28, 2011, among TPG Specialty Lending, Inc., as Borrower, Deutsche Bank</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Trust Company Americas, as Administrative Agent, and Lenders Party Thereto (incorporated by reference to Exhibit 10.2 to the Company’s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September 30, 2011, filed on November 14,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(k)(5)</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Amended and Restated Revolving Credit Agreement, dated December 22, 2011, among TPG Specialty Lending, Inc., as Borrower, Deutsche</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Bank Trust Company Americas, as Administrative Agent, and Lenders Party (incorporated by reference to Exhibit 10.6 to the Company’s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Annual Report on Form 10-K filed on March 22,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(k)(6)</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Revolving Credit and Security Agreement, dated May 8, 2012, among TPG SL SPV, LLC, as Borrower, the Lenders from Time to Time Parties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8"/>
              </w:rPr>
              <w:t>Hereto, Natixis, New York Branch, as Facility Agent and The Bank of New York Mellon Trust Company, N.A., as Collateral Agent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 to the Company’s Quarterly Report on Form 10-Q filed on August 13,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(k)(7)</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Master Sale and Contribution Agreement by and between TPG Specialty Lending, Inc., as the Originator and TPG SL SPV, LLC, as the Buyer,</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dated as of May 8, 2012 (incorporated by reference to Exhibit 10.2 to the Company’s Quarterly Report on Form 10-Q filed on August 13,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(k)(8)</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Senior Secured Revolving Credit Agreement, dated as of August 23, 2012, among TPG Specialty Lending, Inc., as Borrower, the Lenders Party</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Hereto and SunTrust Bank, as Administrative Agent, JPMorgan Chase Bank, N.A., as Syndication Agent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 to the Company’s Quarterly Report on Form 10-Q filed on November 14,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(k)(9)</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First Amendment to Amended and Restated Revolving Credit Agreement, dated October 31, 2012, among TPG Specialty Lending, Inc.,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Borrower, Deutsche Bank Trust Company Americas, as Administrative Agent, and Lenders Named Herein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10.2 to the Company’s Quarterly Report on Form 10-Q filed on November 14,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(k)(10)</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Instrument of Removal, Appointment and Acceptance, dated November 29, 2012, among State Street Bank and Trust Company and TPG SL</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SPV, LLC, TPG Specialty Lending, Inc. and the Bank of New York Mellon Trust Company, N.A. (incorporated by reference to Exhibit 10.1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the Company’s Current Report on Form 8-K filed on January 2, 2013)</w:t>
            </w:r>
          </w:p>
        </w:tc>
      </w:tr>
      <w:tr>
        <w:trPr>
          <w:trHeight w:val="365"/>
        </w:trPr>
        <w:tc>
          <w:tcPr>
            <w:tcW w:w="880" w:type="dxa"/>
            <w:vAlign w:val="bottom"/>
          </w:tcPr>
          <w:p>
            <w:pPr>
              <w:spacing w:after="0"/>
              <w:rPr>
                <w:sz w:val="24"/>
                <w:szCs w:val="24"/>
                <w:color w:val="auto"/>
              </w:rPr>
            </w:pPr>
          </w:p>
        </w:tc>
        <w:tc>
          <w:tcPr>
            <w:tcW w:w="10520" w:type="dxa"/>
            <w:vAlign w:val="bottom"/>
          </w:tcPr>
          <w:p>
            <w:pPr>
              <w:ind w:left="4700"/>
              <w:spacing w:after="0"/>
              <w:rPr>
                <w:sz w:val="20"/>
                <w:szCs w:val="20"/>
                <w:color w:val="auto"/>
              </w:rPr>
            </w:pPr>
            <w:r>
              <w:rPr>
                <w:rFonts w:ascii="Arial" w:cs="Arial" w:eastAsia="Arial" w:hAnsi="Arial"/>
                <w:sz w:val="18"/>
                <w:szCs w:val="18"/>
                <w:color w:val="auto"/>
              </w:rPr>
              <w:t>C-2</w:t>
            </w:r>
          </w:p>
        </w:tc>
      </w:tr>
    </w:tbl>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(k)(11)</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Second Amendment to Amended and Restated Revolving Credit Agreement, dated May 7, 2013, among TPG Specialty Lending, Inc.,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Borrower, Deutsche Bank Trust Company Americas, as Administrative Agent, and Lenders Named Herein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 to the Company’s Quarterly Report on Form 10-Q filed on May 10,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(k)(12)</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Amended and Restated Senior Secured Revolving Credit Agreement, dated as of July 2, 2013, among TPG Specialty Lending, Inc., the lenders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party thereto, SunTrust Bank as administrative agent and JPMorgan Chase Bank N.A. as syndication agent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 to the Company’s Current Report on Form 8-K filed on July 9,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(k)(13)</w:t>
            </w: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Amendment No. 1 dated July 17, 2013 to Revolving Credit and Security Agreement, dated May 8, 2012, among TPG SL SPV, LLC,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Borrower, the Lenders from Time to Time Parties Hereto, Natixis, New York Branch, as Facility Agent and The Bank of New York Mellon</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Trust Company, N.A., as Collateral Agent (incorporated by reference to Exhibit 10.1 to the Company’s Quarterly Report on Form 10-Q filed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August 9,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(k)(14)</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Third Amendment to Amended and Restated Revolving Credit Agreement, dated November 5, 2013, among TPG Specialty Lending, Inc.,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Borrower, Deutsche Bank Trust Company Americas, as Administrative Agent, and Lenders Named Herein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 to the Company’s Current Report on Form 8-K filed on November 7, 2013)</w:t>
            </w:r>
          </w:p>
        </w:tc>
      </w:tr>
    </w:tbl>
    <w:p>
      <w:pPr>
        <w:spacing w:after="0" w:line="102" w:lineRule="exact"/>
        <w:rPr>
          <w:sz w:val="20"/>
          <w:szCs w:val="20"/>
          <w:color w:val="auto"/>
        </w:rPr>
      </w:pPr>
    </w:p>
    <w:p>
      <w:pPr>
        <w:ind w:left="1260" w:hanging="1252"/>
        <w:spacing w:after="0"/>
        <w:tabs>
          <w:tab w:leader="none" w:pos="12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Form of Opinion and Consent of Cleary Gottlieb Steen &amp; Hamilton LLP (1)</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(n)(1)</w:t>
            </w:r>
          </w:p>
        </w:tc>
        <w:tc>
          <w:tcPr>
            <w:tcW w:w="4240" w:type="dxa"/>
            <w:vAlign w:val="bottom"/>
          </w:tcPr>
          <w:p>
            <w:pPr>
              <w:ind w:left="420"/>
              <w:spacing w:after="0"/>
              <w:rPr>
                <w:sz w:val="20"/>
                <w:szCs w:val="20"/>
                <w:color w:val="auto"/>
              </w:rPr>
            </w:pPr>
            <w:r>
              <w:rPr>
                <w:rFonts w:ascii="Arial" w:cs="Arial" w:eastAsia="Arial" w:hAnsi="Arial"/>
                <w:sz w:val="18"/>
                <w:szCs w:val="18"/>
                <w:color w:val="auto"/>
                <w:w w:val="90"/>
              </w:rPr>
              <w:t>Consent of Cleary Gottlieb Steen &amp; Hamilton LLP (1)</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(n)(2)</w:t>
            </w:r>
          </w:p>
        </w:tc>
        <w:tc>
          <w:tcPr>
            <w:tcW w:w="4240" w:type="dxa"/>
            <w:vAlign w:val="bottom"/>
          </w:tcPr>
          <w:p>
            <w:pPr>
              <w:ind w:left="420"/>
              <w:spacing w:after="0"/>
              <w:rPr>
                <w:sz w:val="20"/>
                <w:szCs w:val="20"/>
                <w:color w:val="auto"/>
              </w:rPr>
            </w:pPr>
            <w:r>
              <w:rPr>
                <w:rFonts w:ascii="Arial" w:cs="Arial" w:eastAsia="Arial" w:hAnsi="Arial"/>
                <w:sz w:val="18"/>
                <w:szCs w:val="18"/>
                <w:color w:val="auto"/>
              </w:rPr>
              <w:t>Consent of KPMG LLP</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(n)(3)</w:t>
            </w:r>
          </w:p>
        </w:tc>
        <w:tc>
          <w:tcPr>
            <w:tcW w:w="4240" w:type="dxa"/>
            <w:vAlign w:val="bottom"/>
          </w:tcPr>
          <w:p>
            <w:pPr>
              <w:ind w:left="420"/>
              <w:spacing w:after="0"/>
              <w:rPr>
                <w:sz w:val="20"/>
                <w:szCs w:val="20"/>
                <w:color w:val="auto"/>
              </w:rPr>
            </w:pPr>
            <w:r>
              <w:rPr>
                <w:rFonts w:ascii="Arial" w:cs="Arial" w:eastAsia="Arial" w:hAnsi="Arial"/>
                <w:sz w:val="18"/>
                <w:szCs w:val="18"/>
                <w:color w:val="auto"/>
              </w:rPr>
              <w:t>Report of KPMG LLP</w:t>
            </w:r>
          </w:p>
        </w:tc>
      </w:tr>
    </w:tbl>
    <w:p>
      <w:pPr>
        <w:spacing w:after="0" w:line="102" w:lineRule="exact"/>
        <w:rPr>
          <w:sz w:val="20"/>
          <w:szCs w:val="20"/>
          <w:color w:val="auto"/>
        </w:rPr>
      </w:pPr>
    </w:p>
    <w:p>
      <w:pPr>
        <w:ind w:left="1260" w:hanging="1252"/>
        <w:spacing w:after="0"/>
        <w:tabs>
          <w:tab w:leader="none" w:pos="12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Code of Ethics of TPG Specialty Lending, Inc. and TSL Advisers, LLC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“Underwriting” in this Registration Statement is incorporated herein by reference.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ectPr>
          <w:pgSz w:w="11900" w:h="16838" w:orient="portrait"/>
          <w:cols w:equalWidth="0" w:num="1">
            <w:col w:w="11400"/>
          </w:cols>
          <w:pgMar w:left="240" w:top="459" w:right="259" w:bottom="1440" w:gutter="0" w:footer="0" w:header="0"/>
        </w:sectPr>
      </w:pPr>
    </w:p>
    <w:p>
      <w:pPr>
        <w:spacing w:after="0" w:line="218" w:lineRule="exact"/>
        <w:rPr>
          <w:sz w:val="20"/>
          <w:szCs w:val="20"/>
          <w:color w:val="auto"/>
        </w:rPr>
      </w:pPr>
    </w:p>
    <w:p>
      <w:pPr>
        <w:ind w:right="1100"/>
        <w:spacing w:after="0" w:line="254" w:lineRule="auto"/>
        <w:rPr>
          <w:sz w:val="20"/>
          <w:szCs w:val="20"/>
          <w:color w:val="auto"/>
        </w:rPr>
      </w:pPr>
      <w:r>
        <w:rPr>
          <w:rFonts w:ascii="Arial" w:cs="Arial" w:eastAsia="Arial" w:hAnsi="Arial"/>
          <w:sz w:val="18"/>
          <w:szCs w:val="18"/>
          <w:color w:val="auto"/>
        </w:rPr>
        <w:t>Securities and Exchange Commission registration fee FINRA filing fee</w:t>
      </w:r>
    </w:p>
    <w:p>
      <w:pPr>
        <w:spacing w:after="0"/>
        <w:rPr>
          <w:sz w:val="20"/>
          <w:szCs w:val="20"/>
          <w:color w:val="auto"/>
        </w:rPr>
      </w:pPr>
      <w:r>
        <w:rPr>
          <w:rFonts w:ascii="Arial" w:cs="Arial" w:eastAsia="Arial" w:hAnsi="Arial"/>
          <w:sz w:val="18"/>
          <w:szCs w:val="18"/>
          <w:color w:val="auto"/>
        </w:rPr>
        <w:t>New York Stock Exchange listing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Printing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Miscellaneous</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$ 6,440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-125730</wp:posOffset>
            </wp:positionV>
            <wp:extent cx="7246620" cy="1371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ind w:right="420"/>
        <w:spacing w:after="0"/>
        <w:rPr>
          <w:sz w:val="20"/>
          <w:szCs w:val="20"/>
          <w:color w:val="auto"/>
        </w:rPr>
      </w:pPr>
      <w:r>
        <w:rPr>
          <w:rFonts w:ascii="Arial" w:cs="Arial" w:eastAsia="Arial" w:hAnsi="Arial"/>
          <w:sz w:val="18"/>
          <w:szCs w:val="18"/>
          <w:color w:val="auto"/>
        </w:rPr>
        <w:t>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6985</wp:posOffset>
            </wp:positionV>
            <wp:extent cx="724662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jc w:val="right"/>
        <w:ind w:right="300"/>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jc w:val="right"/>
        <w:ind w:right="300"/>
        <w:spacing w:after="0"/>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49530</wp:posOffset>
            </wp:positionV>
            <wp:extent cx="7246620"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0" w:lineRule="exact"/>
        <w:rPr>
          <w:sz w:val="20"/>
          <w:szCs w:val="20"/>
          <w:color w:val="auto"/>
        </w:rPr>
      </w:pPr>
    </w:p>
    <w:p>
      <w:pPr>
        <w:jc w:val="right"/>
        <w:ind w:right="300"/>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jc w:val="right"/>
        <w:ind w:right="300"/>
        <w:spacing w:after="0"/>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49530</wp:posOffset>
            </wp:positionV>
            <wp:extent cx="7246620"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0" w:lineRule="exact"/>
        <w:rPr>
          <w:sz w:val="20"/>
          <w:szCs w:val="20"/>
          <w:color w:val="auto"/>
        </w:rPr>
      </w:pPr>
    </w:p>
    <w:p>
      <w:pPr>
        <w:jc w:val="right"/>
        <w:ind w:right="300"/>
        <w:spacing w:after="0"/>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49530</wp:posOffset>
            </wp:positionV>
            <wp:extent cx="3689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8"/>
          <w:szCs w:val="18"/>
          <w:u w:val="single" w:color="auto"/>
          <w:color w:val="auto"/>
        </w:rPr>
        <w:t>$14,440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27940</wp:posOffset>
            </wp:positionV>
            <wp:extent cx="3689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C-3</w:t>
      </w:r>
    </w:p>
    <w:p>
      <w:pPr>
        <w:sectPr>
          <w:pgSz w:w="11900" w:h="16838" w:orient="portrait"/>
          <w:cols w:equalWidth="0" w:num="2">
            <w:col w:w="4860" w:space="720"/>
            <w:col w:w="5820"/>
          </w:cols>
          <w:pgMar w:left="240" w:top="459" w:right="259" w:bottom="1440" w:gutter="0" w:footer="0" w:header="0"/>
          <w:type w:val="continuous"/>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set forth above shall be borne by the Registrant.</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8900" w:type="dxa"/>
            <w:vAlign w:val="bottom"/>
            <w:gridSpan w:val="2"/>
          </w:tcPr>
          <w:p>
            <w:pPr>
              <w:ind w:left="80"/>
              <w:spacing w:after="0"/>
              <w:rPr>
                <w:sz w:val="20"/>
                <w:szCs w:val="20"/>
                <w:color w:val="auto"/>
              </w:rPr>
            </w:pPr>
            <w:r>
              <w:rPr>
                <w:rFonts w:ascii="Arial" w:cs="Arial" w:eastAsia="Arial" w:hAnsi="Arial"/>
                <w:sz w:val="18"/>
                <w:szCs w:val="18"/>
                <w:b w:val="1"/>
                <w:bCs w:val="1"/>
                <w:color w:val="auto"/>
              </w:rPr>
              <w:t>Number of Holders of Securities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9740" w:type="dxa"/>
            <w:vAlign w:val="bottom"/>
            <w:gridSpan w:val="3"/>
          </w:tcPr>
          <w:p>
            <w:pPr>
              <w:ind w:left="460"/>
              <w:spacing w:after="0"/>
              <w:rPr>
                <w:sz w:val="20"/>
                <w:szCs w:val="20"/>
                <w:color w:val="auto"/>
              </w:rPr>
            </w:pPr>
            <w:r>
              <w:rPr>
                <w:rFonts w:ascii="Arial" w:cs="Arial" w:eastAsia="Arial" w:hAnsi="Arial"/>
                <w:sz w:val="18"/>
                <w:szCs w:val="18"/>
                <w:color w:val="auto"/>
                <w:w w:val="96"/>
              </w:rPr>
              <w:t>The following table sets forth the approximate number of record holders of our common stock as of September 30, 2013.</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840" w:type="dxa"/>
            <w:vAlign w:val="bottom"/>
          </w:tcPr>
          <w:p>
            <w:pPr>
              <w:spacing w:after="0"/>
              <w:rPr>
                <w:sz w:val="20"/>
                <w:szCs w:val="20"/>
                <w:color w:val="auto"/>
              </w:rPr>
            </w:pPr>
            <w:r>
              <w:rPr>
                <w:rFonts w:ascii="Arial" w:cs="Arial" w:eastAsia="Arial" w:hAnsi="Arial"/>
                <w:sz w:val="14"/>
                <w:szCs w:val="14"/>
                <w:b w:val="1"/>
                <w:bCs w:val="1"/>
                <w:color w:val="auto"/>
                <w:w w:val="94"/>
              </w:rPr>
              <w:t>Title of Class</w:t>
            </w:r>
          </w:p>
        </w:tc>
        <w:tc>
          <w:tcPr>
            <w:tcW w:w="6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Number of Record Holders</w:t>
            </w:r>
          </w:p>
        </w:tc>
      </w:tr>
      <w:tr>
        <w:trPr>
          <w:trHeight w:val="210"/>
        </w:trPr>
        <w:tc>
          <w:tcPr>
            <w:tcW w:w="7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Common Stock, $0.01 par value</w:t>
            </w:r>
          </w:p>
        </w:tc>
        <w:tc>
          <w:tcPr>
            <w:tcW w:w="19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6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Section 145 of the Delaware General Corporation Law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Delaware General Corporation Law. A form of the indemnification agreement has been filed as an exhibit to the Registration Statement of which this prospectus is a part.</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Advisor.</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on March 28, 2013 (SEC File No. 801-72185), and is incorporated herein by reference.</w:t>
      </w:r>
    </w:p>
    <w:p>
      <w:pPr>
        <w:spacing w:after="0" w:line="2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accounts, books and other documents required to be maintained by Section 31(a) of the 1940 Act, and the rules thereunder are maintained at the offices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05"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jc w:val="both"/>
        <w:ind w:left="460" w:right="160" w:hanging="452"/>
        <w:spacing w:after="0" w:line="259" w:lineRule="auto"/>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40"/>
          </w:cols>
          <w:pgMar w:left="240" w:top="459" w:right="3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N-2 to be signed on its behalf by the undersigned, thereunto duly authorized, in the City of San Francisco, and the State of California on the 18th day of February, 2014.</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Fishman</w:t>
      </w:r>
    </w:p>
    <w:p>
      <w:pPr>
        <w:spacing w:after="0" w:line="17"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-130175</wp:posOffset>
            </wp:positionV>
            <wp:extent cx="27184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Co-Chief Executive Officer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Each officer and director of TPG Specialty Lending, Inc. whose signature appears below constitutes and appoints Joshua Easterly, Michael Fishman, Alan Kirshenbaum, David Stiepleman and Jennifer Mello, and each of them to act without the other, as his or her true and lawful attorney-in-fact and agent, with full power of substitution and revocation, for him or her and in his or her name, place and stead, in any and all capacities, to execute and file any or all amendments including any post-effective amendments and supplements to this registration statement, and any additional registration statement filed pursuant to Rule 462(b),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6"/>
              </w:rPr>
              <w:t>Signature</w:t>
            </w:r>
          </w:p>
        </w:tc>
        <w:tc>
          <w:tcPr>
            <w:tcW w:w="120" w:type="dxa"/>
            <w:vAlign w:val="bottom"/>
          </w:tcPr>
          <w:p>
            <w:pPr>
              <w:spacing w:after="0"/>
              <w:rPr>
                <w:sz w:val="15"/>
                <w:szCs w:val="15"/>
                <w:color w:val="auto"/>
              </w:rPr>
            </w:pPr>
          </w:p>
        </w:tc>
        <w:tc>
          <w:tcPr>
            <w:tcW w:w="48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10"/>
        </w:trPr>
        <w:tc>
          <w:tcPr>
            <w:tcW w:w="2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jc w:val="center"/>
              <w:ind w:right="334"/>
              <w:spacing w:after="0"/>
              <w:rPr>
                <w:sz w:val="20"/>
                <w:szCs w:val="20"/>
                <w:color w:val="auto"/>
              </w:rPr>
            </w:pPr>
            <w:r>
              <w:rPr>
                <w:rFonts w:ascii="Arial" w:cs="Arial" w:eastAsia="Arial" w:hAnsi="Arial"/>
                <w:sz w:val="18"/>
                <w:szCs w:val="18"/>
                <w:color w:val="auto"/>
                <w:w w:val="89"/>
              </w:rPr>
              <w:t>/s/ Michael Fishman</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Co-Chief Executive Officer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February 18, 2014</w:t>
            </w:r>
          </w:p>
        </w:tc>
      </w:tr>
      <w:tr>
        <w:trPr>
          <w:trHeight w:val="223"/>
        </w:trPr>
        <w:tc>
          <w:tcPr>
            <w:tcW w:w="220" w:type="dxa"/>
            <w:vAlign w:val="bottom"/>
          </w:tcPr>
          <w:p>
            <w:pPr>
              <w:spacing w:after="0"/>
              <w:rPr>
                <w:sz w:val="19"/>
                <w:szCs w:val="19"/>
                <w:color w:val="auto"/>
              </w:rPr>
            </w:pPr>
          </w:p>
        </w:tc>
        <w:tc>
          <w:tcPr>
            <w:tcW w:w="3940" w:type="dxa"/>
            <w:vAlign w:val="bottom"/>
          </w:tcPr>
          <w:p>
            <w:pPr>
              <w:jc w:val="center"/>
              <w:ind w:right="114"/>
              <w:spacing w:after="0"/>
              <w:rPr>
                <w:sz w:val="20"/>
                <w:szCs w:val="20"/>
                <w:color w:val="auto"/>
              </w:rPr>
            </w:pPr>
            <w:r>
              <w:rPr>
                <w:rFonts w:ascii="Arial" w:cs="Arial" w:eastAsia="Arial" w:hAnsi="Arial"/>
                <w:sz w:val="18"/>
                <w:szCs w:val="18"/>
                <w:color w:val="auto"/>
                <w:w w:val="89"/>
              </w:rPr>
              <w:t>Michael Fishman</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2100" w:type="dxa"/>
            <w:vAlign w:val="bottom"/>
          </w:tcPr>
          <w:p>
            <w:pPr>
              <w:spacing w:after="0"/>
              <w:rPr>
                <w:sz w:val="19"/>
                <w:szCs w:val="19"/>
                <w:color w:val="auto"/>
              </w:rPr>
            </w:pPr>
          </w:p>
        </w:tc>
      </w:tr>
      <w:tr>
        <w:trPr>
          <w:trHeight w:val="432"/>
        </w:trPr>
        <w:tc>
          <w:tcPr>
            <w:tcW w:w="2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jc w:val="center"/>
              <w:ind w:right="334"/>
              <w:spacing w:after="0"/>
              <w:rPr>
                <w:sz w:val="20"/>
                <w:szCs w:val="20"/>
                <w:color w:val="auto"/>
              </w:rPr>
            </w:pPr>
            <w:r>
              <w:rPr>
                <w:rFonts w:ascii="Arial" w:cs="Arial" w:eastAsia="Arial" w:hAnsi="Arial"/>
                <w:sz w:val="18"/>
                <w:szCs w:val="18"/>
                <w:color w:val="auto"/>
                <w:w w:val="86"/>
              </w:rPr>
              <w:t>/s/ Joshua Easterly</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Co-Chief Executive Officer,</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February 18, 2014</w:t>
            </w:r>
          </w:p>
        </w:tc>
      </w:tr>
      <w:tr>
        <w:trPr>
          <w:trHeight w:val="223"/>
        </w:trPr>
        <w:tc>
          <w:tcPr>
            <w:tcW w:w="220" w:type="dxa"/>
            <w:vAlign w:val="bottom"/>
          </w:tcPr>
          <w:p>
            <w:pPr>
              <w:spacing w:after="0"/>
              <w:rPr>
                <w:sz w:val="19"/>
                <w:szCs w:val="19"/>
                <w:color w:val="auto"/>
              </w:rPr>
            </w:pPr>
          </w:p>
        </w:tc>
        <w:tc>
          <w:tcPr>
            <w:tcW w:w="3940" w:type="dxa"/>
            <w:vAlign w:val="bottom"/>
          </w:tcPr>
          <w:p>
            <w:pPr>
              <w:jc w:val="center"/>
              <w:ind w:right="114"/>
              <w:spacing w:after="0"/>
              <w:rPr>
                <w:sz w:val="20"/>
                <w:szCs w:val="20"/>
                <w:color w:val="auto"/>
              </w:rPr>
            </w:pPr>
            <w:r>
              <w:rPr>
                <w:rFonts w:ascii="Arial" w:cs="Arial" w:eastAsia="Arial" w:hAnsi="Arial"/>
                <w:sz w:val="18"/>
                <w:szCs w:val="18"/>
                <w:color w:val="auto"/>
                <w:w w:val="85"/>
              </w:rPr>
              <w:t>Joshua Easterly</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Director and Chairman of the Board of Directors</w:t>
            </w:r>
          </w:p>
        </w:tc>
        <w:tc>
          <w:tcPr>
            <w:tcW w:w="2100" w:type="dxa"/>
            <w:vAlign w:val="bottom"/>
          </w:tcPr>
          <w:p>
            <w:pPr>
              <w:spacing w:after="0"/>
              <w:rPr>
                <w:sz w:val="19"/>
                <w:szCs w:val="19"/>
                <w:color w:val="auto"/>
              </w:rPr>
            </w:pPr>
          </w:p>
        </w:tc>
      </w:tr>
      <w:tr>
        <w:trPr>
          <w:trHeight w:val="434"/>
        </w:trPr>
        <w:tc>
          <w:tcPr>
            <w:tcW w:w="2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jc w:val="center"/>
              <w:ind w:right="354"/>
              <w:spacing w:after="0"/>
              <w:rPr>
                <w:sz w:val="20"/>
                <w:szCs w:val="20"/>
                <w:color w:val="auto"/>
              </w:rPr>
            </w:pPr>
            <w:r>
              <w:rPr>
                <w:rFonts w:ascii="Arial" w:cs="Arial" w:eastAsia="Arial" w:hAnsi="Arial"/>
                <w:sz w:val="18"/>
                <w:szCs w:val="18"/>
                <w:color w:val="auto"/>
                <w:w w:val="89"/>
              </w:rPr>
              <w:t>/s/ Alan Kirshenbaum</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February 18, 2014</w:t>
            </w:r>
          </w:p>
        </w:tc>
      </w:tr>
      <w:tr>
        <w:trPr>
          <w:trHeight w:val="221"/>
        </w:trPr>
        <w:tc>
          <w:tcPr>
            <w:tcW w:w="220" w:type="dxa"/>
            <w:vAlign w:val="bottom"/>
          </w:tcPr>
          <w:p>
            <w:pPr>
              <w:spacing w:after="0"/>
              <w:rPr>
                <w:sz w:val="19"/>
                <w:szCs w:val="19"/>
                <w:color w:val="auto"/>
              </w:rPr>
            </w:pPr>
          </w:p>
        </w:tc>
        <w:tc>
          <w:tcPr>
            <w:tcW w:w="3940" w:type="dxa"/>
            <w:vAlign w:val="bottom"/>
          </w:tcPr>
          <w:p>
            <w:pPr>
              <w:jc w:val="center"/>
              <w:ind w:right="114"/>
              <w:spacing w:after="0"/>
              <w:rPr>
                <w:sz w:val="20"/>
                <w:szCs w:val="20"/>
                <w:color w:val="auto"/>
              </w:rPr>
            </w:pPr>
            <w:r>
              <w:rPr>
                <w:rFonts w:ascii="Arial" w:cs="Arial" w:eastAsia="Arial" w:hAnsi="Arial"/>
                <w:sz w:val="18"/>
                <w:szCs w:val="18"/>
                <w:color w:val="auto"/>
                <w:w w:val="91"/>
              </w:rPr>
              <w:t>Alan Kirshenbaum</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21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940" w:type="dxa"/>
            <w:vAlign w:val="bottom"/>
            <w:tcBorders>
              <w:bottom w:val="single" w:sz="8" w:color="auto"/>
            </w:tcBorders>
          </w:tcPr>
          <w:p>
            <w:pPr>
              <w:jc w:val="center"/>
              <w:ind w:right="354"/>
              <w:spacing w:after="0"/>
              <w:rPr>
                <w:sz w:val="20"/>
                <w:szCs w:val="20"/>
                <w:color w:val="auto"/>
              </w:rPr>
            </w:pPr>
            <w:r>
              <w:rPr>
                <w:rFonts w:ascii="Arial" w:cs="Arial" w:eastAsia="Arial" w:hAnsi="Arial"/>
                <w:sz w:val="18"/>
                <w:szCs w:val="18"/>
                <w:color w:val="auto"/>
                <w:w w:val="86"/>
              </w:rPr>
              <w:t>/s/ John A. Ross</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Director and Chairman of the Audit Committee</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February 18, 2014</w:t>
            </w:r>
          </w:p>
        </w:tc>
      </w:tr>
      <w:tr>
        <w:trPr>
          <w:trHeight w:val="221"/>
        </w:trPr>
        <w:tc>
          <w:tcPr>
            <w:tcW w:w="220" w:type="dxa"/>
            <w:vAlign w:val="bottom"/>
          </w:tcPr>
          <w:p>
            <w:pPr>
              <w:spacing w:after="0"/>
              <w:rPr>
                <w:sz w:val="19"/>
                <w:szCs w:val="19"/>
                <w:color w:val="auto"/>
              </w:rPr>
            </w:pPr>
          </w:p>
        </w:tc>
        <w:tc>
          <w:tcPr>
            <w:tcW w:w="3940" w:type="dxa"/>
            <w:vAlign w:val="bottom"/>
          </w:tcPr>
          <w:p>
            <w:pPr>
              <w:jc w:val="center"/>
              <w:ind w:right="114"/>
              <w:spacing w:after="0"/>
              <w:rPr>
                <w:sz w:val="20"/>
                <w:szCs w:val="20"/>
                <w:color w:val="auto"/>
              </w:rPr>
            </w:pPr>
            <w:r>
              <w:rPr>
                <w:rFonts w:ascii="Arial" w:cs="Arial" w:eastAsia="Arial" w:hAnsi="Arial"/>
                <w:sz w:val="18"/>
                <w:szCs w:val="18"/>
                <w:color w:val="auto"/>
                <w:w w:val="87"/>
              </w:rPr>
              <w:t>John A. Ross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940" w:type="dxa"/>
            <w:vAlign w:val="bottom"/>
            <w:tcBorders>
              <w:bottom w:val="single" w:sz="8" w:color="auto"/>
            </w:tcBorders>
          </w:tcPr>
          <w:p>
            <w:pPr>
              <w:jc w:val="center"/>
              <w:ind w:right="334"/>
              <w:spacing w:after="0"/>
              <w:rPr>
                <w:sz w:val="20"/>
                <w:szCs w:val="20"/>
                <w:color w:val="auto"/>
              </w:rPr>
            </w:pPr>
            <w:r>
              <w:rPr>
                <w:rFonts w:ascii="Arial" w:cs="Arial" w:eastAsia="Arial" w:hAnsi="Arial"/>
                <w:sz w:val="18"/>
                <w:szCs w:val="18"/>
                <w:color w:val="auto"/>
                <w:w w:val="91"/>
              </w:rPr>
              <w:t>/s/ Richard A. Higginbotham</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February 18, 2014</w:t>
            </w:r>
          </w:p>
        </w:tc>
      </w:tr>
      <w:tr>
        <w:trPr>
          <w:trHeight w:val="221"/>
        </w:trPr>
        <w:tc>
          <w:tcPr>
            <w:tcW w:w="220" w:type="dxa"/>
            <w:vAlign w:val="bottom"/>
          </w:tcPr>
          <w:p>
            <w:pPr>
              <w:spacing w:after="0"/>
              <w:rPr>
                <w:sz w:val="19"/>
                <w:szCs w:val="19"/>
                <w:color w:val="auto"/>
              </w:rPr>
            </w:pPr>
          </w:p>
        </w:tc>
        <w:tc>
          <w:tcPr>
            <w:tcW w:w="3940" w:type="dxa"/>
            <w:vAlign w:val="bottom"/>
          </w:tcPr>
          <w:p>
            <w:pPr>
              <w:jc w:val="center"/>
              <w:ind w:right="114"/>
              <w:spacing w:after="0"/>
              <w:rPr>
                <w:sz w:val="20"/>
                <w:szCs w:val="20"/>
                <w:color w:val="auto"/>
              </w:rPr>
            </w:pPr>
            <w:r>
              <w:rPr>
                <w:rFonts w:ascii="Arial" w:cs="Arial" w:eastAsia="Arial" w:hAnsi="Arial"/>
                <w:sz w:val="18"/>
                <w:szCs w:val="18"/>
                <w:color w:val="auto"/>
                <w:w w:val="90"/>
              </w:rPr>
              <w:t>Richard A. Higginbotham</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940" w:type="dxa"/>
            <w:vAlign w:val="bottom"/>
            <w:tcBorders>
              <w:bottom w:val="single" w:sz="8" w:color="auto"/>
            </w:tcBorders>
          </w:tcPr>
          <w:p>
            <w:pPr>
              <w:jc w:val="center"/>
              <w:ind w:right="334"/>
              <w:spacing w:after="0"/>
              <w:rPr>
                <w:sz w:val="20"/>
                <w:szCs w:val="20"/>
                <w:color w:val="auto"/>
              </w:rPr>
            </w:pPr>
            <w:r>
              <w:rPr>
                <w:rFonts w:ascii="Arial" w:cs="Arial" w:eastAsia="Arial" w:hAnsi="Arial"/>
                <w:sz w:val="18"/>
                <w:szCs w:val="18"/>
                <w:color w:val="auto"/>
                <w:w w:val="88"/>
              </w:rPr>
              <w:t>/s/ Ronald K. Tanemura</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February 18, 2014</w:t>
            </w:r>
          </w:p>
        </w:tc>
      </w:tr>
      <w:tr>
        <w:trPr>
          <w:trHeight w:val="221"/>
        </w:trPr>
        <w:tc>
          <w:tcPr>
            <w:tcW w:w="220" w:type="dxa"/>
            <w:vAlign w:val="bottom"/>
          </w:tcPr>
          <w:p>
            <w:pPr>
              <w:spacing w:after="0"/>
              <w:rPr>
                <w:sz w:val="19"/>
                <w:szCs w:val="19"/>
                <w:color w:val="auto"/>
              </w:rPr>
            </w:pPr>
          </w:p>
        </w:tc>
        <w:tc>
          <w:tcPr>
            <w:tcW w:w="3940" w:type="dxa"/>
            <w:vAlign w:val="bottom"/>
          </w:tcPr>
          <w:p>
            <w:pPr>
              <w:jc w:val="center"/>
              <w:ind w:right="114"/>
              <w:spacing w:after="0"/>
              <w:rPr>
                <w:sz w:val="20"/>
                <w:szCs w:val="20"/>
                <w:color w:val="auto"/>
              </w:rPr>
            </w:pPr>
            <w:r>
              <w:rPr>
                <w:rFonts w:ascii="Arial" w:cs="Arial" w:eastAsia="Arial" w:hAnsi="Arial"/>
                <w:sz w:val="18"/>
                <w:szCs w:val="18"/>
                <w:color w:val="auto"/>
                <w:w w:val="87"/>
              </w:rPr>
              <w:t>Ronald K. Tanemura</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ectPr>
          <w:pgSz w:w="11900" w:h="16838" w:orient="portrait"/>
          <w:cols w:equalWidth="0" w:num="1">
            <w:col w:w="11420"/>
          </w:cols>
          <w:pgMar w:left="240" w:top="460"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6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consent to the use of our report dated March 15, 2013, except for Note 8 and 9, which are as of December 10, 2013, with respect to the consolidated balance sheets of TPG Specialty Lending, Inc. (and subsidiaries) (the “Company”) as of December 31, 2012 and 2011, including the consolidated schedules of investments, and the related consolidated statements of operations, changes in net assets, cash flows, and the financial highlights (included in Note 12) for the years then ended and our report dated December 10, 2013 on the senior securities table as of December 31, 2012 and 2011 of the Company included herein, and to the references to our firm under the headings “Senior Securities”, and “Experts” in the prospectus.</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2014</w:t>
      </w:r>
    </w:p>
    <w:p>
      <w:pPr>
        <w:sectPr>
          <w:pgSz w:w="11900" w:h="16838" w:orient="portrait"/>
          <w:cols w:equalWidth="0" w:num="1">
            <w:col w:w="11420"/>
          </w:cols>
          <w:pgMar w:left="240" w:top="125"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(n)(3)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date of March 15, 2013, except for Note 8 and Note 9, which are as of December 10, 2013, we reported on the consolidated balance sheets of TPG Specialty Lending, Inc. (and subsidiaries) (the Company), including the consolidated schedules of investments as of December 31, 2012 and 2011, and the related consolidated statements of operations, changes in net assets, cash flows, and the financial highlights (included in Note 12) for the years then ended, which are included in the prospectus. In connection with our audits of the aforementioned consolidated financial statements, we also audited the related consolidated financial statement schedule in the registration statement, under the caption “Senior Securities”. This financial statement schedule is the responsibility of the Company’s management. Our responsibility is to express an opinion on this financial statement schedule based on our audits.</w:t>
      </w:r>
    </w:p>
    <w:p>
      <w:pPr>
        <w:spacing w:after="0" w:line="12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our opinion, such financial statement schedule, when considered in relation to the basic consolidated financial statements taken as a whole, presents fairly, in all material respects, the information set forth therein.</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C75AF8"/>
    <w:multiLevelType w:val="hybridMultilevel"/>
    <w:lvl w:ilvl="0">
      <w:lvlJc w:val="left"/>
      <w:lvlText w:val="☐"/>
      <w:numFmt w:val="bullet"/>
      <w:start w:val="1"/>
    </w:lvl>
  </w:abstractNum>
  <w:abstractNum w:abstractNumId="1">
    <w:nsid w:val="6A5F7029"/>
    <w:multiLevelType w:val="hybridMultilevel"/>
    <w:lvl w:ilvl="0">
      <w:lvlJc w:val="left"/>
      <w:lvlText w:val="(%1)"/>
      <w:numFmt w:val="decimal"/>
      <w:start w:val="1"/>
    </w:lvl>
  </w:abstractNum>
  <w:abstractNum w:abstractNumId="2">
    <w:nsid w:val="7D5E18F8"/>
    <w:multiLevelType w:val="hybridMultilevel"/>
    <w:lvl w:ilvl="0">
      <w:lvlJc w:val="left"/>
      <w:lvlText w:val="•"/>
      <w:numFmt w:val="bullet"/>
      <w:start w:val="1"/>
    </w:lvl>
  </w:abstractNum>
  <w:abstractNum w:abstractNumId="3">
    <w:nsid w:val="5F3534A4"/>
    <w:multiLevelType w:val="hybridMultilevel"/>
    <w:lvl w:ilvl="0">
      <w:lvlJc w:val="left"/>
      <w:lvlText w:val="•"/>
      <w:numFmt w:val="bullet"/>
      <w:start w:val="1"/>
    </w:lvl>
  </w:abstractNum>
  <w:abstractNum w:abstractNumId="4">
    <w:nsid w:val="73A1821B"/>
    <w:multiLevelType w:val="hybridMultilevel"/>
    <w:lvl w:ilvl="0">
      <w:lvlJc w:val="left"/>
      <w:lvlText w:val="•"/>
      <w:numFmt w:val="bullet"/>
      <w:start w:val="1"/>
    </w:lvl>
    <w:lvl w:ilvl="1">
      <w:lvlJc w:val="left"/>
      <w:lvlText w:val="•"/>
      <w:numFmt w:val="bullet"/>
      <w:start w:val="1"/>
    </w:lvl>
  </w:abstractNum>
  <w:abstractNum w:abstractNumId="5">
    <w:nsid w:val="7DE67713"/>
    <w:multiLevelType w:val="hybridMultilevel"/>
    <w:lvl w:ilvl="0">
      <w:lvlJc w:val="left"/>
      <w:lvlText w:val="•"/>
      <w:numFmt w:val="bullet"/>
      <w:start w:val="1"/>
    </w:lvl>
    <w:lvl w:ilvl="1">
      <w:lvlJc w:val="left"/>
      <w:lvlText w:val="•"/>
      <w:numFmt w:val="bullet"/>
      <w:start w:val="1"/>
    </w:lvl>
  </w:abstractNum>
  <w:abstractNum w:abstractNumId="6">
    <w:nsid w:val="555C55B5"/>
    <w:multiLevelType w:val="hybridMultilevel"/>
    <w:lvl w:ilvl="0">
      <w:lvlJc w:val="left"/>
      <w:lvlText w:val="•"/>
      <w:numFmt w:val="bullet"/>
      <w:start w:val="1"/>
    </w:lvl>
  </w:abstractNum>
  <w:abstractNum w:abstractNumId="7">
    <w:nsid w:val="3FA62ACA"/>
    <w:multiLevelType w:val="hybridMultilevel"/>
    <w:lvl w:ilvl="0">
      <w:lvlJc w:val="left"/>
      <w:lvlText w:val="•"/>
      <w:numFmt w:val="bullet"/>
      <w:start w:val="1"/>
    </w:lvl>
  </w:abstractNum>
  <w:abstractNum w:abstractNumId="8">
    <w:nsid w:val="14FCE74E"/>
    <w:multiLevelType w:val="hybridMultilevel"/>
    <w:lvl w:ilvl="0">
      <w:lvlJc w:val="left"/>
      <w:lvlText w:val="•"/>
      <w:numFmt w:val="bullet"/>
      <w:start w:val="1"/>
    </w:lvl>
  </w:abstractNum>
  <w:abstractNum w:abstractNumId="9">
    <w:nsid w:val="6A3DD3E8"/>
    <w:multiLevelType w:val="hybridMultilevel"/>
    <w:lvl w:ilvl="0">
      <w:lvlJc w:val="left"/>
      <w:lvlText w:val="•"/>
      <w:numFmt w:val="bullet"/>
      <w:start w:val="1"/>
    </w:lvl>
  </w:abstractNum>
  <w:abstractNum w:abstractNumId="10">
    <w:nsid w:val="71C91298"/>
    <w:multiLevelType w:val="hybridMultilevel"/>
    <w:lvl w:ilvl="0">
      <w:lvlJc w:val="left"/>
      <w:lvlText w:val="•"/>
      <w:numFmt w:val="bullet"/>
      <w:start w:val="1"/>
    </w:lvl>
  </w:abstractNum>
  <w:abstractNum w:abstractNumId="11">
    <w:nsid w:val="9DAF632"/>
    <w:multiLevelType w:val="hybridMultilevel"/>
    <w:lvl w:ilvl="0">
      <w:lvlJc w:val="left"/>
      <w:lvlText w:val="$"/>
      <w:numFmt w:val="bullet"/>
      <w:start w:val="1"/>
    </w:lvl>
  </w:abstractNum>
  <w:abstractNum w:abstractNumId="12">
    <w:nsid w:val="53299938"/>
    <w:multiLevelType w:val="hybridMultilevel"/>
    <w:lvl w:ilvl="0">
      <w:lvlJc w:val="left"/>
      <w:lvlText w:val="$"/>
      <w:numFmt w:val="bullet"/>
      <w:start w:val="1"/>
    </w:lvl>
  </w:abstractNum>
  <w:abstractNum w:abstractNumId="13">
    <w:nsid w:val="1FBFE8E0"/>
    <w:multiLevelType w:val="hybridMultilevel"/>
    <w:lvl w:ilvl="0">
      <w:lvlJc w:val="left"/>
      <w:lvlText w:val="•"/>
      <w:numFmt w:val="bullet"/>
      <w:start w:val="1"/>
    </w:lvl>
  </w:abstractNum>
  <w:abstractNum w:abstractNumId="14">
    <w:nsid w:val="5092CA79"/>
    <w:multiLevelType w:val="hybridMultilevel"/>
    <w:lvl w:ilvl="0">
      <w:lvlJc w:val="left"/>
      <w:lvlText w:val="(%1)"/>
      <w:numFmt w:val="decimal"/>
      <w:start w:val="1"/>
    </w:lvl>
  </w:abstractNum>
  <w:abstractNum w:abstractNumId="15">
    <w:nsid w:val="1D545C4D"/>
    <w:multiLevelType w:val="hybridMultilevel"/>
    <w:lvl w:ilvl="0">
      <w:lvlJc w:val="left"/>
      <w:lvlText w:val="(%1)"/>
      <w:numFmt w:val="decimal"/>
      <w:start w:val="3"/>
    </w:lvl>
  </w:abstractNum>
  <w:abstractNum w:abstractNumId="16">
    <w:nsid w:val="59ADEA3D"/>
    <w:multiLevelType w:val="hybridMultilevel"/>
    <w:lvl w:ilvl="0">
      <w:lvlJc w:val="left"/>
      <w:lvlText w:val="(%1)"/>
      <w:numFmt w:val="decimal"/>
      <w:start w:val="5"/>
    </w:lvl>
  </w:abstractNum>
  <w:abstractNum w:abstractNumId="17">
    <w:nsid w:val="288F1A34"/>
    <w:multiLevelType w:val="hybridMultilevel"/>
    <w:lvl w:ilvl="0">
      <w:lvlJc w:val="left"/>
      <w:lvlText w:val="(%1)"/>
      <w:numFmt w:val="decimal"/>
      <w:start w:val="6"/>
    </w:lvl>
  </w:abstractNum>
  <w:abstractNum w:abstractNumId="18">
    <w:nsid w:val="2A155DBC"/>
    <w:multiLevelType w:val="hybridMultilevel"/>
    <w:lvl w:ilvl="0">
      <w:lvlJc w:val="left"/>
      <w:lvlText w:val="•"/>
      <w:numFmt w:val="bullet"/>
      <w:start w:val="1"/>
    </w:lvl>
    <w:lvl w:ilvl="1">
      <w:lvlJc w:val="left"/>
      <w:lvlText w:val="•"/>
      <w:numFmt w:val="bullet"/>
      <w:start w:val="1"/>
    </w:lvl>
  </w:abstractNum>
  <w:abstractNum w:abstractNumId="19">
    <w:nsid w:val="1D9F6E5F"/>
    <w:multiLevelType w:val="hybridMultilevel"/>
    <w:lvl w:ilvl="0">
      <w:lvlJc w:val="left"/>
      <w:lvlText w:val="•"/>
      <w:numFmt w:val="bullet"/>
      <w:start w:val="1"/>
    </w:lvl>
  </w:abstractNum>
  <w:abstractNum w:abstractNumId="20">
    <w:nsid w:val="97E1B4E"/>
    <w:multiLevelType w:val="hybridMultilevel"/>
    <w:lvl w:ilvl="0">
      <w:lvlJc w:val="left"/>
      <w:lvlText w:val="•"/>
      <w:numFmt w:val="bullet"/>
      <w:start w:val="1"/>
    </w:lvl>
  </w:abstractNum>
  <w:abstractNum w:abstractNumId="21">
    <w:nsid w:val="51088277"/>
    <w:multiLevelType w:val="hybridMultilevel"/>
    <w:lvl w:ilvl="0">
      <w:lvlJc w:val="left"/>
      <w:lvlText w:val="•"/>
      <w:numFmt w:val="bullet"/>
      <w:start w:val="1"/>
    </w:lvl>
  </w:abstractNum>
  <w:abstractNum w:abstractNumId="22">
    <w:nsid w:val="1CA0C5FA"/>
    <w:multiLevelType w:val="hybridMultilevel"/>
    <w:lvl w:ilvl="0">
      <w:lvlJc w:val="left"/>
      <w:lvlText w:val="•"/>
      <w:numFmt w:val="bullet"/>
      <w:start w:val="1"/>
    </w:lvl>
  </w:abstractNum>
  <w:abstractNum w:abstractNumId="23">
    <w:nsid w:val="53584BCB"/>
    <w:multiLevelType w:val="hybridMultilevel"/>
    <w:lvl w:ilvl="0">
      <w:lvlJc w:val="left"/>
      <w:lvlText w:val="•"/>
      <w:numFmt w:val="bullet"/>
      <w:start w:val="1"/>
    </w:lvl>
  </w:abstractNum>
  <w:abstractNum w:abstractNumId="24">
    <w:nsid w:val="415E286C"/>
    <w:multiLevelType w:val="hybridMultilevel"/>
    <w:lvl w:ilvl="0">
      <w:lvlJc w:val="left"/>
      <w:lvlText w:val="•"/>
      <w:numFmt w:val="bullet"/>
      <w:start w:val="1"/>
    </w:lvl>
  </w:abstractNum>
  <w:abstractNum w:abstractNumId="25">
    <w:nsid w:val="7C58FD05"/>
    <w:multiLevelType w:val="hybridMultilevel"/>
    <w:lvl w:ilvl="0">
      <w:lvlJc w:val="left"/>
      <w:lvlText w:val="•"/>
      <w:numFmt w:val="bullet"/>
      <w:start w:val="1"/>
    </w:lvl>
  </w:abstractNum>
  <w:abstractNum w:abstractNumId="26">
    <w:nsid w:val="23D86AAC"/>
    <w:multiLevelType w:val="hybridMultilevel"/>
    <w:lvl w:ilvl="0">
      <w:lvlJc w:val="left"/>
      <w:lvlText w:val="•"/>
      <w:numFmt w:val="bullet"/>
      <w:start w:val="1"/>
    </w:lvl>
  </w:abstractNum>
  <w:abstractNum w:abstractNumId="27">
    <w:nsid w:val="45E6D486"/>
    <w:multiLevelType w:val="hybridMultilevel"/>
    <w:lvl w:ilvl="0">
      <w:lvlJc w:val="left"/>
      <w:lvlText w:val="•"/>
      <w:numFmt w:val="bullet"/>
      <w:start w:val="1"/>
    </w:lvl>
  </w:abstractNum>
  <w:abstractNum w:abstractNumId="28">
    <w:nsid w:val="5C10FE21"/>
    <w:multiLevelType w:val="hybridMultilevel"/>
    <w:lvl w:ilvl="0">
      <w:lvlJc w:val="left"/>
      <w:lvlText w:val="•"/>
      <w:numFmt w:val="bullet"/>
      <w:start w:val="1"/>
    </w:lvl>
  </w:abstractNum>
  <w:abstractNum w:abstractNumId="29">
    <w:nsid w:val="E7FFA2B"/>
    <w:multiLevelType w:val="hybridMultilevel"/>
    <w:lvl w:ilvl="0">
      <w:lvlJc w:val="left"/>
      <w:lvlText w:val="•"/>
      <w:numFmt w:val="bullet"/>
      <w:start w:val="1"/>
    </w:lvl>
  </w:abstractNum>
  <w:abstractNum w:abstractNumId="30">
    <w:nsid w:val="3C5991AA"/>
    <w:multiLevelType w:val="hybridMultilevel"/>
    <w:lvl w:ilvl="0">
      <w:lvlJc w:val="left"/>
      <w:lvlText w:val="•"/>
      <w:numFmt w:val="bullet"/>
      <w:start w:val="1"/>
    </w:lvl>
  </w:abstractNum>
  <w:abstractNum w:abstractNumId="31">
    <w:nsid w:val="4BD8591A"/>
    <w:multiLevelType w:val="hybridMultilevel"/>
    <w:lvl w:ilvl="0">
      <w:lvlJc w:val="left"/>
      <w:lvlText w:val="(%1)"/>
      <w:numFmt w:val="decimal"/>
      <w:start w:val="1"/>
    </w:lvl>
  </w:abstractNum>
  <w:abstractNum w:abstractNumId="32">
    <w:nsid w:val="78DF6A55"/>
    <w:multiLevelType w:val="hybridMultilevel"/>
    <w:lvl w:ilvl="0">
      <w:lvlJc w:val="left"/>
      <w:lvlText w:val="•"/>
      <w:numFmt w:val="bullet"/>
      <w:start w:val="1"/>
    </w:lvl>
  </w:abstractNum>
  <w:abstractNum w:abstractNumId="33">
    <w:nsid w:val="39B7AAA2"/>
    <w:multiLevelType w:val="hybridMultilevel"/>
    <w:lvl w:ilvl="0">
      <w:lvlJc w:val="left"/>
      <w:lvlText w:val="(%1)"/>
      <w:numFmt w:val="decimal"/>
      <w:start w:val="1"/>
    </w:lvl>
  </w:abstractNum>
  <w:abstractNum w:abstractNumId="34">
    <w:nsid w:val="2B0D8DBE"/>
    <w:multiLevelType w:val="hybridMultilevel"/>
    <w:lvl w:ilvl="0">
      <w:lvlJc w:val="left"/>
      <w:lvlText w:val="(%1)"/>
      <w:numFmt w:val="decimal"/>
      <w:start w:val="1"/>
    </w:lvl>
    <w:lvl w:ilvl="1">
      <w:lvlJc w:val="left"/>
      <w:lvlText w:val="(%2)"/>
      <w:numFmt w:val="lowerLetter"/>
      <w:start w:val="2"/>
    </w:lvl>
  </w:abstractNum>
  <w:abstractNum w:abstractNumId="35">
    <w:nsid w:val="6C80EC70"/>
    <w:multiLevelType w:val="hybridMultilevel"/>
    <w:lvl w:ilvl="0">
      <w:lvlJc w:val="left"/>
      <w:lvlText w:val="%1"/>
      <w:numFmt w:val="decimal"/>
      <w:start w:val="1"/>
    </w:lvl>
    <w:lvl w:ilvl="1">
      <w:lvlJc w:val="left"/>
      <w:lvlText w:val="(%2)"/>
      <w:numFmt w:val="lowerLetter"/>
      <w:start w:val="2"/>
    </w:lvl>
  </w:abstractNum>
  <w:abstractNum w:abstractNumId="36">
    <w:nsid w:val="379E21B5"/>
    <w:multiLevelType w:val="hybridMultilevel"/>
    <w:lvl w:ilvl="0">
      <w:lvlJc w:val="left"/>
      <w:lvlText w:val="•"/>
      <w:numFmt w:val="bullet"/>
      <w:start w:val="1"/>
    </w:lvl>
  </w:abstractNum>
  <w:abstractNum w:abstractNumId="37">
    <w:nsid w:val="69E373"/>
    <w:multiLevelType w:val="hybridMultilevel"/>
    <w:lvl w:ilvl="0">
      <w:lvlJc w:val="left"/>
      <w:lvlText w:val="•"/>
      <w:numFmt w:val="bullet"/>
      <w:start w:val="1"/>
    </w:lvl>
  </w:abstractNum>
  <w:abstractNum w:abstractNumId="38">
    <w:nsid w:val="2C27173B"/>
    <w:multiLevelType w:val="hybridMultilevel"/>
    <w:lvl w:ilvl="0">
      <w:lvlJc w:val="left"/>
      <w:lvlText w:val="•"/>
      <w:numFmt w:val="bullet"/>
      <w:start w:val="1"/>
    </w:lvl>
  </w:abstractNum>
  <w:abstractNum w:abstractNumId="39">
    <w:nsid w:val="4C9B0904"/>
    <w:multiLevelType w:val="hybridMultilevel"/>
    <w:lvl w:ilvl="0">
      <w:lvlJc w:val="left"/>
      <w:lvlText w:val="(%1)"/>
      <w:numFmt w:val="decimal"/>
      <w:start w:val="1"/>
    </w:lvl>
  </w:abstractNum>
  <w:abstractNum w:abstractNumId="40">
    <w:nsid w:val="6AA7B75C"/>
    <w:multiLevelType w:val="hybridMultilevel"/>
    <w:lvl w:ilvl="0">
      <w:lvlJc w:val="left"/>
      <w:lvlText w:val="•"/>
      <w:numFmt w:val="bullet"/>
      <w:start w:val="1"/>
    </w:lvl>
    <w:lvl w:ilvl="1">
      <w:lvlJc w:val="left"/>
      <w:lvlText w:val="º"/>
      <w:numFmt w:val="bullet"/>
      <w:start w:val="1"/>
    </w:lvl>
  </w:abstractNum>
  <w:abstractNum w:abstractNumId="41">
    <w:nsid w:val="1DF029D3"/>
    <w:multiLevelType w:val="hybridMultilevel"/>
    <w:lvl w:ilvl="0">
      <w:lvlJc w:val="left"/>
      <w:lvlText w:val="•"/>
      <w:numFmt w:val="bullet"/>
      <w:start w:val="1"/>
    </w:lvl>
  </w:abstractNum>
  <w:abstractNum w:abstractNumId="42">
    <w:nsid w:val="5675FF36"/>
    <w:multiLevelType w:val="hybridMultilevel"/>
    <w:lvl w:ilvl="0">
      <w:lvlJc w:val="left"/>
      <w:lvlText w:val="(%1)"/>
      <w:numFmt w:val="decimal"/>
      <w:start w:val="1"/>
    </w:lvl>
  </w:abstractNum>
  <w:abstractNum w:abstractNumId="43">
    <w:nsid w:val="3DD15094"/>
    <w:multiLevelType w:val="hybridMultilevel"/>
    <w:lvl w:ilvl="0">
      <w:lvlJc w:val="left"/>
      <w:lvlText w:val="(%1)"/>
      <w:numFmt w:val="decimal"/>
      <w:start w:val="4"/>
    </w:lvl>
  </w:abstractNum>
  <w:abstractNum w:abstractNumId="44">
    <w:nsid w:val="3DB012B3"/>
    <w:multiLevelType w:val="hybridMultilevel"/>
    <w:lvl w:ilvl="0">
      <w:lvlJc w:val="left"/>
      <w:lvlText w:val="•"/>
      <w:numFmt w:val="bullet"/>
      <w:start w:val="1"/>
    </w:lvl>
  </w:abstractNum>
  <w:abstractNum w:abstractNumId="45">
    <w:nsid w:val="2708C9AF"/>
    <w:multiLevelType w:val="hybridMultilevel"/>
    <w:lvl w:ilvl="0">
      <w:lvlJc w:val="left"/>
      <w:lvlText w:val="•"/>
      <w:numFmt w:val="bullet"/>
      <w:start w:val="1"/>
    </w:lvl>
  </w:abstractNum>
  <w:abstractNum w:abstractNumId="46">
    <w:nsid w:val="5B25ACE2"/>
    <w:multiLevelType w:val="hybridMultilevel"/>
    <w:lvl w:ilvl="0">
      <w:lvlJc w:val="left"/>
      <w:lvlText w:val="•"/>
      <w:numFmt w:val="bullet"/>
      <w:start w:val="1"/>
    </w:lvl>
  </w:abstractNum>
  <w:abstractNum w:abstractNumId="47">
    <w:nsid w:val="175DFCF0"/>
    <w:multiLevelType w:val="hybridMultilevel"/>
    <w:lvl w:ilvl="0">
      <w:lvlJc w:val="left"/>
      <w:lvlText w:val="•"/>
      <w:numFmt w:val="bullet"/>
      <w:start w:val="1"/>
    </w:lvl>
  </w:abstractNum>
  <w:abstractNum w:abstractNumId="48">
    <w:nsid w:val="4F97E3E4"/>
    <w:multiLevelType w:val="hybridMultilevel"/>
    <w:lvl w:ilvl="0">
      <w:lvlJc w:val="left"/>
      <w:lvlText w:val="(%1)"/>
      <w:numFmt w:val="decimal"/>
      <w:start w:val="1"/>
    </w:lvl>
  </w:abstractNum>
  <w:abstractNum w:abstractNumId="49">
    <w:nsid w:val="53B0A9E"/>
    <w:multiLevelType w:val="hybridMultilevel"/>
    <w:lvl w:ilvl="0">
      <w:lvlJc w:val="left"/>
      <w:lvlText w:val="(%1)"/>
      <w:numFmt w:val="decimal"/>
      <w:start w:val="1"/>
    </w:lvl>
  </w:abstractNum>
  <w:abstractNum w:abstractNumId="50">
    <w:nsid w:val="34FD6B4F"/>
    <w:multiLevelType w:val="hybridMultilevel"/>
    <w:lvl w:ilvl="0">
      <w:lvlJc w:val="left"/>
      <w:lvlText w:val="•"/>
      <w:numFmt w:val="bullet"/>
      <w:start w:val="1"/>
    </w:lvl>
  </w:abstractNum>
  <w:abstractNum w:abstractNumId="51">
    <w:nsid w:val="5915FF32"/>
    <w:multiLevelType w:val="hybridMultilevel"/>
    <w:lvl w:ilvl="0">
      <w:lvlJc w:val="left"/>
      <w:lvlText w:val="•"/>
      <w:numFmt w:val="bullet"/>
      <w:start w:val="1"/>
    </w:lvl>
  </w:abstractNum>
  <w:abstractNum w:abstractNumId="52">
    <w:nsid w:val="56438D15"/>
    <w:multiLevelType w:val="hybridMultilevel"/>
    <w:lvl w:ilvl="0">
      <w:lvlJc w:val="left"/>
      <w:lvlText w:val="•"/>
      <w:numFmt w:val="bullet"/>
      <w:start w:val="1"/>
    </w:lvl>
  </w:abstractNum>
  <w:abstractNum w:abstractNumId="53">
    <w:nsid w:val="519E3149"/>
    <w:multiLevelType w:val="hybridMultilevel"/>
    <w:lvl w:ilvl="0">
      <w:lvlJc w:val="left"/>
      <w:lvlText w:val="•"/>
      <w:numFmt w:val="bullet"/>
      <w:start w:val="1"/>
    </w:lvl>
  </w:abstractNum>
  <w:abstractNum w:abstractNumId="54">
    <w:nsid w:val="2C6E4AFD"/>
    <w:multiLevelType w:val="hybridMultilevel"/>
    <w:lvl w:ilvl="0">
      <w:lvlJc w:val="left"/>
      <w:lvlText w:val="•"/>
      <w:numFmt w:val="bullet"/>
      <w:start w:val="1"/>
    </w:lvl>
  </w:abstractNum>
  <w:abstractNum w:abstractNumId="55">
    <w:nsid w:val="17A1B582"/>
    <w:multiLevelType w:val="hybridMultilevel"/>
    <w:lvl w:ilvl="0">
      <w:lvlJc w:val="left"/>
      <w:lvlText w:val="•"/>
      <w:numFmt w:val="bullet"/>
      <w:start w:val="1"/>
    </w:lvl>
  </w:abstractNum>
  <w:abstractNum w:abstractNumId="56">
    <w:nsid w:val="4DF72E4E"/>
    <w:multiLevelType w:val="hybridMultilevel"/>
    <w:lvl w:ilvl="0">
      <w:lvlJc w:val="left"/>
      <w:lvlText w:val="(%1)"/>
      <w:numFmt w:val="decimal"/>
      <w:start w:val="1"/>
    </w:lvl>
  </w:abstractNum>
  <w:abstractNum w:abstractNumId="57">
    <w:nsid w:val="5046B5A9"/>
    <w:multiLevelType w:val="hybridMultilevel"/>
    <w:lvl w:ilvl="0">
      <w:lvlJc w:val="left"/>
      <w:lvlText w:val="•"/>
      <w:numFmt w:val="bullet"/>
      <w:start w:val="1"/>
    </w:lvl>
    <w:lvl w:ilvl="1">
      <w:lvlJc w:val="left"/>
      <w:lvlText w:val="¡"/>
      <w:numFmt w:val="bullet"/>
      <w:start w:val="1"/>
    </w:lvl>
  </w:abstractNum>
  <w:abstractNum w:abstractNumId="58">
    <w:nsid w:val="5D888A08"/>
    <w:multiLevelType w:val="hybridMultilevel"/>
    <w:lvl w:ilvl="0">
      <w:lvlJc w:val="left"/>
      <w:lvlText w:val="•"/>
      <w:numFmt w:val="bullet"/>
      <w:start w:val="1"/>
    </w:lvl>
  </w:abstractNum>
  <w:abstractNum w:abstractNumId="59">
    <w:nsid w:val="2A082C70"/>
    <w:multiLevelType w:val="hybridMultilevel"/>
    <w:lvl w:ilvl="0">
      <w:lvlJc w:val="left"/>
      <w:lvlText w:val="•"/>
      <w:numFmt w:val="bullet"/>
      <w:start w:val="1"/>
    </w:lvl>
  </w:abstractNum>
  <w:abstractNum w:abstractNumId="60">
    <w:nsid w:val="5EC6AFD4"/>
    <w:multiLevelType w:val="hybridMultilevel"/>
    <w:lvl w:ilvl="0">
      <w:lvlJc w:val="left"/>
      <w:lvlText w:val="•"/>
      <w:numFmt w:val="bullet"/>
      <w:start w:val="1"/>
    </w:lvl>
  </w:abstractNum>
  <w:abstractNum w:abstractNumId="61">
    <w:nsid w:val="19E21BB2"/>
    <w:multiLevelType w:val="hybridMultilevel"/>
    <w:lvl w:ilvl="0">
      <w:lvlJc w:val="left"/>
      <w:lvlText w:val="•"/>
      <w:numFmt w:val="bullet"/>
      <w:start w:val="1"/>
    </w:lvl>
  </w:abstractNum>
  <w:abstractNum w:abstractNumId="62">
    <w:nsid w:val="75E0858A"/>
    <w:multiLevelType w:val="hybridMultilevel"/>
    <w:lvl w:ilvl="0">
      <w:lvlJc w:val="left"/>
      <w:lvlText w:val="•"/>
      <w:numFmt w:val="bullet"/>
      <w:start w:val="1"/>
    </w:lvl>
  </w:abstractNum>
  <w:abstractNum w:abstractNumId="63">
    <w:nsid w:val="57A61A29"/>
    <w:multiLevelType w:val="hybridMultilevel"/>
    <w:lvl w:ilvl="0">
      <w:lvlJc w:val="left"/>
      <w:lvlText w:val="•"/>
      <w:numFmt w:val="bullet"/>
      <w:start w:val="1"/>
    </w:lvl>
  </w:abstractNum>
  <w:abstractNum w:abstractNumId="64">
    <w:nsid w:val="5399C654"/>
    <w:multiLevelType w:val="hybridMultilevel"/>
    <w:lvl w:ilvl="0">
      <w:lvlJc w:val="left"/>
      <w:lvlText w:val="•"/>
      <w:numFmt w:val="bullet"/>
      <w:start w:val="1"/>
    </w:lvl>
    <w:lvl w:ilvl="1">
      <w:lvlJc w:val="left"/>
      <w:lvlText w:val="•"/>
      <w:numFmt w:val="bullet"/>
      <w:start w:val="1"/>
    </w:lvl>
  </w:abstractNum>
  <w:abstractNum w:abstractNumId="65">
    <w:nsid w:val="20EE1348"/>
    <w:multiLevelType w:val="hybridMultilevel"/>
    <w:lvl w:ilvl="0">
      <w:lvlJc w:val="left"/>
      <w:lvlText w:val="•"/>
      <w:numFmt w:val="bullet"/>
      <w:start w:val="1"/>
    </w:lvl>
    <w:lvl w:ilvl="1">
      <w:lvlJc w:val="left"/>
      <w:lvlText w:val="•"/>
      <w:numFmt w:val="bullet"/>
      <w:start w:val="1"/>
    </w:lvl>
  </w:abstractNum>
  <w:abstractNum w:abstractNumId="66">
    <w:nsid w:val="4427069A"/>
    <w:multiLevelType w:val="hybridMultilevel"/>
    <w:lvl w:ilvl="0">
      <w:lvlJc w:val="left"/>
      <w:lvlText w:val="•"/>
      <w:numFmt w:val="bullet"/>
      <w:start w:val="1"/>
    </w:lvl>
  </w:abstractNum>
  <w:abstractNum w:abstractNumId="67">
    <w:nsid w:val="B37E80A"/>
    <w:multiLevelType w:val="hybridMultilevel"/>
    <w:lvl w:ilvl="0">
      <w:lvlJc w:val="left"/>
      <w:lvlText w:val="(%1)"/>
      <w:numFmt w:val="decimal"/>
      <w:start w:val="1"/>
    </w:lvl>
  </w:abstractNum>
  <w:abstractNum w:abstractNumId="68">
    <w:nsid w:val="2157F6BC"/>
    <w:multiLevelType w:val="hybridMultilevel"/>
    <w:lvl w:ilvl="0">
      <w:lvlJc w:val="left"/>
      <w:lvlText w:val="(%1)"/>
      <w:numFmt w:val="decimal"/>
      <w:start w:val="1"/>
    </w:lvl>
  </w:abstractNum>
  <w:abstractNum w:abstractNumId="69">
    <w:nsid w:val="704E1DD5"/>
    <w:multiLevelType w:val="hybridMultilevel"/>
    <w:lvl w:ilvl="0">
      <w:lvlJc w:val="left"/>
      <w:lvlText w:val="(%1)"/>
      <w:numFmt w:val="decimal"/>
      <w:start w:val="1"/>
    </w:lvl>
  </w:abstractNum>
  <w:abstractNum w:abstractNumId="70">
    <w:nsid w:val="57D2F10E"/>
    <w:multiLevelType w:val="hybridMultilevel"/>
    <w:lvl w:ilvl="0">
      <w:lvlJc w:val="left"/>
      <w:lvlText w:val="•"/>
      <w:numFmt w:val="bullet"/>
      <w:start w:val="1"/>
    </w:lvl>
  </w:abstractNum>
  <w:abstractNum w:abstractNumId="71">
    <w:nsid w:val="BFFAE18"/>
    <w:multiLevelType w:val="hybridMultilevel"/>
    <w:lvl w:ilvl="0">
      <w:lvlJc w:val="left"/>
      <w:lvlText w:val="•"/>
      <w:numFmt w:val="bullet"/>
      <w:start w:val="1"/>
    </w:lvl>
  </w:abstractNum>
  <w:abstractNum w:abstractNumId="72">
    <w:nsid w:val="E3E47A8"/>
    <w:multiLevelType w:val="hybridMultilevel"/>
    <w:lvl w:ilvl="0">
      <w:lvlJc w:val="left"/>
      <w:lvlText w:val="•"/>
      <w:numFmt w:val="bullet"/>
      <w:start w:val="1"/>
    </w:lvl>
  </w:abstractNum>
  <w:abstractNum w:abstractNumId="73">
    <w:nsid w:val="2E48F044"/>
    <w:multiLevelType w:val="hybridMultilevel"/>
    <w:lvl w:ilvl="0">
      <w:lvlJc w:val="left"/>
      <w:lvlText w:val="•"/>
      <w:numFmt w:val="bullet"/>
      <w:start w:val="1"/>
    </w:lvl>
  </w:abstractNum>
  <w:abstractNum w:abstractNumId="74">
    <w:nsid w:val="49D0FEAC"/>
    <w:multiLevelType w:val="hybridMultilevel"/>
    <w:lvl w:ilvl="0">
      <w:lvlJc w:val="left"/>
      <w:lvlText w:val="•"/>
      <w:numFmt w:val="bullet"/>
      <w:start w:val="1"/>
    </w:lvl>
  </w:abstractNum>
  <w:abstractNum w:abstractNumId="75">
    <w:nsid w:val="4BEE5A5B"/>
    <w:multiLevelType w:val="hybridMultilevel"/>
    <w:lvl w:ilvl="0">
      <w:lvlJc w:val="left"/>
      <w:lvlText w:val="•"/>
      <w:numFmt w:val="bullet"/>
      <w:start w:val="1"/>
    </w:lvl>
  </w:abstractNum>
  <w:abstractNum w:abstractNumId="76">
    <w:nsid w:val="5551B9F3"/>
    <w:multiLevelType w:val="hybridMultilevel"/>
    <w:lvl w:ilvl="0">
      <w:lvlJc w:val="left"/>
      <w:lvlText w:val="•"/>
      <w:numFmt w:val="bullet"/>
      <w:start w:val="1"/>
    </w:lvl>
  </w:abstractNum>
  <w:abstractNum w:abstractNumId="77">
    <w:nsid w:val="24F6AB8E"/>
    <w:multiLevelType w:val="hybridMultilevel"/>
    <w:lvl w:ilvl="0">
      <w:lvlJc w:val="left"/>
      <w:lvlText w:val="•"/>
      <w:numFmt w:val="bullet"/>
      <w:start w:val="1"/>
    </w:lvl>
  </w:abstractNum>
  <w:abstractNum w:abstractNumId="78">
    <w:nsid w:val="634C574C"/>
    <w:multiLevelType w:val="hybridMultilevel"/>
    <w:lvl w:ilvl="0">
      <w:lvlJc w:val="left"/>
      <w:lvlText w:val="•"/>
      <w:numFmt w:val="bullet"/>
      <w:start w:val="1"/>
    </w:lvl>
  </w:abstractNum>
  <w:abstractNum w:abstractNumId="79">
    <w:nsid w:val="24E99DD7"/>
    <w:multiLevelType w:val="hybridMultilevel"/>
    <w:lvl w:ilvl="0">
      <w:lvlJc w:val="left"/>
      <w:lvlText w:val="(%1)"/>
      <w:numFmt w:val="lowerRoman"/>
      <w:start w:val="1"/>
    </w:lvl>
  </w:abstractNum>
  <w:abstractNum w:abstractNumId="80">
    <w:nsid w:val="2A31B62D"/>
    <w:multiLevelType w:val="hybridMultilevel"/>
    <w:lvl w:ilvl="0">
      <w:lvlJc w:val="left"/>
      <w:lvlText w:val="(%1)"/>
      <w:numFmt w:val="lowerRoman"/>
      <w:start w:val="2"/>
    </w:lvl>
  </w:abstractNum>
  <w:abstractNum w:abstractNumId="81">
    <w:nsid w:val="1849C29B"/>
    <w:multiLevelType w:val="hybridMultilevel"/>
    <w:lvl w:ilvl="0">
      <w:lvlJc w:val="left"/>
      <w:lvlText w:val="•"/>
      <w:numFmt w:val="bullet"/>
      <w:start w:val="1"/>
    </w:lvl>
  </w:abstractNum>
  <w:abstractNum w:abstractNumId="82">
    <w:nsid w:val="7DFF9D09"/>
    <w:multiLevelType w:val="hybridMultilevel"/>
    <w:lvl w:ilvl="0">
      <w:lvlJc w:val="left"/>
      <w:lvlText w:val="="/>
      <w:numFmt w:val="bullet"/>
      <w:start w:val="1"/>
    </w:lvl>
  </w:abstractNum>
  <w:abstractNum w:abstractNumId="83">
    <w:nsid w:val="754342"/>
    <w:multiLevelType w:val="hybridMultilevel"/>
    <w:lvl w:ilvl="0">
      <w:lvlJc w:val="left"/>
      <w:lvlText w:val="(%1)"/>
      <w:numFmt w:val="decimal"/>
    </w:lvl>
    <w:lvl w:ilvl="1">
      <w:lvlJc w:val="left"/>
      <w:lvlText w:val="="/>
      <w:numFmt w:val="bullet"/>
      <w:start w:val="1"/>
    </w:lvl>
  </w:abstractNum>
  <w:abstractNum w:abstractNumId="84">
    <w:nsid w:val="69E7F3E5"/>
    <w:multiLevelType w:val="hybridMultilevel"/>
    <w:lvl w:ilvl="0">
      <w:lvlJc w:val="left"/>
      <w:lvlText w:val="(*)"/>
      <w:numFmt w:val="bullet"/>
      <w:start w:val="1"/>
    </w:lvl>
  </w:abstractNum>
  <w:abstractNum w:abstractNumId="85">
    <w:nsid w:val="2A6DE806"/>
    <w:multiLevelType w:val="hybridMultilevel"/>
    <w:lvl w:ilvl="0">
      <w:lvlJc w:val="left"/>
      <w:lvlText w:val="•"/>
      <w:numFmt w:val="bullet"/>
      <w:start w:val="1"/>
    </w:lvl>
  </w:abstractNum>
  <w:abstractNum w:abstractNumId="86">
    <w:nsid w:val="1816F8C4"/>
    <w:multiLevelType w:val="hybridMultilevel"/>
    <w:lvl w:ilvl="0">
      <w:lvlJc w:val="left"/>
      <w:lvlText w:val="•"/>
      <w:numFmt w:val="bullet"/>
      <w:start w:val="1"/>
    </w:lvl>
  </w:abstractNum>
  <w:abstractNum w:abstractNumId="87">
    <w:nsid w:val="37DF2233"/>
    <w:multiLevelType w:val="hybridMultilevel"/>
    <w:lvl w:ilvl="0">
      <w:lvlJc w:val="left"/>
      <w:lvlText w:val="•"/>
      <w:numFmt w:val="bullet"/>
      <w:start w:val="1"/>
    </w:lvl>
  </w:abstractNum>
  <w:abstractNum w:abstractNumId="88">
    <w:nsid w:val="7AB49DAF"/>
    <w:multiLevelType w:val="hybridMultilevel"/>
    <w:lvl w:ilvl="0">
      <w:lvlJc w:val="left"/>
      <w:lvlText w:val="•"/>
      <w:numFmt w:val="bullet"/>
      <w:start w:val="1"/>
    </w:lvl>
  </w:abstractNum>
  <w:abstractNum w:abstractNumId="89">
    <w:nsid w:val="759F82CD"/>
    <w:multiLevelType w:val="hybridMultilevel"/>
    <w:lvl w:ilvl="0">
      <w:lvlJc w:val="left"/>
      <w:lvlText w:val="•"/>
      <w:numFmt w:val="bullet"/>
      <w:start w:val="1"/>
    </w:lvl>
  </w:abstractNum>
  <w:abstractNum w:abstractNumId="90">
    <w:nsid w:val="61E74EA3"/>
    <w:multiLevelType w:val="hybridMultilevel"/>
    <w:lvl w:ilvl="0">
      <w:lvlJc w:val="left"/>
      <w:lvlText w:val="•"/>
      <w:numFmt w:val="bullet"/>
      <w:start w:val="1"/>
    </w:lvl>
  </w:abstractNum>
  <w:abstractNum w:abstractNumId="91">
    <w:nsid w:val="597B4D84"/>
    <w:multiLevelType w:val="hybridMultilevel"/>
    <w:lvl w:ilvl="0">
      <w:lvlJc w:val="left"/>
      <w:lvlText w:val="•"/>
      <w:numFmt w:val="bullet"/>
      <w:start w:val="1"/>
    </w:lvl>
  </w:abstractNum>
  <w:abstractNum w:abstractNumId="92">
    <w:nsid w:val="F819E7F"/>
    <w:multiLevelType w:val="hybridMultilevel"/>
    <w:lvl w:ilvl="0">
      <w:lvlJc w:val="left"/>
      <w:lvlText w:val="•"/>
      <w:numFmt w:val="bullet"/>
      <w:start w:val="1"/>
    </w:lvl>
  </w:abstractNum>
  <w:abstractNum w:abstractNumId="93">
    <w:nsid w:val="57C7D42D"/>
    <w:multiLevelType w:val="hybridMultilevel"/>
    <w:lvl w:ilvl="0">
      <w:lvlJc w:val="left"/>
      <w:lvlText w:val="•"/>
      <w:numFmt w:val="bullet"/>
      <w:start w:val="1"/>
    </w:lvl>
  </w:abstractNum>
  <w:abstractNum w:abstractNumId="94">
    <w:nsid w:val="312167AD"/>
    <w:multiLevelType w:val="hybridMultilevel"/>
    <w:lvl w:ilvl="0">
      <w:lvlJc w:val="left"/>
      <w:lvlText w:val="•"/>
      <w:numFmt w:val="bullet"/>
      <w:start w:val="1"/>
    </w:lvl>
  </w:abstractNum>
  <w:abstractNum w:abstractNumId="95">
    <w:nsid w:val="631B64D4"/>
    <w:multiLevelType w:val="hybridMultilevel"/>
    <w:lvl w:ilvl="0">
      <w:lvlJc w:val="left"/>
      <w:lvlText w:val="•"/>
      <w:numFmt w:val="bullet"/>
      <w:start w:val="1"/>
    </w:lvl>
  </w:abstractNum>
  <w:abstractNum w:abstractNumId="96">
    <w:nsid w:val="78B5E776"/>
    <w:multiLevelType w:val="hybridMultilevel"/>
    <w:lvl w:ilvl="0">
      <w:lvlJc w:val="left"/>
      <w:lvlText w:val="•"/>
      <w:numFmt w:val="bullet"/>
      <w:start w:val="1"/>
    </w:lvl>
  </w:abstractNum>
  <w:abstractNum w:abstractNumId="97">
    <w:nsid w:val="75486E47"/>
    <w:multiLevelType w:val="hybridMultilevel"/>
    <w:lvl w:ilvl="0">
      <w:lvlJc w:val="left"/>
      <w:lvlText w:val="*"/>
      <w:numFmt w:val="bullet"/>
      <w:start w:val="1"/>
    </w:lvl>
  </w:abstractNum>
  <w:abstractNum w:abstractNumId="98">
    <w:nsid w:val="6E534CDE"/>
    <w:multiLevelType w:val="hybridMultilevel"/>
    <w:lvl w:ilvl="0">
      <w:lvlJc w:val="left"/>
      <w:lvlText w:val="(%1)"/>
      <w:numFmt w:val="decimal"/>
      <w:start w:val="2"/>
    </w:lvl>
  </w:abstractNum>
  <w:abstractNum w:abstractNumId="99">
    <w:nsid w:val="1A0DDE32"/>
    <w:multiLevelType w:val="hybridMultilevel"/>
    <w:lvl w:ilvl="0">
      <w:lvlJc w:val="left"/>
      <w:lvlText w:val="(%1)"/>
      <w:numFmt w:val="decimal"/>
      <w:start w:val="3"/>
    </w:lvl>
  </w:abstractNum>
  <w:abstractNum w:abstractNumId="100">
    <w:nsid w:val="65968C1C"/>
    <w:multiLevelType w:val="hybridMultilevel"/>
    <w:lvl w:ilvl="0">
      <w:lvlJc w:val="left"/>
      <w:lvlText w:val="(%1)"/>
      <w:numFmt w:val="decimal"/>
      <w:start w:val="11"/>
    </w:lvl>
  </w:abstractNum>
  <w:abstractNum w:abstractNumId="101">
    <w:nsid w:val="46263DEC"/>
    <w:multiLevelType w:val="hybridMultilevel"/>
    <w:lvl w:ilvl="0">
      <w:lvlJc w:val="left"/>
      <w:lvlText w:val="(%1)"/>
      <w:numFmt w:val="decimal"/>
      <w:start w:val="1"/>
    </w:lvl>
  </w:abstractNum>
  <w:abstractNum w:abstractNumId="102">
    <w:nsid w:val="260D8C4A"/>
    <w:multiLevelType w:val="hybridMultilevel"/>
    <w:lvl w:ilvl="0">
      <w:lvlJc w:val="left"/>
      <w:lvlText w:val="•"/>
      <w:numFmt w:val="bullet"/>
      <w:start w:val="1"/>
    </w:lvl>
  </w:abstractNum>
  <w:abstractNum w:abstractNumId="103">
    <w:nsid w:val="73D4D3C4"/>
    <w:multiLevelType w:val="hybridMultilevel"/>
    <w:lvl w:ilvl="0">
      <w:lvlJc w:val="left"/>
      <w:lvlText w:val="•"/>
      <w:numFmt w:val="bullet"/>
      <w:start w:val="1"/>
    </w:lvl>
  </w:abstractNum>
  <w:abstractNum w:abstractNumId="104">
    <w:nsid w:val="746F2E30"/>
    <w:multiLevelType w:val="hybridMultilevel"/>
    <w:lvl w:ilvl="0">
      <w:lvlJc w:val="left"/>
      <w:lvlText w:val="•"/>
      <w:numFmt w:val="bullet"/>
      <w:start w:val="1"/>
    </w:lvl>
  </w:abstractNum>
  <w:abstractNum w:abstractNumId="105">
    <w:nsid w:val="6FDE8AF6"/>
    <w:multiLevelType w:val="hybridMultilevel"/>
    <w:lvl w:ilvl="0">
      <w:lvlJc w:val="left"/>
      <w:lvlText w:val="•"/>
      <w:numFmt w:val="bullet"/>
      <w:start w:val="1"/>
    </w:lvl>
  </w:abstractNum>
  <w:abstractNum w:abstractNumId="106">
    <w:nsid w:val="3FC32E20"/>
    <w:multiLevelType w:val="hybridMultilevel"/>
    <w:lvl w:ilvl="0">
      <w:lvlJc w:val="left"/>
      <w:lvlText w:val="•"/>
      <w:numFmt w:val="bullet"/>
      <w:start w:val="1"/>
    </w:lvl>
    <w:lvl w:ilvl="1">
      <w:lvlJc w:val="left"/>
      <w:lvlText w:val="•"/>
      <w:numFmt w:val="bullet"/>
      <w:start w:val="1"/>
    </w:lvl>
  </w:abstractNum>
  <w:abstractNum w:abstractNumId="107">
    <w:nsid w:val="49C0E823"/>
    <w:multiLevelType w:val="hybridMultilevel"/>
    <w:lvl w:ilvl="0">
      <w:lvlJc w:val="left"/>
      <w:lvlText w:val="•"/>
      <w:numFmt w:val="bullet"/>
      <w:start w:val="1"/>
    </w:lvl>
  </w:abstractNum>
  <w:abstractNum w:abstractNumId="108">
    <w:nsid w:val="14D53685"/>
    <w:multiLevelType w:val="hybridMultilevel"/>
    <w:lvl w:ilvl="0">
      <w:lvlJc w:val="left"/>
      <w:lvlText w:val="•"/>
      <w:numFmt w:val="bullet"/>
      <w:start w:val="1"/>
    </w:lvl>
  </w:abstractNum>
  <w:abstractNum w:abstractNumId="109">
    <w:nsid w:val="230F856C"/>
    <w:multiLevelType w:val="hybridMultilevel"/>
    <w:lvl w:ilvl="0">
      <w:lvlJc w:val="left"/>
      <w:lvlText w:val="•"/>
      <w:numFmt w:val="bullet"/>
      <w:start w:val="1"/>
    </w:lvl>
  </w:abstractNum>
  <w:abstractNum w:abstractNumId="110">
    <w:nsid w:val="6EAA85FB"/>
    <w:multiLevelType w:val="hybridMultilevel"/>
    <w:lvl w:ilvl="0">
      <w:lvlJc w:val="left"/>
      <w:lvlText w:val="•"/>
      <w:numFmt w:val="bullet"/>
      <w:start w:val="1"/>
    </w:lvl>
  </w:abstractNum>
  <w:abstractNum w:abstractNumId="111">
    <w:nsid w:val="3F06ECB2"/>
    <w:multiLevelType w:val="hybridMultilevel"/>
    <w:lvl w:ilvl="0">
      <w:lvlJc w:val="left"/>
      <w:lvlText w:val="(%1)"/>
      <w:numFmt w:val="lowerRoman"/>
      <w:start w:val="1"/>
    </w:lvl>
  </w:abstractNum>
  <w:abstractNum w:abstractNumId="112">
    <w:nsid w:val="3B594807"/>
    <w:multiLevelType w:val="hybridMultilevel"/>
    <w:lvl w:ilvl="0">
      <w:lvlJc w:val="left"/>
      <w:lvlText w:val="•"/>
      <w:numFmt w:val="bullet"/>
      <w:start w:val="1"/>
    </w:lvl>
  </w:abstractNum>
  <w:abstractNum w:abstractNumId="113">
    <w:nsid w:val="6CAA2304"/>
    <w:multiLevelType w:val="hybridMultilevel"/>
    <w:lvl w:ilvl="0">
      <w:lvlJc w:val="left"/>
      <w:lvlText w:val="•"/>
      <w:numFmt w:val="bullet"/>
      <w:start w:val="1"/>
    </w:lvl>
  </w:abstractNum>
  <w:abstractNum w:abstractNumId="114">
    <w:nsid w:val="3F7C2FF4"/>
    <w:multiLevelType w:val="hybridMultilevel"/>
    <w:lvl w:ilvl="0">
      <w:lvlJc w:val="left"/>
      <w:lvlText w:val="•"/>
      <w:numFmt w:val="bullet"/>
      <w:start w:val="1"/>
    </w:lvl>
  </w:abstractNum>
  <w:abstractNum w:abstractNumId="115">
    <w:nsid w:val="25413BEC"/>
    <w:multiLevelType w:val="hybridMultilevel"/>
    <w:lvl w:ilvl="0">
      <w:lvlJc w:val="left"/>
      <w:lvlText w:val="•"/>
      <w:numFmt w:val="bullet"/>
      <w:start w:val="1"/>
    </w:lvl>
  </w:abstractNum>
  <w:abstractNum w:abstractNumId="116">
    <w:nsid w:val="17180B0B"/>
    <w:multiLevelType w:val="hybridMultilevel"/>
    <w:lvl w:ilvl="0">
      <w:lvlJc w:val="left"/>
      <w:lvlText w:val="•"/>
      <w:numFmt w:val="bullet"/>
      <w:start w:val="1"/>
    </w:lvl>
  </w:abstractNum>
  <w:abstractNum w:abstractNumId="117">
    <w:nsid w:val="579328B9"/>
    <w:multiLevelType w:val="hybridMultilevel"/>
    <w:lvl w:ilvl="0">
      <w:lvlJc w:val="left"/>
      <w:lvlText w:val="•"/>
      <w:numFmt w:val="bullet"/>
      <w:start w:val="1"/>
    </w:lvl>
  </w:abstractNum>
  <w:abstractNum w:abstractNumId="118">
    <w:nsid w:val="5D205E2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9">
    <w:nsid w:val="11CCA8BA"/>
    <w:multiLevelType w:val="hybridMultilevel"/>
    <w:lvl w:ilvl="0">
      <w:lvlJc w:val="left"/>
      <w:lvlText w:val="•"/>
      <w:numFmt w:val="bullet"/>
      <w:start w:val="1"/>
    </w:lvl>
  </w:abstractNum>
  <w:abstractNum w:abstractNumId="120">
    <w:nsid w:val="4D32AB86"/>
    <w:multiLevelType w:val="hybridMultilevel"/>
    <w:lvl w:ilvl="0">
      <w:lvlJc w:val="left"/>
      <w:lvlText w:val="•"/>
      <w:numFmt w:val="bullet"/>
      <w:start w:val="1"/>
    </w:lvl>
  </w:abstractNum>
  <w:abstractNum w:abstractNumId="121">
    <w:nsid w:val="3F07ACC3"/>
    <w:multiLevelType w:val="hybridMultilevel"/>
    <w:lvl w:ilvl="0">
      <w:lvlJc w:val="left"/>
      <w:lvlText w:val="•"/>
      <w:numFmt w:val="bullet"/>
      <w:start w:val="1"/>
    </w:lvl>
  </w:abstractNum>
  <w:abstractNum w:abstractNumId="122">
    <w:nsid w:val="6B47F63E"/>
    <w:multiLevelType w:val="hybridMultilevel"/>
    <w:lvl w:ilvl="0">
      <w:lvlJc w:val="left"/>
      <w:lvlText w:val="•"/>
      <w:numFmt w:val="bullet"/>
      <w:start w:val="1"/>
    </w:lvl>
  </w:abstractNum>
  <w:abstractNum w:abstractNumId="123">
    <w:nsid w:val="5CB44A05"/>
    <w:multiLevelType w:val="hybridMultilevel"/>
    <w:lvl w:ilvl="0">
      <w:lvlJc w:val="left"/>
      <w:lvlText w:val="•"/>
      <w:numFmt w:val="bullet"/>
      <w:start w:val="1"/>
    </w:lvl>
  </w:abstractNum>
  <w:abstractNum w:abstractNumId="124">
    <w:nsid w:val="16CF80F1"/>
    <w:multiLevelType w:val="hybridMultilevel"/>
    <w:lvl w:ilvl="0">
      <w:lvlJc w:val="left"/>
      <w:lvlText w:val="•"/>
      <w:numFmt w:val="bullet"/>
      <w:start w:val="1"/>
    </w:lvl>
  </w:abstractNum>
  <w:abstractNum w:abstractNumId="125">
    <w:nsid w:val="1C695DEC"/>
    <w:multiLevelType w:val="hybridMultilevel"/>
    <w:lvl w:ilvl="0">
      <w:lvlJc w:val="left"/>
      <w:lvlText w:val="(%1)"/>
      <w:numFmt w:val="decimal"/>
      <w:start w:val="1"/>
    </w:lvl>
  </w:abstractNum>
  <w:abstractNum w:abstractNumId="126">
    <w:nsid w:val="3FCFAED9"/>
    <w:multiLevelType w:val="hybridMultilevel"/>
    <w:lvl w:ilvl="0">
      <w:lvlJc w:val="left"/>
      <w:lvlText w:val="(%1)"/>
      <w:numFmt w:val="decimal"/>
      <w:start w:val="1"/>
    </w:lvl>
  </w:abstractNum>
  <w:abstractNum w:abstractNumId="127">
    <w:nsid w:val="F856867"/>
    <w:multiLevelType w:val="hybridMultilevel"/>
    <w:lvl w:ilvl="0">
      <w:lvlJc w:val="left"/>
      <w:lvlText w:val="(%1)"/>
      <w:numFmt w:val="decimal"/>
      <w:start w:val="1"/>
    </w:lvl>
  </w:abstractNum>
  <w:abstractNum w:abstractNumId="128">
    <w:nsid w:val="11B1CC33"/>
    <w:multiLevelType w:val="hybridMultilevel"/>
    <w:lvl w:ilvl="0">
      <w:lvlJc w:val="left"/>
      <w:lvlText w:val="(%1)"/>
      <w:numFmt w:val="decimal"/>
      <w:start w:val="4"/>
    </w:lvl>
  </w:abstractNum>
  <w:abstractNum w:abstractNumId="129">
    <w:nsid w:val="2E22FBB7"/>
    <w:multiLevelType w:val="hybridMultilevel"/>
    <w:lvl w:ilvl="0">
      <w:lvlJc w:val="left"/>
      <w:lvlText w:val="(%1)"/>
      <w:numFmt w:val="lowerLetter"/>
      <w:start w:val="1"/>
    </w:lvl>
  </w:abstractNum>
  <w:abstractNum w:abstractNumId="130">
    <w:nsid w:val="29934699"/>
    <w:multiLevelType w:val="hybridMultilevel"/>
    <w:lvl w:ilvl="0">
      <w:lvlJc w:val="left"/>
      <w:lvlText w:val="(%1)"/>
      <w:numFmt w:val="decimal"/>
      <w:start w:val="1"/>
    </w:lvl>
  </w:abstractNum>
  <w:abstractNum w:abstractNumId="131">
    <w:nsid w:val="77485850"/>
    <w:multiLevelType w:val="hybridMultilevel"/>
    <w:lvl w:ilvl="0">
      <w:lvlJc w:val="left"/>
      <w:lvlText w:val="(%1)"/>
      <w:numFmt w:val="lowerLetter"/>
      <w:start w:val="1"/>
    </w:lvl>
  </w:abstractNum>
  <w:abstractNum w:abstractNumId="132">
    <w:nsid w:val="744939A3"/>
    <w:multiLevelType w:val="hybridMultilevel"/>
    <w:lvl w:ilvl="0">
      <w:lvlJc w:val="left"/>
      <w:lvlText w:val="%1."/>
      <w:numFmt w:val="decimal"/>
      <w:start w:val="1"/>
    </w:lvl>
  </w:abstractNum>
  <w:abstractNum w:abstractNumId="133">
    <w:nsid w:val="4FA0D2E3"/>
    <w:multiLevelType w:val="hybridMultilevel"/>
    <w:lvl w:ilvl="0">
      <w:lvlJc w:val="left"/>
      <w:lvlText w:val="%1."/>
      <w:numFmt w:val="decimal"/>
      <w:start w:val="2"/>
    </w:lvl>
  </w:abstractNum>
  <w:abstractNum w:abstractNumId="134">
    <w:nsid w:val="6B1D2C14"/>
    <w:multiLevelType w:val="hybridMultilevel"/>
    <w:lvl w:ilvl="0">
      <w:lvlJc w:val="left"/>
      <w:lvlText w:val="•"/>
      <w:numFmt w:val="bullet"/>
      <w:start w:val="1"/>
    </w:lvl>
  </w:abstractNum>
  <w:abstractNum w:abstractNumId="135">
    <w:nsid w:val="68B867D3"/>
    <w:multiLevelType w:val="hybridMultilevel"/>
    <w:lvl w:ilvl="0">
      <w:lvlJc w:val="left"/>
      <w:lvlText w:val="•"/>
      <w:numFmt w:val="bullet"/>
      <w:start w:val="1"/>
    </w:lvl>
  </w:abstractNum>
  <w:abstractNum w:abstractNumId="136">
    <w:nsid w:val="3F7F5DD9"/>
    <w:multiLevelType w:val="hybridMultilevel"/>
    <w:lvl w:ilvl="0">
      <w:lvlJc w:val="left"/>
      <w:lvlText w:val="(%1)"/>
      <w:numFmt w:val="lowerRoman"/>
      <w:start w:val="1"/>
    </w:lvl>
  </w:abstractNum>
  <w:abstractNum w:abstractNumId="137">
    <w:nsid w:val="2AE05A34"/>
    <w:multiLevelType w:val="hybridMultilevel"/>
    <w:lvl w:ilvl="0">
      <w:lvlJc w:val="left"/>
      <w:lvlText w:val="%1."/>
      <w:numFmt w:val="decimal"/>
      <w:start w:val="3"/>
    </w:lvl>
  </w:abstractNum>
  <w:abstractNum w:abstractNumId="138">
    <w:nsid w:val="32794FF7"/>
    <w:multiLevelType w:val="hybridMultilevel"/>
    <w:lvl w:ilvl="0">
      <w:lvlJc w:val="left"/>
      <w:lvlText w:val="(%1)"/>
      <w:numFmt w:val="lowerRoman"/>
      <w:start w:val="1"/>
    </w:lvl>
  </w:abstractNum>
  <w:abstractNum w:abstractNumId="139">
    <w:nsid w:val="5454945E"/>
    <w:multiLevelType w:val="hybridMultilevel"/>
    <w:lvl w:ilvl="0">
      <w:lvlJc w:val="left"/>
      <w:lvlText w:val="(%1)"/>
      <w:numFmt w:val="decimal"/>
      <w:start w:val="1"/>
    </w:lvl>
  </w:abstractNum>
  <w:abstractNum w:abstractNumId="140">
    <w:nsid w:val="4DEFDFA0"/>
    <w:multiLevelType w:val="hybridMultilevel"/>
    <w:lvl w:ilvl="0">
      <w:lvlJc w:val="left"/>
      <w:lvlText w:val="%1."/>
      <w:numFmt w:val="decimal"/>
      <w:start w:val="5"/>
    </w:lvl>
  </w:abstractNum>
  <w:abstractNum w:abstractNumId="141">
    <w:nsid w:val="2123D5F2"/>
    <w:multiLevelType w:val="hybridMultilevel"/>
    <w:lvl w:ilvl="0">
      <w:lvlJc w:val="left"/>
      <w:lvlText w:val="(%1)"/>
      <w:numFmt w:val="decimal"/>
      <w:start w:val="1"/>
    </w:lvl>
  </w:abstractNum>
  <w:abstractNum w:abstractNumId="142">
    <w:nsid w:val="135B8110"/>
    <w:multiLevelType w:val="hybridMultilevel"/>
    <w:lvl w:ilvl="0">
      <w:lvlJc w:val="left"/>
      <w:lvlText w:val="(%1)"/>
      <w:numFmt w:val="decimal"/>
      <w:start w:val="1"/>
    </w:lvl>
  </w:abstractNum>
  <w:abstractNum w:abstractNumId="143">
    <w:nsid w:val="94927A8"/>
    <w:multiLevelType w:val="hybridMultilevel"/>
    <w:lvl w:ilvl="0">
      <w:lvlJc w:val="left"/>
      <w:lvlText w:val="%1."/>
      <w:numFmt w:val="decimal"/>
      <w:start w:val="7"/>
    </w:lvl>
  </w:abstractNum>
  <w:abstractNum w:abstractNumId="144">
    <w:nsid w:val="DCDF8F6"/>
    <w:multiLevelType w:val="hybridMultilevel"/>
    <w:lvl w:ilvl="0">
      <w:lvlJc w:val="left"/>
      <w:lvlText w:val="(%1)"/>
      <w:numFmt w:val="decimal"/>
      <w:start w:val="1"/>
    </w:lvl>
  </w:abstractNum>
  <w:abstractNum w:abstractNumId="145">
    <w:nsid w:val="52D7B105"/>
    <w:multiLevelType w:val="hybridMultilevel"/>
    <w:lvl w:ilvl="0">
      <w:lvlJc w:val="left"/>
      <w:lvlText w:val="(%1)"/>
      <w:numFmt w:val="decimal"/>
      <w:start w:val="2"/>
    </w:lvl>
  </w:abstractNum>
  <w:abstractNum w:abstractNumId="146">
    <w:nsid w:val="2E8A6394"/>
    <w:multiLevelType w:val="hybridMultilevel"/>
    <w:lvl w:ilvl="0">
      <w:lvlJc w:val="left"/>
      <w:lvlText w:val="(%1)"/>
      <w:numFmt w:val="decimal"/>
      <w:start w:val="1"/>
    </w:lvl>
  </w:abstractNum>
  <w:abstractNum w:abstractNumId="147">
    <w:nsid w:val="24E60401"/>
    <w:multiLevelType w:val="hybridMultilevel"/>
    <w:lvl w:ilvl="0">
      <w:lvlJc w:val="left"/>
      <w:lvlText w:val="%1"/>
      <w:numFmt w:val="decimal"/>
      <w:start w:val="1"/>
    </w:lvl>
    <w:lvl w:ilvl="1">
      <w:lvlJc w:val="left"/>
      <w:lvlText w:val="(%2)"/>
      <w:numFmt w:val="decimal"/>
      <w:start w:val="1"/>
    </w:lvl>
  </w:abstractNum>
  <w:abstractNum w:abstractNumId="148">
    <w:nsid w:val="2A6AD9BE"/>
    <w:multiLevelType w:val="hybridMultilevel"/>
    <w:lvl w:ilvl="0">
      <w:lvlJc w:val="left"/>
      <w:lvlText w:val="(%1)"/>
      <w:numFmt w:val="decimal"/>
      <w:start w:val="2"/>
    </w:lvl>
    <w:lvl w:ilvl="1">
      <w:lvlJc w:val="left"/>
      <w:lvlText w:val="%2"/>
      <w:numFmt w:val="decimal"/>
      <w:start w:val="1"/>
    </w:lvl>
  </w:abstractNum>
  <w:abstractNum w:abstractNumId="149">
    <w:nsid w:val="BAAC1B4"/>
    <w:multiLevelType w:val="hybridMultilevel"/>
    <w:lvl w:ilvl="0">
      <w:lvlJc w:val="left"/>
      <w:lvlText w:val="(%1)"/>
      <w:numFmt w:val="decimal"/>
      <w:start w:val="1"/>
    </w:lvl>
  </w:abstractNum>
  <w:abstractNum w:abstractNumId="150">
    <w:nsid w:val="36B2ACBC"/>
    <w:multiLevelType w:val="hybridMultilevel"/>
    <w:lvl w:ilvl="0">
      <w:lvlJc w:val="left"/>
      <w:lvlText w:val="(%1)"/>
      <w:numFmt w:val="decimal"/>
      <w:start w:val="1"/>
    </w:lvl>
  </w:abstractNum>
  <w:abstractNum w:abstractNumId="151">
    <w:nsid w:val="779D8544"/>
    <w:multiLevelType w:val="hybridMultilevel"/>
    <w:lvl w:ilvl="0">
      <w:lvlJc w:val="left"/>
      <w:lvlText w:val="(%1)"/>
      <w:numFmt w:val="decimal"/>
      <w:start w:val="1"/>
    </w:lvl>
  </w:abstractNum>
  <w:abstractNum w:abstractNumId="152">
    <w:nsid w:val="4AB26E78"/>
    <w:multiLevelType w:val="hybridMultilevel"/>
    <w:lvl w:ilvl="0">
      <w:lvlJc w:val="left"/>
      <w:lvlText w:val="(%1)"/>
      <w:numFmt w:val="decimal"/>
      <w:start w:val="1"/>
    </w:lvl>
  </w:abstractNum>
  <w:abstractNum w:abstractNumId="153">
    <w:nsid w:val="21FAA2FA"/>
    <w:multiLevelType w:val="hybridMultilevel"/>
    <w:lvl w:ilvl="0">
      <w:lvlJc w:val="left"/>
      <w:lvlText w:val="(%1)"/>
      <w:numFmt w:val="decimal"/>
      <w:start w:val="1"/>
    </w:lvl>
  </w:abstractNum>
  <w:abstractNum w:abstractNumId="154">
    <w:nsid w:val="5451CF49"/>
    <w:multiLevelType w:val="hybridMultilevel"/>
    <w:lvl w:ilvl="0">
      <w:lvlJc w:val="left"/>
      <w:lvlText w:val="(%1)"/>
      <w:numFmt w:val="decimal"/>
      <w:start w:val="1"/>
    </w:lvl>
  </w:abstractNum>
  <w:abstractNum w:abstractNumId="155">
    <w:nsid w:val="6181EF69"/>
    <w:multiLevelType w:val="hybridMultilevel"/>
    <w:lvl w:ilvl="0">
      <w:lvlJc w:val="left"/>
      <w:lvlText w:val="(%1)"/>
      <w:numFmt w:val="decimal"/>
      <w:start w:val="1"/>
    </w:lvl>
  </w:abstractNum>
  <w:abstractNum w:abstractNumId="156">
    <w:nsid w:val="3E6400E6"/>
    <w:multiLevelType w:val="hybridMultilevel"/>
    <w:lvl w:ilvl="0">
      <w:lvlJc w:val="left"/>
      <w:lvlText w:val="(%1)"/>
      <w:numFmt w:val="decimal"/>
      <w:start w:val="1"/>
    </w:lvl>
  </w:abstractNum>
  <w:abstractNum w:abstractNumId="157">
    <w:nsid w:val="14217E23"/>
    <w:multiLevelType w:val="hybridMultilevel"/>
    <w:lvl w:ilvl="0">
      <w:lvlJc w:val="left"/>
      <w:lvlText w:val="(%1)"/>
      <w:numFmt w:val="lowerLetter"/>
      <w:start w:val="1"/>
    </w:lvl>
  </w:abstractNum>
  <w:abstractNum w:abstractNumId="158">
    <w:nsid w:val="710757D0"/>
    <w:multiLevelType w:val="hybridMultilevel"/>
    <w:lvl w:ilvl="0">
      <w:lvlJc w:val="left"/>
      <w:lvlText w:val="%1."/>
      <w:numFmt w:val="decimal"/>
      <w:start w:val="1"/>
    </w:lvl>
  </w:abstractNum>
  <w:abstractNum w:abstractNumId="159">
    <w:nsid w:val="5015CD1A"/>
    <w:multiLevelType w:val="hybridMultilevel"/>
    <w:lvl w:ilvl="0">
      <w:lvlJc w:val="left"/>
      <w:lvlText w:val="%1."/>
      <w:numFmt w:val="decimal"/>
      <w:start w:val="2"/>
    </w:lvl>
  </w:abstractNum>
  <w:abstractNum w:abstractNumId="160">
    <w:nsid w:val="424479DA"/>
    <w:multiLevelType w:val="hybridMultilevel"/>
    <w:lvl w:ilvl="0">
      <w:lvlJc w:val="left"/>
      <w:lvlText w:val="•"/>
      <w:numFmt w:val="bullet"/>
      <w:start w:val="1"/>
    </w:lvl>
  </w:abstractNum>
  <w:abstractNum w:abstractNumId="161">
    <w:nsid w:val="1A9A9E69"/>
    <w:multiLevelType w:val="hybridMultilevel"/>
    <w:lvl w:ilvl="0">
      <w:lvlJc w:val="left"/>
      <w:lvlText w:val="•"/>
      <w:numFmt w:val="bullet"/>
      <w:start w:val="1"/>
    </w:lvl>
  </w:abstractNum>
  <w:abstractNum w:abstractNumId="162">
    <w:nsid w:val="475E256A"/>
    <w:multiLevelType w:val="hybridMultilevel"/>
    <w:lvl w:ilvl="0">
      <w:lvlJc w:val="left"/>
      <w:lvlText w:val="•"/>
      <w:numFmt w:val="bullet"/>
      <w:start w:val="1"/>
    </w:lvl>
  </w:abstractNum>
  <w:abstractNum w:abstractNumId="163">
    <w:nsid w:val="368DB37E"/>
    <w:multiLevelType w:val="hybridMultilevel"/>
    <w:lvl w:ilvl="0">
      <w:lvlJc w:val="left"/>
      <w:lvlText w:val="%1."/>
      <w:numFmt w:val="decimal"/>
      <w:start w:val="3"/>
    </w:lvl>
  </w:abstractNum>
  <w:abstractNum w:abstractNumId="164">
    <w:nsid w:val="6A3B714C"/>
    <w:multiLevelType w:val="hybridMultilevel"/>
    <w:lvl w:ilvl="0">
      <w:lvlJc w:val="left"/>
      <w:lvlText w:val="(%1)"/>
      <w:numFmt w:val="lowerRoman"/>
      <w:start w:val="1"/>
    </w:lvl>
  </w:abstractNum>
  <w:abstractNum w:abstractNumId="165">
    <w:nsid w:val="327B517E"/>
    <w:multiLevelType w:val="hybridMultilevel"/>
    <w:lvl w:ilvl="0">
      <w:lvlJc w:val="left"/>
      <w:lvlText w:val="(%1)"/>
      <w:numFmt w:val="decimal"/>
      <w:start w:val="1"/>
    </w:lvl>
  </w:abstractNum>
  <w:abstractNum w:abstractNumId="166">
    <w:nsid w:val="1F461B51"/>
    <w:multiLevelType w:val="hybridMultilevel"/>
    <w:lvl w:ilvl="0">
      <w:lvlJc w:val="left"/>
      <w:lvlText w:val="%1."/>
      <w:numFmt w:val="decimal"/>
      <w:start w:val="5"/>
    </w:lvl>
  </w:abstractNum>
  <w:abstractNum w:abstractNumId="167">
    <w:nsid w:val="29BACF25"/>
    <w:multiLevelType w:val="hybridMultilevel"/>
    <w:lvl w:ilvl="0">
      <w:lvlJc w:val="left"/>
      <w:lvlText w:val="%1."/>
      <w:numFmt w:val="decimal"/>
      <w:start w:val="6"/>
    </w:lvl>
  </w:abstractNum>
  <w:abstractNum w:abstractNumId="168">
    <w:nsid w:val="5D5BABB3"/>
    <w:multiLevelType w:val="hybridMultilevel"/>
    <w:lvl w:ilvl="0">
      <w:lvlJc w:val="left"/>
      <w:lvlText w:val="(%1)"/>
      <w:numFmt w:val="decimal"/>
      <w:start w:val="1"/>
    </w:lvl>
  </w:abstractNum>
  <w:abstractNum w:abstractNumId="169">
    <w:nsid w:val="51BF6B48"/>
    <w:multiLevelType w:val="hybridMultilevel"/>
    <w:lvl w:ilvl="0">
      <w:lvlJc w:val="left"/>
      <w:lvlText w:val="(%1)"/>
      <w:numFmt w:val="decimal"/>
      <w:start w:val="1"/>
    </w:lvl>
  </w:abstractNum>
  <w:abstractNum w:abstractNumId="170">
    <w:nsid w:val="7E0F6384"/>
    <w:multiLevelType w:val="hybridMultilevel"/>
    <w:lvl w:ilvl="0">
      <w:lvlJc w:val="left"/>
      <w:lvlText w:val="%1."/>
      <w:numFmt w:val="decimal"/>
      <w:start w:val="8"/>
    </w:lvl>
  </w:abstractNum>
  <w:abstractNum w:abstractNumId="171">
    <w:nsid w:val="2B4B8B53"/>
    <w:multiLevelType w:val="hybridMultilevel"/>
    <w:lvl w:ilvl="0">
      <w:lvlJc w:val="left"/>
      <w:lvlText w:val="(%1)"/>
      <w:numFmt w:val="decimal"/>
      <w:start w:val="1"/>
    </w:lvl>
  </w:abstractNum>
  <w:abstractNum w:abstractNumId="172">
    <w:nsid w:val="72E3413A"/>
    <w:multiLevelType w:val="hybridMultilevel"/>
    <w:lvl w:ilvl="0">
      <w:lvlJc w:val="left"/>
      <w:lvlText w:val="(%1)"/>
      <w:numFmt w:val="decimal"/>
      <w:start w:val="1"/>
    </w:lvl>
  </w:abstractNum>
  <w:abstractNum w:abstractNumId="173">
    <w:nsid w:val="116AE494"/>
    <w:multiLevelType w:val="hybridMultilevel"/>
    <w:lvl w:ilvl="0">
      <w:lvlJc w:val="left"/>
      <w:lvlText w:val="(%1)"/>
      <w:numFmt w:val="decimal"/>
      <w:start w:val="1"/>
    </w:lvl>
  </w:abstractNum>
  <w:abstractNum w:abstractNumId="174">
    <w:nsid w:val="3494B2FB"/>
    <w:multiLevelType w:val="hybridMultilevel"/>
    <w:lvl w:ilvl="0">
      <w:lvlJc w:val="left"/>
      <w:lvlText w:val="(%1)"/>
      <w:numFmt w:val="decimal"/>
      <w:start w:val="1"/>
    </w:lvl>
  </w:abstractNum>
  <w:abstractNum w:abstractNumId="175">
    <w:nsid w:val="B13A31"/>
    <w:multiLevelType w:val="hybridMultilevel"/>
    <w:lvl w:ilvl="0">
      <w:lvlJc w:val="left"/>
      <w:lvlText w:val="(%1)"/>
      <w:numFmt w:val="decimal"/>
      <w:start w:val="1"/>
    </w:lvl>
  </w:abstractNum>
  <w:abstractNum w:abstractNumId="176">
    <w:nsid w:val="64429599"/>
    <w:multiLevelType w:val="hybridMultilevel"/>
    <w:lvl w:ilvl="0">
      <w:lvlJc w:val="left"/>
      <w:lvlText w:val="%1"/>
      <w:numFmt w:val="upperLetter"/>
      <w:start w:val="53"/>
    </w:lvl>
  </w:abstractNum>
  <w:abstractNum w:abstractNumId="177">
    <w:nsid w:val="631F1690"/>
    <w:multiLevelType w:val="hybridMultilevel"/>
    <w:lvl w:ilvl="0">
      <w:lvlJc w:val="left"/>
      <w:lvlText w:val="%1"/>
      <w:numFmt w:val="upperLetter"/>
      <w:start w:val="27"/>
    </w:lvl>
  </w:abstractNum>
  <w:abstractNum w:abstractNumId="178">
    <w:nsid w:val="25973E32"/>
    <w:multiLevelType w:val="hybridMultilevel"/>
    <w:lvl w:ilvl="0">
      <w:lvlJc w:val="left"/>
      <w:lvlText w:val="%1"/>
      <w:numFmt w:val="upperLetter"/>
      <w:start w:val="54"/>
    </w:lvl>
  </w:abstractNum>
  <w:abstractNum w:abstractNumId="179">
    <w:nsid w:val="EAD6F57"/>
    <w:multiLevelType w:val="hybridMultilevel"/>
    <w:lvl w:ilvl="0">
      <w:lvlJc w:val="left"/>
      <w:lvlText w:val="%1"/>
      <w:numFmt w:val="upperLetter"/>
      <w:start w:val="28"/>
    </w:lvl>
  </w:abstractNum>
  <w:abstractNum w:abstractNumId="180">
    <w:nsid w:val="6EC9D844"/>
    <w:multiLevelType w:val="hybridMultilevel"/>
    <w:lvl w:ilvl="0">
      <w:lvlJc w:val="left"/>
      <w:lvlText w:val="%1"/>
      <w:numFmt w:val="upperLetter"/>
      <w:start w:val="55"/>
    </w:lvl>
  </w:abstractNum>
  <w:abstractNum w:abstractNumId="181">
    <w:nsid w:val="5C49EAEE"/>
    <w:multiLevelType w:val="hybridMultilevel"/>
    <w:lvl w:ilvl="0">
      <w:lvlJc w:val="left"/>
      <w:lvlText w:val="%1"/>
      <w:numFmt w:val="upperLetter"/>
      <w:start w:val="29"/>
    </w:lvl>
  </w:abstractNum>
  <w:abstractNum w:abstractNumId="182">
    <w:nsid w:val="64AF49B"/>
    <w:multiLevelType w:val="hybridMultilevel"/>
    <w:lvl w:ilvl="0">
      <w:lvlJc w:val="left"/>
      <w:lvlText w:val="%1"/>
      <w:numFmt w:val="upperLetter"/>
      <w:start w:val="53"/>
    </w:lvl>
  </w:abstractNum>
  <w:abstractNum w:abstractNumId="183">
    <w:nsid w:val="397C46BC"/>
    <w:multiLevelType w:val="hybridMultilevel"/>
    <w:lvl w:ilvl="0">
      <w:lvlJc w:val="left"/>
      <w:lvlText w:val="%1"/>
      <w:numFmt w:val="upperLetter"/>
      <w:start w:val="27"/>
    </w:lvl>
  </w:abstractNum>
  <w:abstractNum w:abstractNumId="184">
    <w:nsid w:val="7E448DE9"/>
    <w:multiLevelType w:val="hybridMultilevel"/>
    <w:lvl w:ilvl="0">
      <w:lvlJc w:val="left"/>
      <w:lvlText w:val="%1"/>
      <w:numFmt w:val="upperLetter"/>
      <w:start w:val="54"/>
    </w:lvl>
  </w:abstractNum>
  <w:abstractNum w:abstractNumId="185">
    <w:nsid w:val="5A9CC3E5"/>
    <w:multiLevelType w:val="hybridMultilevel"/>
    <w:lvl w:ilvl="0">
      <w:lvlJc w:val="left"/>
      <w:lvlText w:val="%1"/>
      <w:numFmt w:val="upperLetter"/>
      <w:start w:val="28"/>
    </w:lvl>
  </w:abstractNum>
  <w:abstractNum w:abstractNumId="186">
    <w:nsid w:val="1AFE3625"/>
    <w:multiLevelType w:val="hybridMultilevel"/>
    <w:lvl w:ilvl="0">
      <w:lvlJc w:val="left"/>
      <w:lvlText w:val="%1"/>
      <w:numFmt w:val="upperLetter"/>
      <w:start w:val="55"/>
    </w:lvl>
  </w:abstractNum>
  <w:abstractNum w:abstractNumId="187">
    <w:nsid w:val="3CA88ECF"/>
    <w:multiLevelType w:val="hybridMultilevel"/>
    <w:lvl w:ilvl="0">
      <w:lvlJc w:val="left"/>
      <w:lvlText w:val="%1"/>
      <w:numFmt w:val="upperLetter"/>
      <w:start w:val="29"/>
    </w:lvl>
  </w:abstractNum>
  <w:abstractNum w:abstractNumId="188">
    <w:nsid w:val="6EBE4208"/>
    <w:multiLevelType w:val="hybridMultilevel"/>
    <w:lvl w:ilvl="0">
      <w:lvlJc w:val="left"/>
      <w:lvlText w:val="(%1)"/>
      <w:numFmt w:val="decimal"/>
      <w:start w:val="2"/>
    </w:lvl>
  </w:abstractNum>
  <w:abstractNum w:abstractNumId="189">
    <w:nsid w:val="C058DF5"/>
    <w:multiLevelType w:val="hybridMultilevel"/>
    <w:lvl w:ilvl="0">
      <w:lvlJc w:val="left"/>
      <w:lvlText w:val="(%1)"/>
      <w:numFmt w:val="lowerLetter"/>
      <w:start w:val="1"/>
    </w:lvl>
  </w:abstractNum>
  <w:abstractNum w:abstractNumId="190">
    <w:nsid w:val="CBE5BE9"/>
    <w:multiLevelType w:val="hybridMultilevel"/>
    <w:lvl w:ilvl="0">
      <w:lvlJc w:val="left"/>
      <w:lvlText w:val="(%1)"/>
      <w:numFmt w:val="lowerLetter"/>
      <w:start w:val="5"/>
    </w:lvl>
  </w:abstractNum>
  <w:abstractNum w:abstractNumId="191">
    <w:nsid w:val="3102BBE2"/>
    <w:multiLevelType w:val="hybridMultilevel"/>
    <w:lvl w:ilvl="0">
      <w:lvlJc w:val="left"/>
      <w:lvlText w:val="(%1)"/>
      <w:numFmt w:val="lowerRoman"/>
      <w:start w:val="1"/>
    </w:lvl>
  </w:abstractNum>
  <w:abstractNum w:abstractNumId="192">
    <w:nsid w:val="26A02C5E"/>
    <w:multiLevelType w:val="hybridMultilevel"/>
    <w:lvl w:ilvl="0">
      <w:lvlJc w:val="left"/>
      <w:lvlText w:val="(%1)"/>
      <w:numFmt w:val="lowerLetter"/>
      <w:start w:val="12"/>
    </w:lvl>
  </w:abstractNum>
  <w:abstractNum w:abstractNumId="193">
    <w:nsid w:val="541C8153"/>
    <w:multiLevelType w:val="hybridMultilevel"/>
    <w:lvl w:ilvl="0">
      <w:lvlJc w:val="left"/>
      <w:lvlText w:val="(%1)"/>
      <w:numFmt w:val="lowerLetter"/>
      <w:start w:val="15"/>
    </w:lvl>
  </w:abstractNum>
  <w:abstractNum w:abstractNumId="194">
    <w:nsid w:val="67906F60"/>
    <w:multiLevelType w:val="hybridMultilevel"/>
    <w:lvl w:ilvl="0">
      <w:lvlJc w:val="left"/>
      <w:lvlText w:val="(%1)"/>
      <w:numFmt w:val="decimal"/>
      <w:start w:val="1"/>
    </w:lvl>
  </w:abstractNum>
  <w:abstractNum w:abstractNumId="195">
    <w:nsid w:val="10DB9DAA"/>
    <w:multiLevelType w:val="hybridMultilevel"/>
    <w:lvl w:ilvl="0">
      <w:lvlJc w:val="left"/>
      <w:lvlText w:val="(%1)"/>
      <w:numFmt w:val="decimal"/>
      <w:start w:val="1"/>
    </w:lvl>
  </w:abstractNum>
  <w:abstractNum w:abstractNumId="196">
    <w:nsid w:val="697D2D2"/>
    <w:multiLevelType w:val="hybridMultilevel"/>
    <w:lvl w:ilvl="0">
      <w:lvlJc w:val="left"/>
      <w:lvlText w:val="(%1)"/>
      <w:numFmt w:val="decimal"/>
      <w:start w:val="1"/>
    </w:lvl>
  </w:abstractNum>
  <w:abstractNum w:abstractNumId="197">
    <w:nsid w:val="6D68A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2019-12-08T00:29:24Z</dcterms:created>
  <dcterms:modified xsi:type="dcterms:W3CDTF">2019-12-08T00:29:24Z</dcterms:modified>
</cp:coreProperties>
</file>