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34" w:lineRule="exact"/>
        <w:rPr>
          <w:sz w:val="24"/>
          <w:szCs w:val="24"/>
          <w:color w:val="auto"/>
        </w:rPr>
      </w:pPr>
    </w:p>
    <w:p>
      <w:pPr>
        <w:jc w:val="center"/>
        <w:ind w:right="-79"/>
        <w:spacing w:after="0"/>
        <w:rPr>
          <w:sz w:val="20"/>
          <w:szCs w:val="20"/>
          <w:color w:val="auto"/>
        </w:rPr>
      </w:pPr>
      <w:r>
        <w:rPr>
          <w:rFonts w:ascii="Arial" w:cs="Arial" w:eastAsia="Arial" w:hAnsi="Arial"/>
          <w:sz w:val="22"/>
          <w:szCs w:val="22"/>
          <w:b w:val="1"/>
          <w:bCs w:val="1"/>
          <w:color w:val="auto"/>
        </w:rPr>
        <w:t>UNITED STATES</w:t>
      </w:r>
    </w:p>
    <w:p>
      <w:pPr>
        <w:jc w:val="center"/>
        <w:ind w:right="-79"/>
        <w:spacing w:after="0" w:line="218" w:lineRule="auto"/>
        <w:rPr>
          <w:sz w:val="20"/>
          <w:szCs w:val="20"/>
          <w:color w:val="auto"/>
        </w:rPr>
      </w:pPr>
      <w:r>
        <w:rPr>
          <w:rFonts w:ascii="Arial" w:cs="Arial" w:eastAsia="Arial" w:hAnsi="Arial"/>
          <w:sz w:val="22"/>
          <w:szCs w:val="22"/>
          <w:b w:val="1"/>
          <w:bCs w:val="1"/>
          <w:color w:val="auto"/>
        </w:rPr>
        <w:t>SECURITIES AND EXCHANGE COMMISSION</w:t>
      </w:r>
    </w:p>
    <w:p>
      <w:pPr>
        <w:jc w:val="center"/>
        <w:ind w:right="-79"/>
        <w:spacing w:after="0"/>
        <w:rPr>
          <w:sz w:val="20"/>
          <w:szCs w:val="20"/>
          <w:color w:val="auto"/>
        </w:rPr>
      </w:pPr>
      <w:r>
        <w:rPr>
          <w:rFonts w:ascii="Arial" w:cs="Arial" w:eastAsia="Arial" w:hAnsi="Arial"/>
          <w:sz w:val="22"/>
          <w:szCs w:val="22"/>
          <w:color w:val="auto"/>
        </w:rPr>
        <w:t>Washington, D.C. 20549</w:t>
      </w:r>
    </w:p>
    <w:p>
      <w:pPr>
        <w:spacing w:after="0" w:line="182" w:lineRule="exact"/>
        <w:rPr>
          <w:sz w:val="24"/>
          <w:szCs w:val="24"/>
          <w:color w:val="auto"/>
        </w:rPr>
      </w:pPr>
    </w:p>
    <w:p>
      <w:pPr>
        <w:jc w:val="center"/>
        <w:ind w:right="-79"/>
        <w:spacing w:after="0"/>
        <w:rPr>
          <w:sz w:val="20"/>
          <w:szCs w:val="20"/>
          <w:color w:val="auto"/>
        </w:rPr>
      </w:pPr>
      <w:r>
        <w:rPr>
          <w:rFonts w:ascii="Arial" w:cs="Arial" w:eastAsia="Arial" w:hAnsi="Arial"/>
          <w:sz w:val="22"/>
          <w:szCs w:val="22"/>
          <w:b w:val="1"/>
          <w:bCs w:val="1"/>
          <w:color w:val="auto"/>
        </w:rPr>
        <w:t>SCHEDULE 13G/A</w:t>
      </w:r>
    </w:p>
    <w:p>
      <w:pPr>
        <w:spacing w:after="0" w:line="1" w:lineRule="exact"/>
        <w:rPr>
          <w:sz w:val="24"/>
          <w:szCs w:val="24"/>
          <w:color w:val="auto"/>
        </w:rPr>
      </w:pPr>
    </w:p>
    <w:p>
      <w:pPr>
        <w:jc w:val="center"/>
        <w:ind w:right="-79"/>
        <w:spacing w:after="0"/>
        <w:rPr>
          <w:sz w:val="20"/>
          <w:szCs w:val="20"/>
          <w:color w:val="auto"/>
        </w:rPr>
      </w:pPr>
      <w:r>
        <w:rPr>
          <w:rFonts w:ascii="Arial" w:cs="Arial" w:eastAsia="Arial" w:hAnsi="Arial"/>
          <w:sz w:val="22"/>
          <w:szCs w:val="22"/>
          <w:b w:val="1"/>
          <w:bCs w:val="1"/>
          <w:color w:val="auto"/>
        </w:rPr>
        <w:t>Under the Securities Exchange Act of 1934</w:t>
      </w:r>
    </w:p>
    <w:p>
      <w:pPr>
        <w:spacing w:after="0" w:line="182" w:lineRule="exact"/>
        <w:rPr>
          <w:sz w:val="24"/>
          <w:szCs w:val="24"/>
          <w:color w:val="auto"/>
        </w:rPr>
      </w:pPr>
    </w:p>
    <w:p>
      <w:pPr>
        <w:jc w:val="center"/>
        <w:ind w:right="-79"/>
        <w:spacing w:after="0"/>
        <w:rPr>
          <w:sz w:val="20"/>
          <w:szCs w:val="20"/>
          <w:color w:val="auto"/>
        </w:rPr>
      </w:pPr>
      <w:r>
        <w:rPr>
          <w:rFonts w:ascii="Arial" w:cs="Arial" w:eastAsia="Arial" w:hAnsi="Arial"/>
          <w:sz w:val="22"/>
          <w:szCs w:val="22"/>
          <w:b w:val="1"/>
          <w:bCs w:val="1"/>
          <w:color w:val="auto"/>
        </w:rPr>
        <w:t>TPG SPECIALTY LENDING INC. (TSLX)</w:t>
      </w:r>
    </w:p>
    <w:p>
      <w:pPr>
        <w:spacing w:after="0" w:line="1" w:lineRule="exact"/>
        <w:rPr>
          <w:sz w:val="24"/>
          <w:szCs w:val="24"/>
          <w:color w:val="auto"/>
        </w:rPr>
      </w:pPr>
    </w:p>
    <w:p>
      <w:pPr>
        <w:jc w:val="center"/>
        <w:ind w:right="-79"/>
        <w:spacing w:after="0"/>
        <w:rPr>
          <w:sz w:val="20"/>
          <w:szCs w:val="20"/>
          <w:color w:val="auto"/>
        </w:rPr>
      </w:pPr>
      <w:r>
        <w:rPr>
          <w:rFonts w:ascii="Arial" w:cs="Arial" w:eastAsia="Arial" w:hAnsi="Arial"/>
          <w:sz w:val="22"/>
          <w:szCs w:val="22"/>
          <w:color w:val="auto"/>
        </w:rPr>
        <w:t>(Name of Issuer)</w:t>
      </w:r>
    </w:p>
    <w:p>
      <w:pPr>
        <w:spacing w:after="0" w:line="182" w:lineRule="exact"/>
        <w:rPr>
          <w:sz w:val="24"/>
          <w:szCs w:val="24"/>
          <w:color w:val="auto"/>
        </w:rPr>
      </w:pPr>
    </w:p>
    <w:p>
      <w:pPr>
        <w:jc w:val="center"/>
        <w:ind w:right="-79"/>
        <w:spacing w:after="0"/>
        <w:rPr>
          <w:sz w:val="20"/>
          <w:szCs w:val="20"/>
          <w:color w:val="auto"/>
        </w:rPr>
      </w:pPr>
      <w:r>
        <w:rPr>
          <w:rFonts w:ascii="Arial" w:cs="Arial" w:eastAsia="Arial" w:hAnsi="Arial"/>
          <w:sz w:val="22"/>
          <w:szCs w:val="22"/>
          <w:b w:val="1"/>
          <w:bCs w:val="1"/>
          <w:color w:val="auto"/>
        </w:rPr>
        <w:t>COM</w:t>
      </w:r>
    </w:p>
    <w:p>
      <w:pPr>
        <w:spacing w:after="0" w:line="1" w:lineRule="exact"/>
        <w:rPr>
          <w:sz w:val="24"/>
          <w:szCs w:val="24"/>
          <w:color w:val="auto"/>
        </w:rPr>
      </w:pPr>
    </w:p>
    <w:p>
      <w:pPr>
        <w:jc w:val="center"/>
        <w:ind w:right="-79"/>
        <w:spacing w:after="0"/>
        <w:rPr>
          <w:sz w:val="20"/>
          <w:szCs w:val="20"/>
          <w:color w:val="auto"/>
        </w:rPr>
      </w:pPr>
      <w:r>
        <w:rPr>
          <w:rFonts w:ascii="Arial" w:cs="Arial" w:eastAsia="Arial" w:hAnsi="Arial"/>
          <w:sz w:val="22"/>
          <w:szCs w:val="22"/>
          <w:color w:val="auto"/>
        </w:rPr>
        <w:t>(Title of Class of Securities)</w:t>
      </w:r>
    </w:p>
    <w:p>
      <w:pPr>
        <w:spacing w:after="0" w:line="182" w:lineRule="exact"/>
        <w:rPr>
          <w:sz w:val="24"/>
          <w:szCs w:val="24"/>
          <w:color w:val="auto"/>
        </w:rPr>
      </w:pPr>
    </w:p>
    <w:p>
      <w:pPr>
        <w:jc w:val="center"/>
        <w:ind w:right="-79"/>
        <w:spacing w:after="0"/>
        <w:rPr>
          <w:sz w:val="20"/>
          <w:szCs w:val="20"/>
          <w:color w:val="auto"/>
        </w:rPr>
      </w:pPr>
      <w:r>
        <w:rPr>
          <w:rFonts w:ascii="Arial" w:cs="Arial" w:eastAsia="Arial" w:hAnsi="Arial"/>
          <w:sz w:val="22"/>
          <w:szCs w:val="22"/>
          <w:b w:val="1"/>
          <w:bCs w:val="1"/>
          <w:color w:val="auto"/>
        </w:rPr>
        <w:t>87265K102</w:t>
      </w:r>
    </w:p>
    <w:p>
      <w:pPr>
        <w:spacing w:after="0" w:line="1" w:lineRule="exact"/>
        <w:rPr>
          <w:sz w:val="24"/>
          <w:szCs w:val="24"/>
          <w:color w:val="auto"/>
        </w:rPr>
      </w:pPr>
    </w:p>
    <w:p>
      <w:pPr>
        <w:jc w:val="center"/>
        <w:ind w:right="-79"/>
        <w:spacing w:after="0"/>
        <w:rPr>
          <w:sz w:val="20"/>
          <w:szCs w:val="20"/>
          <w:color w:val="auto"/>
        </w:rPr>
      </w:pPr>
      <w:r>
        <w:rPr>
          <w:rFonts w:ascii="Arial" w:cs="Arial" w:eastAsia="Arial" w:hAnsi="Arial"/>
          <w:sz w:val="22"/>
          <w:szCs w:val="22"/>
          <w:color w:val="auto"/>
        </w:rPr>
        <w:t>(CUSIP Number)</w:t>
      </w:r>
    </w:p>
    <w:p>
      <w:pPr>
        <w:spacing w:after="0" w:line="182" w:lineRule="exact"/>
        <w:rPr>
          <w:sz w:val="24"/>
          <w:szCs w:val="24"/>
          <w:color w:val="auto"/>
        </w:rPr>
      </w:pPr>
    </w:p>
    <w:p>
      <w:pPr>
        <w:jc w:val="center"/>
        <w:ind w:right="-79"/>
        <w:spacing w:after="0"/>
        <w:rPr>
          <w:sz w:val="20"/>
          <w:szCs w:val="20"/>
          <w:color w:val="auto"/>
        </w:rPr>
      </w:pPr>
      <w:r>
        <w:rPr>
          <w:rFonts w:ascii="Arial" w:cs="Arial" w:eastAsia="Arial" w:hAnsi="Arial"/>
          <w:sz w:val="22"/>
          <w:szCs w:val="22"/>
          <w:b w:val="1"/>
          <w:bCs w:val="1"/>
          <w:color w:val="auto"/>
        </w:rPr>
        <w:t>12/31/2019</w:t>
      </w:r>
    </w:p>
    <w:p>
      <w:pPr>
        <w:spacing w:after="0" w:line="1" w:lineRule="exact"/>
        <w:rPr>
          <w:sz w:val="24"/>
          <w:szCs w:val="24"/>
          <w:color w:val="auto"/>
        </w:rPr>
      </w:pPr>
    </w:p>
    <w:p>
      <w:pPr>
        <w:jc w:val="center"/>
        <w:ind w:right="-79"/>
        <w:spacing w:after="0"/>
        <w:rPr>
          <w:sz w:val="20"/>
          <w:szCs w:val="20"/>
          <w:color w:val="auto"/>
        </w:rPr>
      </w:pPr>
      <w:r>
        <w:rPr>
          <w:rFonts w:ascii="Arial" w:cs="Arial" w:eastAsia="Arial" w:hAnsi="Arial"/>
          <w:sz w:val="22"/>
          <w:szCs w:val="22"/>
          <w:color w:val="auto"/>
        </w:rPr>
        <w:t>(Date of Event Which Requires Filing of this Statement)</w:t>
      </w:r>
    </w:p>
    <w:p>
      <w:pPr>
        <w:spacing w:after="0" w:line="134" w:lineRule="exact"/>
        <w:rPr>
          <w:sz w:val="24"/>
          <w:szCs w:val="24"/>
          <w:color w:val="auto"/>
        </w:rPr>
      </w:pPr>
    </w:p>
    <w:p>
      <w:pPr>
        <w:ind w:left="60"/>
        <w:spacing w:after="0"/>
        <w:rPr>
          <w:sz w:val="20"/>
          <w:szCs w:val="20"/>
          <w:color w:val="auto"/>
        </w:rPr>
      </w:pPr>
      <w:r>
        <w:rPr>
          <w:rFonts w:ascii="Arial" w:cs="Arial" w:eastAsia="Arial" w:hAnsi="Arial"/>
          <w:sz w:val="22"/>
          <w:szCs w:val="22"/>
          <w:color w:val="auto"/>
        </w:rPr>
        <w:t>________________________________________________________________________________</w:t>
      </w:r>
    </w:p>
    <w:p>
      <w:pPr>
        <w:spacing w:after="0" w:line="206" w:lineRule="exact"/>
        <w:rPr>
          <w:sz w:val="24"/>
          <w:szCs w:val="24"/>
          <w:color w:val="auto"/>
        </w:rPr>
      </w:pPr>
    </w:p>
    <w:p>
      <w:pPr>
        <w:spacing w:after="0"/>
        <w:rPr>
          <w:sz w:val="20"/>
          <w:szCs w:val="20"/>
          <w:color w:val="auto"/>
        </w:rPr>
      </w:pPr>
      <w:r>
        <w:rPr>
          <w:rFonts w:ascii="Arial" w:cs="Arial" w:eastAsia="Arial" w:hAnsi="Arial"/>
          <w:sz w:val="22"/>
          <w:szCs w:val="22"/>
          <w:color w:val="auto"/>
        </w:rPr>
        <w:t>Check the appropriate box to designate the rule pursuant to which this Schedule is filed:</w:t>
      </w:r>
    </w:p>
    <w:p>
      <w:pPr>
        <w:spacing w:after="0" w:line="206" w:lineRule="exact"/>
        <w:rPr>
          <w:sz w:val="24"/>
          <w:szCs w:val="24"/>
          <w:color w:val="auto"/>
        </w:rPr>
      </w:pPr>
    </w:p>
    <w:p>
      <w:pPr>
        <w:jc w:val="both"/>
        <w:ind w:right="9820" w:firstLine="8"/>
        <w:spacing w:after="0" w:line="504" w:lineRule="auto"/>
        <w:tabs>
          <w:tab w:leader="none" w:pos="306" w:val="left"/>
        </w:tabs>
        <w:numPr>
          <w:ilvl w:val="0"/>
          <w:numId w:val="1"/>
        </w:numPr>
        <w:rPr>
          <w:rFonts w:ascii="Arial" w:cs="Arial" w:eastAsia="Arial" w:hAnsi="Arial"/>
          <w:sz w:val="19"/>
          <w:szCs w:val="19"/>
          <w:color w:val="auto"/>
        </w:rPr>
      </w:pPr>
      <w:r>
        <w:rPr>
          <w:rFonts w:ascii="Arial" w:cs="Arial" w:eastAsia="Arial" w:hAnsi="Arial"/>
          <w:sz w:val="19"/>
          <w:szCs w:val="19"/>
          <w:color w:val="auto"/>
        </w:rPr>
        <w:t>Rule 13d-1(b) [ ] Rule 13d-1(c)</w:t>
      </w:r>
    </w:p>
    <w:p>
      <w:pPr>
        <w:spacing w:after="0"/>
        <w:rPr>
          <w:rFonts w:ascii="Arial" w:cs="Arial" w:eastAsia="Arial" w:hAnsi="Arial"/>
          <w:sz w:val="19"/>
          <w:szCs w:val="19"/>
          <w:color w:val="auto"/>
        </w:rPr>
      </w:pPr>
      <w:r>
        <w:rPr>
          <w:rFonts w:ascii="Arial" w:cs="Arial" w:eastAsia="Arial" w:hAnsi="Arial"/>
          <w:sz w:val="22"/>
          <w:szCs w:val="22"/>
          <w:color w:val="auto"/>
        </w:rPr>
        <w:t>[ ] Rule 13d-1(d)</w:t>
      </w:r>
    </w:p>
    <w:p>
      <w:pPr>
        <w:spacing w:after="0" w:line="206" w:lineRule="exact"/>
        <w:rPr>
          <w:sz w:val="24"/>
          <w:szCs w:val="24"/>
          <w:color w:val="auto"/>
        </w:rPr>
      </w:pPr>
    </w:p>
    <w:p>
      <w:pPr>
        <w:ind w:firstLine="8"/>
        <w:spacing w:after="0"/>
        <w:tabs>
          <w:tab w:leader="none" w:pos="162" w:val="left"/>
        </w:tabs>
        <w:numPr>
          <w:ilvl w:val="0"/>
          <w:numId w:val="2"/>
        </w:numPr>
        <w:rPr>
          <w:rFonts w:ascii="Arial" w:cs="Arial" w:eastAsia="Arial" w:hAnsi="Arial"/>
          <w:sz w:val="22"/>
          <w:szCs w:val="22"/>
          <w:color w:val="auto"/>
        </w:rPr>
      </w:pPr>
      <w:r>
        <w:rPr>
          <w:rFonts w:ascii="Arial" w:cs="Arial" w:eastAsia="Arial" w:hAnsi="Arial"/>
          <w:sz w:val="22"/>
          <w:szCs w:val="22"/>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86" w:lineRule="exact"/>
        <w:rPr>
          <w:sz w:val="24"/>
          <w:szCs w:val="24"/>
          <w:color w:val="auto"/>
        </w:rPr>
      </w:pPr>
    </w:p>
    <w:p>
      <w:pPr>
        <w:ind w:right="100"/>
        <w:spacing w:after="0" w:line="219" w:lineRule="auto"/>
        <w:rPr>
          <w:sz w:val="20"/>
          <w:szCs w:val="20"/>
          <w:color w:val="auto"/>
        </w:rPr>
      </w:pPr>
      <w:r>
        <w:rPr>
          <w:rFonts w:ascii="Arial" w:cs="Arial" w:eastAsia="Arial" w:hAnsi="Arial"/>
          <w:sz w:val="22"/>
          <w:szCs w:val="22"/>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1" w:lineRule="exact"/>
        <w:rPr>
          <w:sz w:val="24"/>
          <w:szCs w:val="24"/>
          <w:color w:val="auto"/>
        </w:rPr>
      </w:pPr>
    </w:p>
    <w:p>
      <w:pPr>
        <w:ind w:left="60"/>
        <w:spacing w:after="0"/>
        <w:rPr>
          <w:sz w:val="20"/>
          <w:szCs w:val="20"/>
          <w:color w:val="auto"/>
        </w:rPr>
      </w:pPr>
      <w:r>
        <w:rPr>
          <w:rFonts w:ascii="Arial" w:cs="Arial" w:eastAsia="Arial" w:hAnsi="Arial"/>
          <w:sz w:val="22"/>
          <w:szCs w:val="22"/>
          <w:color w:val="auto"/>
        </w:rPr>
        <w:t>________________________________________________________________________________</w:t>
      </w:r>
    </w:p>
    <w:p>
      <w:pPr>
        <w:spacing w:after="0" w:line="188" w:lineRule="exact"/>
        <w:rPr>
          <w:sz w:val="24"/>
          <w:szCs w:val="24"/>
          <w:color w:val="auto"/>
        </w:rPr>
      </w:pPr>
    </w:p>
    <w:p>
      <w:pPr>
        <w:spacing w:after="0"/>
        <w:rPr>
          <w:sz w:val="20"/>
          <w:szCs w:val="20"/>
          <w:color w:val="auto"/>
        </w:rPr>
      </w:pPr>
      <w:r>
        <w:rPr>
          <w:rFonts w:ascii="Arial" w:cs="Arial" w:eastAsia="Arial" w:hAnsi="Arial"/>
          <w:sz w:val="22"/>
          <w:szCs w:val="22"/>
          <w:color w:val="auto"/>
        </w:rPr>
        <w:t>1) Names of Reporting Persons, IRS Identification Nos. of Above Persons:</w:t>
      </w:r>
    </w:p>
    <w:p>
      <w:pPr>
        <w:spacing w:after="0" w:line="160" w:lineRule="exact"/>
        <w:rPr>
          <w:sz w:val="24"/>
          <w:szCs w:val="24"/>
          <w:color w:val="auto"/>
        </w:rPr>
      </w:pPr>
    </w:p>
    <w:p>
      <w:pPr>
        <w:ind w:left="380"/>
        <w:spacing w:after="0"/>
        <w:rPr>
          <w:sz w:val="20"/>
          <w:szCs w:val="20"/>
          <w:color w:val="auto"/>
        </w:rPr>
      </w:pPr>
      <w:r>
        <w:rPr>
          <w:rFonts w:ascii="Arial" w:cs="Arial" w:eastAsia="Arial" w:hAnsi="Arial"/>
          <w:sz w:val="22"/>
          <w:szCs w:val="22"/>
          <w:color w:val="auto"/>
        </w:rPr>
        <w:t>OTR - Nominee Name for The State Teachers Retirement Board of Ohio, 31640-1810</w:t>
      </w:r>
    </w:p>
    <w:p>
      <w:pPr>
        <w:ind w:left="60"/>
        <w:spacing w:after="0"/>
        <w:rPr>
          <w:sz w:val="20"/>
          <w:szCs w:val="20"/>
          <w:color w:val="auto"/>
        </w:rPr>
      </w:pPr>
      <w:r>
        <w:rPr>
          <w:rFonts w:ascii="Arial" w:cs="Arial" w:eastAsia="Arial" w:hAnsi="Arial"/>
          <w:sz w:val="22"/>
          <w:szCs w:val="22"/>
          <w:color w:val="auto"/>
        </w:rPr>
        <w:t>________________________________________________________________________________</w:t>
      </w:r>
    </w:p>
    <w:p>
      <w:pPr>
        <w:spacing w:after="0" w:line="142" w:lineRule="exact"/>
        <w:rPr>
          <w:sz w:val="24"/>
          <w:szCs w:val="24"/>
          <w:color w:val="auto"/>
        </w:rPr>
      </w:pPr>
    </w:p>
    <w:p>
      <w:pPr>
        <w:spacing w:after="0"/>
        <w:tabs>
          <w:tab w:leader="none" w:pos="5640" w:val="left"/>
        </w:tabs>
        <w:rPr>
          <w:sz w:val="20"/>
          <w:szCs w:val="20"/>
          <w:color w:val="auto"/>
        </w:rPr>
      </w:pPr>
      <w:r>
        <w:rPr>
          <w:rFonts w:ascii="Arial" w:cs="Arial" w:eastAsia="Arial" w:hAnsi="Arial"/>
          <w:sz w:val="22"/>
          <w:szCs w:val="22"/>
          <w:color w:val="auto"/>
        </w:rPr>
        <w:t>2) Check the appropriate box if a member of a group* (a) [_]</w:t>
      </w:r>
      <w:r>
        <w:rPr>
          <w:sz w:val="20"/>
          <w:szCs w:val="20"/>
          <w:color w:val="auto"/>
        </w:rPr>
        <w:tab/>
      </w:r>
      <w:r>
        <w:rPr>
          <w:rFonts w:ascii="Arial" w:cs="Arial" w:eastAsia="Arial" w:hAnsi="Arial"/>
          <w:sz w:val="21"/>
          <w:szCs w:val="21"/>
          <w:color w:val="auto"/>
        </w:rPr>
        <w:t>(b) [_]</w:t>
      </w:r>
    </w:p>
    <w:p>
      <w:pPr>
        <w:ind w:left="60"/>
        <w:spacing w:after="0"/>
        <w:rPr>
          <w:sz w:val="20"/>
          <w:szCs w:val="20"/>
          <w:color w:val="auto"/>
        </w:rPr>
      </w:pPr>
      <w:r>
        <w:rPr>
          <w:rFonts w:ascii="Arial" w:cs="Arial" w:eastAsia="Arial" w:hAnsi="Arial"/>
          <w:sz w:val="22"/>
          <w:szCs w:val="22"/>
          <w:color w:val="auto"/>
        </w:rPr>
        <w:t>________________________________________________________________________________</w:t>
      </w:r>
    </w:p>
    <w:p>
      <w:pPr>
        <w:spacing w:after="0" w:line="142" w:lineRule="exact"/>
        <w:rPr>
          <w:sz w:val="24"/>
          <w:szCs w:val="24"/>
          <w:color w:val="auto"/>
        </w:rPr>
      </w:pPr>
    </w:p>
    <w:p>
      <w:pPr>
        <w:ind w:left="240" w:hanging="232"/>
        <w:spacing w:after="0"/>
        <w:tabs>
          <w:tab w:leader="none" w:pos="240" w:val="left"/>
        </w:tabs>
        <w:numPr>
          <w:ilvl w:val="0"/>
          <w:numId w:val="3"/>
        </w:numPr>
        <w:rPr>
          <w:rFonts w:ascii="Arial" w:cs="Arial" w:eastAsia="Arial" w:hAnsi="Arial"/>
          <w:sz w:val="22"/>
          <w:szCs w:val="22"/>
          <w:color w:val="auto"/>
        </w:rPr>
      </w:pPr>
      <w:r>
        <w:rPr>
          <w:rFonts w:ascii="Arial" w:cs="Arial" w:eastAsia="Arial" w:hAnsi="Arial"/>
          <w:sz w:val="22"/>
          <w:szCs w:val="22"/>
          <w:color w:val="auto"/>
        </w:rPr>
        <w:t>SEC Use Only</w:t>
      </w:r>
    </w:p>
    <w:p>
      <w:pPr>
        <w:ind w:left="60"/>
        <w:spacing w:after="0"/>
        <w:rPr>
          <w:rFonts w:ascii="Arial" w:cs="Arial" w:eastAsia="Arial" w:hAnsi="Arial"/>
          <w:sz w:val="22"/>
          <w:szCs w:val="22"/>
          <w:color w:val="auto"/>
        </w:rPr>
      </w:pPr>
      <w:r>
        <w:rPr>
          <w:rFonts w:ascii="Arial" w:cs="Arial" w:eastAsia="Arial" w:hAnsi="Arial"/>
          <w:sz w:val="22"/>
          <w:szCs w:val="22"/>
          <w:color w:val="auto"/>
        </w:rPr>
        <w:t>________________________________________________________________________________</w:t>
      </w:r>
    </w:p>
    <w:p>
      <w:pPr>
        <w:spacing w:after="0" w:line="188" w:lineRule="exact"/>
        <w:rPr>
          <w:rFonts w:ascii="Arial" w:cs="Arial" w:eastAsia="Arial" w:hAnsi="Arial"/>
          <w:sz w:val="22"/>
          <w:szCs w:val="22"/>
          <w:color w:val="auto"/>
        </w:rPr>
      </w:pPr>
    </w:p>
    <w:p>
      <w:pPr>
        <w:ind w:left="240" w:hanging="232"/>
        <w:spacing w:after="0"/>
        <w:tabs>
          <w:tab w:leader="none" w:pos="240" w:val="left"/>
        </w:tabs>
        <w:numPr>
          <w:ilvl w:val="0"/>
          <w:numId w:val="3"/>
        </w:numPr>
        <w:rPr>
          <w:rFonts w:ascii="Arial" w:cs="Arial" w:eastAsia="Arial" w:hAnsi="Arial"/>
          <w:sz w:val="22"/>
          <w:szCs w:val="22"/>
          <w:color w:val="auto"/>
        </w:rPr>
      </w:pPr>
      <w:r>
        <w:rPr>
          <w:rFonts w:ascii="Arial" w:cs="Arial" w:eastAsia="Arial" w:hAnsi="Arial"/>
          <w:sz w:val="22"/>
          <w:szCs w:val="22"/>
          <w:color w:val="auto"/>
        </w:rPr>
        <w:t>Citizenship or Place of Organization</w:t>
      </w:r>
    </w:p>
    <w:p>
      <w:pPr>
        <w:spacing w:after="0" w:line="164" w:lineRule="exact"/>
        <w:rPr>
          <w:sz w:val="24"/>
          <w:szCs w:val="24"/>
          <w:color w:val="auto"/>
        </w:rPr>
      </w:pPr>
    </w:p>
    <w:tbl>
      <w:tblPr>
        <w:tblLayout w:type="fixed"/>
        <w:tblInd w:w="0" w:type="dxa"/>
        <w:tblCellMar>
          <w:top w:w="0" w:type="dxa"/>
          <w:left w:w="0" w:type="dxa"/>
          <w:bottom w:w="0" w:type="dxa"/>
          <w:right w:w="0" w:type="dxa"/>
        </w:tblCellMar>
      </w:tblPr>
      <w:tr>
        <w:trPr>
          <w:trHeight w:val="253"/>
        </w:trPr>
        <w:tc>
          <w:tcPr>
            <w:tcW w:w="220" w:type="dxa"/>
            <w:vAlign w:val="bottom"/>
          </w:tcPr>
          <w:p>
            <w:pPr>
              <w:spacing w:after="0"/>
              <w:rPr>
                <w:sz w:val="21"/>
                <w:szCs w:val="21"/>
                <w:color w:val="auto"/>
              </w:rPr>
            </w:pPr>
          </w:p>
        </w:tc>
        <w:tc>
          <w:tcPr>
            <w:tcW w:w="1860" w:type="dxa"/>
            <w:vAlign w:val="bottom"/>
          </w:tcPr>
          <w:p>
            <w:pPr>
              <w:ind w:left="160"/>
              <w:spacing w:after="0"/>
              <w:rPr>
                <w:sz w:val="20"/>
                <w:szCs w:val="20"/>
                <w:color w:val="auto"/>
              </w:rPr>
            </w:pPr>
            <w:r>
              <w:rPr>
                <w:rFonts w:ascii="Arial" w:cs="Arial" w:eastAsia="Arial" w:hAnsi="Arial"/>
                <w:sz w:val="22"/>
                <w:szCs w:val="22"/>
                <w:color w:val="auto"/>
              </w:rPr>
              <w:t>Columbus, Ohio</w:t>
            </w:r>
          </w:p>
        </w:tc>
        <w:tc>
          <w:tcPr>
            <w:tcW w:w="400" w:type="dxa"/>
            <w:vAlign w:val="bottom"/>
          </w:tcPr>
          <w:p>
            <w:pPr>
              <w:spacing w:after="0"/>
              <w:rPr>
                <w:sz w:val="21"/>
                <w:szCs w:val="21"/>
                <w:color w:val="auto"/>
              </w:rPr>
            </w:pPr>
          </w:p>
        </w:tc>
        <w:tc>
          <w:tcPr>
            <w:tcW w:w="3800" w:type="dxa"/>
            <w:vAlign w:val="bottom"/>
          </w:tcPr>
          <w:p>
            <w:pPr>
              <w:spacing w:after="0"/>
              <w:rPr>
                <w:sz w:val="21"/>
                <w:szCs w:val="21"/>
                <w:color w:val="auto"/>
              </w:rPr>
            </w:pPr>
          </w:p>
        </w:tc>
        <w:tc>
          <w:tcPr>
            <w:tcW w:w="2420" w:type="dxa"/>
            <w:vAlign w:val="bottom"/>
          </w:tcPr>
          <w:p>
            <w:pPr>
              <w:spacing w:after="0"/>
              <w:rPr>
                <w:sz w:val="21"/>
                <w:szCs w:val="21"/>
                <w:color w:val="auto"/>
              </w:rPr>
            </w:pPr>
          </w:p>
        </w:tc>
      </w:tr>
      <w:tr>
        <w:trPr>
          <w:trHeight w:val="275"/>
        </w:trPr>
        <w:tc>
          <w:tcPr>
            <w:tcW w:w="8700" w:type="dxa"/>
            <w:vAlign w:val="bottom"/>
            <w:gridSpan w:val="5"/>
          </w:tcPr>
          <w:p>
            <w:pPr>
              <w:ind w:left="60"/>
              <w:spacing w:after="0"/>
              <w:rPr>
                <w:sz w:val="20"/>
                <w:szCs w:val="20"/>
                <w:color w:val="auto"/>
              </w:rPr>
            </w:pPr>
            <w:r>
              <w:rPr>
                <w:rFonts w:ascii="Arial" w:cs="Arial" w:eastAsia="Arial" w:hAnsi="Arial"/>
                <w:sz w:val="22"/>
                <w:szCs w:val="22"/>
                <w:color w:val="auto"/>
                <w:w w:val="88"/>
              </w:rPr>
              <w:t>________________________________________________________________________________</w:t>
            </w:r>
          </w:p>
        </w:tc>
      </w:tr>
      <w:tr>
        <w:trPr>
          <w:trHeight w:val="438"/>
        </w:trPr>
        <w:tc>
          <w:tcPr>
            <w:tcW w:w="6280" w:type="dxa"/>
            <w:vAlign w:val="bottom"/>
            <w:gridSpan w:val="4"/>
          </w:tcPr>
          <w:p>
            <w:pPr>
              <w:spacing w:after="0"/>
              <w:rPr>
                <w:sz w:val="20"/>
                <w:szCs w:val="20"/>
                <w:color w:val="auto"/>
              </w:rPr>
            </w:pPr>
            <w:r>
              <w:rPr>
                <w:rFonts w:ascii="Arial" w:cs="Arial" w:eastAsia="Arial" w:hAnsi="Arial"/>
                <w:sz w:val="22"/>
                <w:szCs w:val="22"/>
                <w:color w:val="auto"/>
                <w:w w:val="91"/>
              </w:rPr>
              <w:t>Number of Shares Beneficially Owned by Each Reporting Person With</w:t>
            </w:r>
          </w:p>
        </w:tc>
        <w:tc>
          <w:tcPr>
            <w:tcW w:w="2420" w:type="dxa"/>
            <w:vAlign w:val="bottom"/>
          </w:tcPr>
          <w:p>
            <w:pPr>
              <w:spacing w:after="0"/>
              <w:rPr>
                <w:sz w:val="24"/>
                <w:szCs w:val="24"/>
                <w:color w:val="auto"/>
              </w:rPr>
            </w:pPr>
          </w:p>
        </w:tc>
      </w:tr>
      <w:tr>
        <w:trPr>
          <w:trHeight w:val="459"/>
        </w:trPr>
        <w:tc>
          <w:tcPr>
            <w:tcW w:w="220" w:type="dxa"/>
            <w:vAlign w:val="bottom"/>
          </w:tcPr>
          <w:p>
            <w:pPr>
              <w:spacing w:after="0"/>
              <w:rPr>
                <w:sz w:val="20"/>
                <w:szCs w:val="20"/>
                <w:color w:val="auto"/>
              </w:rPr>
            </w:pPr>
            <w:r>
              <w:rPr>
                <w:rFonts w:ascii="Arial" w:cs="Arial" w:eastAsia="Arial" w:hAnsi="Arial"/>
                <w:sz w:val="22"/>
                <w:szCs w:val="22"/>
                <w:color w:val="auto"/>
              </w:rPr>
              <w:t>5)</w:t>
            </w:r>
          </w:p>
        </w:tc>
        <w:tc>
          <w:tcPr>
            <w:tcW w:w="1860" w:type="dxa"/>
            <w:vAlign w:val="bottom"/>
          </w:tcPr>
          <w:p>
            <w:pPr>
              <w:ind w:left="20"/>
              <w:spacing w:after="0"/>
              <w:rPr>
                <w:sz w:val="20"/>
                <w:szCs w:val="20"/>
                <w:color w:val="auto"/>
              </w:rPr>
            </w:pPr>
            <w:r>
              <w:rPr>
                <w:rFonts w:ascii="Arial" w:cs="Arial" w:eastAsia="Arial" w:hAnsi="Arial"/>
                <w:sz w:val="22"/>
                <w:szCs w:val="22"/>
                <w:color w:val="auto"/>
              </w:rPr>
              <w:t>Sole Voting Power</w:t>
            </w:r>
          </w:p>
        </w:tc>
        <w:tc>
          <w:tcPr>
            <w:tcW w:w="4200" w:type="dxa"/>
            <w:vAlign w:val="bottom"/>
            <w:gridSpan w:val="2"/>
          </w:tcPr>
          <w:p>
            <w:pPr>
              <w:jc w:val="right"/>
              <w:ind w:right="2792"/>
              <w:spacing w:after="0"/>
              <w:rPr>
                <w:sz w:val="20"/>
                <w:szCs w:val="20"/>
                <w:color w:val="auto"/>
              </w:rPr>
            </w:pPr>
            <w:r>
              <w:rPr>
                <w:rFonts w:ascii="Arial" w:cs="Arial" w:eastAsia="Arial" w:hAnsi="Arial"/>
                <w:sz w:val="22"/>
                <w:szCs w:val="22"/>
                <w:color w:val="auto"/>
                <w:w w:val="87"/>
              </w:rPr>
              <w:t>5,749,65 9.000</w:t>
            </w:r>
          </w:p>
        </w:tc>
        <w:tc>
          <w:tcPr>
            <w:tcW w:w="2420" w:type="dxa"/>
            <w:vAlign w:val="bottom"/>
          </w:tcPr>
          <w:p>
            <w:pPr>
              <w:spacing w:after="0"/>
              <w:rPr>
                <w:sz w:val="24"/>
                <w:szCs w:val="24"/>
                <w:color w:val="auto"/>
              </w:rPr>
            </w:pPr>
          </w:p>
        </w:tc>
      </w:tr>
      <w:tr>
        <w:trPr>
          <w:trHeight w:val="459"/>
        </w:trPr>
        <w:tc>
          <w:tcPr>
            <w:tcW w:w="220" w:type="dxa"/>
            <w:vAlign w:val="bottom"/>
          </w:tcPr>
          <w:p>
            <w:pPr>
              <w:spacing w:after="0"/>
              <w:rPr>
                <w:sz w:val="20"/>
                <w:szCs w:val="20"/>
                <w:color w:val="auto"/>
              </w:rPr>
            </w:pPr>
            <w:r>
              <w:rPr>
                <w:rFonts w:ascii="Arial" w:cs="Arial" w:eastAsia="Arial" w:hAnsi="Arial"/>
                <w:sz w:val="22"/>
                <w:szCs w:val="22"/>
                <w:color w:val="auto"/>
              </w:rPr>
              <w:t>6)</w:t>
            </w:r>
          </w:p>
        </w:tc>
        <w:tc>
          <w:tcPr>
            <w:tcW w:w="1860" w:type="dxa"/>
            <w:vAlign w:val="bottom"/>
          </w:tcPr>
          <w:p>
            <w:pPr>
              <w:ind w:left="20"/>
              <w:spacing w:after="0"/>
              <w:rPr>
                <w:sz w:val="20"/>
                <w:szCs w:val="20"/>
                <w:color w:val="auto"/>
              </w:rPr>
            </w:pPr>
            <w:r>
              <w:rPr>
                <w:rFonts w:ascii="Arial" w:cs="Arial" w:eastAsia="Arial" w:hAnsi="Arial"/>
                <w:sz w:val="22"/>
                <w:szCs w:val="22"/>
                <w:color w:val="auto"/>
                <w:w w:val="87"/>
              </w:rPr>
              <w:t>Shared Voting Power</w:t>
            </w:r>
          </w:p>
        </w:tc>
        <w:tc>
          <w:tcPr>
            <w:tcW w:w="400" w:type="dxa"/>
            <w:vAlign w:val="bottom"/>
          </w:tcPr>
          <w:p>
            <w:pPr>
              <w:jc w:val="right"/>
              <w:spacing w:after="0"/>
              <w:rPr>
                <w:sz w:val="20"/>
                <w:szCs w:val="20"/>
                <w:color w:val="auto"/>
              </w:rPr>
            </w:pPr>
            <w:r>
              <w:rPr>
                <w:rFonts w:ascii="Arial" w:cs="Arial" w:eastAsia="Arial" w:hAnsi="Arial"/>
                <w:sz w:val="22"/>
                <w:szCs w:val="22"/>
                <w:color w:val="auto"/>
              </w:rPr>
              <w:t>0</w:t>
            </w:r>
          </w:p>
        </w:tc>
        <w:tc>
          <w:tcPr>
            <w:tcW w:w="3800" w:type="dxa"/>
            <w:vAlign w:val="bottom"/>
          </w:tcPr>
          <w:p>
            <w:pPr>
              <w:spacing w:after="0"/>
              <w:rPr>
                <w:sz w:val="24"/>
                <w:szCs w:val="24"/>
                <w:color w:val="auto"/>
              </w:rPr>
            </w:pPr>
          </w:p>
        </w:tc>
        <w:tc>
          <w:tcPr>
            <w:tcW w:w="2420" w:type="dxa"/>
            <w:vAlign w:val="bottom"/>
          </w:tcPr>
          <w:p>
            <w:pPr>
              <w:spacing w:after="0"/>
              <w:rPr>
                <w:sz w:val="24"/>
                <w:szCs w:val="24"/>
                <w:color w:val="auto"/>
              </w:rPr>
            </w:pPr>
          </w:p>
        </w:tc>
      </w:tr>
      <w:tr>
        <w:trPr>
          <w:trHeight w:val="459"/>
        </w:trPr>
        <w:tc>
          <w:tcPr>
            <w:tcW w:w="220" w:type="dxa"/>
            <w:vAlign w:val="bottom"/>
          </w:tcPr>
          <w:p>
            <w:pPr>
              <w:spacing w:after="0"/>
              <w:rPr>
                <w:sz w:val="20"/>
                <w:szCs w:val="20"/>
                <w:color w:val="auto"/>
              </w:rPr>
            </w:pPr>
            <w:r>
              <w:rPr>
                <w:rFonts w:ascii="Arial" w:cs="Arial" w:eastAsia="Arial" w:hAnsi="Arial"/>
                <w:sz w:val="22"/>
                <w:szCs w:val="22"/>
                <w:color w:val="auto"/>
              </w:rPr>
              <w:t>7)</w:t>
            </w:r>
          </w:p>
        </w:tc>
        <w:tc>
          <w:tcPr>
            <w:tcW w:w="2260" w:type="dxa"/>
            <w:vAlign w:val="bottom"/>
            <w:gridSpan w:val="2"/>
          </w:tcPr>
          <w:p>
            <w:pPr>
              <w:ind w:left="20"/>
              <w:spacing w:after="0"/>
              <w:rPr>
                <w:sz w:val="20"/>
                <w:szCs w:val="20"/>
                <w:color w:val="auto"/>
              </w:rPr>
            </w:pPr>
            <w:r>
              <w:rPr>
                <w:rFonts w:ascii="Arial" w:cs="Arial" w:eastAsia="Arial" w:hAnsi="Arial"/>
                <w:sz w:val="22"/>
                <w:szCs w:val="22"/>
                <w:color w:val="auto"/>
                <w:w w:val="98"/>
              </w:rPr>
              <w:t>Sole Dispositive Power</w:t>
            </w:r>
          </w:p>
        </w:tc>
        <w:tc>
          <w:tcPr>
            <w:tcW w:w="3800" w:type="dxa"/>
            <w:vAlign w:val="bottom"/>
          </w:tcPr>
          <w:p>
            <w:pPr>
              <w:jc w:val="right"/>
              <w:ind w:right="2392"/>
              <w:spacing w:after="0"/>
              <w:rPr>
                <w:sz w:val="20"/>
                <w:szCs w:val="20"/>
                <w:color w:val="auto"/>
              </w:rPr>
            </w:pPr>
            <w:r>
              <w:rPr>
                <w:rFonts w:ascii="Arial" w:cs="Arial" w:eastAsia="Arial" w:hAnsi="Arial"/>
                <w:sz w:val="22"/>
                <w:szCs w:val="22"/>
                <w:color w:val="auto"/>
                <w:w w:val="87"/>
              </w:rPr>
              <w:t>5,749,65 9.000</w:t>
            </w:r>
          </w:p>
        </w:tc>
        <w:tc>
          <w:tcPr>
            <w:tcW w:w="2420" w:type="dxa"/>
            <w:vAlign w:val="bottom"/>
          </w:tcPr>
          <w:p>
            <w:pPr>
              <w:spacing w:after="0"/>
              <w:rPr>
                <w:sz w:val="24"/>
                <w:szCs w:val="24"/>
                <w:color w:val="auto"/>
              </w:rPr>
            </w:pPr>
          </w:p>
        </w:tc>
      </w:tr>
      <w:tr>
        <w:trPr>
          <w:trHeight w:val="395"/>
        </w:trPr>
        <w:tc>
          <w:tcPr>
            <w:tcW w:w="220" w:type="dxa"/>
            <w:vAlign w:val="bottom"/>
          </w:tcPr>
          <w:p>
            <w:pPr>
              <w:spacing w:after="0"/>
              <w:rPr>
                <w:sz w:val="20"/>
                <w:szCs w:val="20"/>
                <w:color w:val="auto"/>
              </w:rPr>
            </w:pPr>
            <w:r>
              <w:rPr>
                <w:rFonts w:ascii="Arial" w:cs="Arial" w:eastAsia="Arial" w:hAnsi="Arial"/>
                <w:sz w:val="22"/>
                <w:szCs w:val="22"/>
                <w:color w:val="auto"/>
              </w:rPr>
              <w:t>8)</w:t>
            </w:r>
          </w:p>
        </w:tc>
        <w:tc>
          <w:tcPr>
            <w:tcW w:w="2260" w:type="dxa"/>
            <w:vAlign w:val="bottom"/>
            <w:gridSpan w:val="2"/>
          </w:tcPr>
          <w:p>
            <w:pPr>
              <w:ind w:left="20"/>
              <w:spacing w:after="0"/>
              <w:rPr>
                <w:sz w:val="20"/>
                <w:szCs w:val="20"/>
                <w:color w:val="auto"/>
              </w:rPr>
            </w:pPr>
            <w:r>
              <w:rPr>
                <w:rFonts w:ascii="Arial" w:cs="Arial" w:eastAsia="Arial" w:hAnsi="Arial"/>
                <w:sz w:val="22"/>
                <w:szCs w:val="22"/>
                <w:color w:val="auto"/>
                <w:w w:val="88"/>
              </w:rPr>
              <w:t>Shared Dispositive Power</w:t>
            </w:r>
          </w:p>
        </w:tc>
        <w:tc>
          <w:tcPr>
            <w:tcW w:w="3800" w:type="dxa"/>
            <w:vAlign w:val="bottom"/>
          </w:tcPr>
          <w:p>
            <w:pPr>
              <w:jc w:val="right"/>
              <w:ind w:right="3352"/>
              <w:spacing w:after="0"/>
              <w:rPr>
                <w:sz w:val="20"/>
                <w:szCs w:val="20"/>
                <w:color w:val="auto"/>
              </w:rPr>
            </w:pPr>
            <w:r>
              <w:rPr>
                <w:rFonts w:ascii="Arial" w:cs="Arial" w:eastAsia="Arial" w:hAnsi="Arial"/>
                <w:sz w:val="22"/>
                <w:szCs w:val="22"/>
                <w:color w:val="auto"/>
              </w:rPr>
              <w:t>0</w:t>
            </w:r>
          </w:p>
        </w:tc>
        <w:tc>
          <w:tcPr>
            <w:tcW w:w="2420" w:type="dxa"/>
            <w:vAlign w:val="bottom"/>
          </w:tcPr>
          <w:p>
            <w:pPr>
              <w:spacing w:after="0"/>
              <w:rPr>
                <w:sz w:val="24"/>
                <w:szCs w:val="24"/>
                <w:color w:val="auto"/>
              </w:rPr>
            </w:pPr>
          </w:p>
        </w:tc>
      </w:tr>
      <w:tr>
        <w:trPr>
          <w:trHeight w:val="275"/>
        </w:trPr>
        <w:tc>
          <w:tcPr>
            <w:tcW w:w="8700" w:type="dxa"/>
            <w:vAlign w:val="bottom"/>
            <w:gridSpan w:val="5"/>
          </w:tcPr>
          <w:p>
            <w:pPr>
              <w:ind w:left="60"/>
              <w:spacing w:after="0"/>
              <w:rPr>
                <w:sz w:val="20"/>
                <w:szCs w:val="20"/>
                <w:color w:val="auto"/>
              </w:rPr>
            </w:pPr>
            <w:r>
              <w:rPr>
                <w:rFonts w:ascii="Arial" w:cs="Arial" w:eastAsia="Arial" w:hAnsi="Arial"/>
                <w:sz w:val="22"/>
                <w:szCs w:val="22"/>
                <w:color w:val="auto"/>
                <w:w w:val="88"/>
              </w:rPr>
              <w:t>________________________________________________________________________________</w:t>
            </w:r>
          </w:p>
        </w:tc>
      </w:tr>
      <w:tr>
        <w:trPr>
          <w:trHeight w:val="370"/>
        </w:trPr>
        <w:tc>
          <w:tcPr>
            <w:tcW w:w="220" w:type="dxa"/>
            <w:vAlign w:val="bottom"/>
          </w:tcPr>
          <w:p>
            <w:pPr>
              <w:spacing w:after="0"/>
              <w:rPr>
                <w:sz w:val="20"/>
                <w:szCs w:val="20"/>
                <w:color w:val="auto"/>
              </w:rPr>
            </w:pPr>
            <w:r>
              <w:rPr>
                <w:rFonts w:ascii="Arial" w:cs="Arial" w:eastAsia="Arial" w:hAnsi="Arial"/>
                <w:sz w:val="22"/>
                <w:szCs w:val="22"/>
                <w:color w:val="auto"/>
              </w:rPr>
              <w:t>9)</w:t>
            </w:r>
          </w:p>
        </w:tc>
        <w:tc>
          <w:tcPr>
            <w:tcW w:w="6060" w:type="dxa"/>
            <w:vAlign w:val="bottom"/>
            <w:gridSpan w:val="3"/>
          </w:tcPr>
          <w:p>
            <w:pPr>
              <w:ind w:left="20"/>
              <w:spacing w:after="0"/>
              <w:rPr>
                <w:sz w:val="20"/>
                <w:szCs w:val="20"/>
                <w:color w:val="auto"/>
              </w:rPr>
            </w:pPr>
            <w:r>
              <w:rPr>
                <w:rFonts w:ascii="Arial" w:cs="Arial" w:eastAsia="Arial" w:hAnsi="Arial"/>
                <w:sz w:val="22"/>
                <w:szCs w:val="22"/>
                <w:color w:val="auto"/>
                <w:w w:val="94"/>
              </w:rPr>
              <w:t>Aggregate Amount Beneficially Owned by Each Reporting Person</w:t>
            </w:r>
          </w:p>
        </w:tc>
        <w:tc>
          <w:tcPr>
            <w:tcW w:w="2420" w:type="dxa"/>
            <w:vAlign w:val="bottom"/>
          </w:tcPr>
          <w:p>
            <w:pPr>
              <w:jc w:val="right"/>
              <w:ind w:right="912"/>
              <w:spacing w:after="0"/>
              <w:rPr>
                <w:sz w:val="20"/>
                <w:szCs w:val="20"/>
                <w:color w:val="auto"/>
              </w:rPr>
            </w:pPr>
            <w:r>
              <w:rPr>
                <w:rFonts w:ascii="Arial" w:cs="Arial" w:eastAsia="Arial" w:hAnsi="Arial"/>
                <w:sz w:val="22"/>
                <w:szCs w:val="22"/>
                <w:color w:val="auto"/>
                <w:w w:val="93"/>
              </w:rPr>
              <w:t>5,749,65 9.000</w:t>
            </w:r>
          </w:p>
        </w:tc>
      </w:tr>
    </w:tbl>
    <w:p>
      <w:pPr>
        <w:ind w:left="60"/>
        <w:spacing w:after="0"/>
        <w:rPr>
          <w:sz w:val="20"/>
          <w:szCs w:val="20"/>
          <w:color w:val="auto"/>
        </w:rPr>
      </w:pPr>
      <w:r>
        <w:rPr>
          <w:rFonts w:ascii="Arial" w:cs="Arial" w:eastAsia="Arial" w:hAnsi="Arial"/>
          <w:sz w:val="22"/>
          <w:szCs w:val="22"/>
          <w:color w:val="auto"/>
        </w:rPr>
        <w:t>________________________________________________________________________________</w:t>
      </w:r>
    </w:p>
    <w:p>
      <w:pPr>
        <w:spacing w:after="0" w:line="142" w:lineRule="exact"/>
        <w:rPr>
          <w:sz w:val="24"/>
          <w:szCs w:val="24"/>
          <w:color w:val="auto"/>
        </w:rPr>
      </w:pPr>
    </w:p>
    <w:p>
      <w:pPr>
        <w:ind w:left="360" w:hanging="352"/>
        <w:spacing w:after="0"/>
        <w:tabs>
          <w:tab w:leader="none" w:pos="360" w:val="left"/>
        </w:tabs>
        <w:numPr>
          <w:ilvl w:val="0"/>
          <w:numId w:val="4"/>
        </w:numPr>
        <w:rPr>
          <w:rFonts w:ascii="Arial" w:cs="Arial" w:eastAsia="Arial" w:hAnsi="Arial"/>
          <w:sz w:val="22"/>
          <w:szCs w:val="22"/>
          <w:color w:val="auto"/>
        </w:rPr>
      </w:pPr>
      <w:r>
        <w:rPr>
          <w:rFonts w:ascii="Arial" w:cs="Arial" w:eastAsia="Arial" w:hAnsi="Arial"/>
          <w:sz w:val="22"/>
          <w:szCs w:val="22"/>
          <w:color w:val="auto"/>
        </w:rPr>
        <w:t>Check if the Aggregate Amount in Row (9) Excludes Certain Shares* [_]</w:t>
      </w:r>
    </w:p>
    <w:p>
      <w:pPr>
        <w:ind w:left="60"/>
        <w:spacing w:after="0"/>
        <w:rPr>
          <w:rFonts w:ascii="Arial" w:cs="Arial" w:eastAsia="Arial" w:hAnsi="Arial"/>
          <w:sz w:val="22"/>
          <w:szCs w:val="22"/>
          <w:color w:val="auto"/>
        </w:rPr>
      </w:pPr>
      <w:r>
        <w:rPr>
          <w:rFonts w:ascii="Arial" w:cs="Arial" w:eastAsia="Arial" w:hAnsi="Arial"/>
          <w:sz w:val="22"/>
          <w:szCs w:val="22"/>
          <w:color w:val="auto"/>
        </w:rPr>
        <w:t>________________________________________________________________________________</w:t>
      </w:r>
    </w:p>
    <w:p>
      <w:pPr>
        <w:spacing w:after="0" w:line="188" w:lineRule="exact"/>
        <w:rPr>
          <w:sz w:val="24"/>
          <w:szCs w:val="24"/>
          <w:color w:val="auto"/>
        </w:rPr>
      </w:pPr>
    </w:p>
    <w:p>
      <w:pPr>
        <w:spacing w:after="0"/>
        <w:tabs>
          <w:tab w:leader="none" w:pos="5240" w:val="left"/>
        </w:tabs>
        <w:rPr>
          <w:sz w:val="20"/>
          <w:szCs w:val="20"/>
          <w:color w:val="auto"/>
        </w:rPr>
      </w:pPr>
      <w:r>
        <w:rPr>
          <w:rFonts w:ascii="Arial" w:cs="Arial" w:eastAsia="Arial" w:hAnsi="Arial"/>
          <w:sz w:val="22"/>
          <w:szCs w:val="22"/>
          <w:color w:val="auto"/>
        </w:rPr>
        <w:t>11) Percent of Class Represented by Amount in Row (9)</w:t>
      </w:r>
      <w:r>
        <w:rPr>
          <w:sz w:val="20"/>
          <w:szCs w:val="20"/>
          <w:color w:val="auto"/>
        </w:rPr>
        <w:tab/>
      </w:r>
      <w:r>
        <w:rPr>
          <w:rFonts w:ascii="Arial" w:cs="Arial" w:eastAsia="Arial" w:hAnsi="Arial"/>
          <w:sz w:val="19"/>
          <w:szCs w:val="19"/>
          <w:color w:val="auto"/>
        </w:rPr>
        <w:t>8.649%</w:t>
      </w:r>
    </w:p>
    <w:p>
      <w:pPr>
        <w:sectPr>
          <w:pgSz w:w="11900" w:h="16872" w:orient="portrait"/>
          <w:cols w:equalWidth="0" w:num="1">
            <w:col w:w="11360"/>
          </w:cols>
          <w:pgMar w:left="240" w:top="436" w:right="299" w:bottom="0" w:gutter="0" w:footer="0" w:header="0"/>
        </w:sectPr>
      </w:pPr>
    </w:p>
    <w:bookmarkStart w:id="1" w:name="page2"/>
    <w:bookmarkEnd w:id="1"/>
    <w:p>
      <w:pPr>
        <w:ind w:left="60"/>
        <w:spacing w:after="0"/>
        <w:rPr>
          <w:sz w:val="20"/>
          <w:szCs w:val="20"/>
          <w:color w:val="auto"/>
        </w:rPr>
      </w:pPr>
      <w:r>
        <w:rPr>
          <w:rFonts w:ascii="Arial" w:cs="Arial" w:eastAsia="Arial" w:hAnsi="Arial"/>
          <w:sz w:val="22"/>
          <w:szCs w:val="22"/>
          <w:color w:val="auto"/>
        </w:rPr>
        <w:t>________________________________________________________________________________</w:t>
      </w:r>
    </w:p>
    <w:p>
      <w:pPr>
        <w:spacing w:after="0" w:line="161" w:lineRule="exact"/>
        <w:rPr>
          <w:sz w:val="20"/>
          <w:szCs w:val="20"/>
          <w:color w:val="auto"/>
        </w:rPr>
      </w:pPr>
    </w:p>
    <w:p>
      <w:pPr>
        <w:spacing w:after="0"/>
        <w:tabs>
          <w:tab w:leader="none" w:pos="3040" w:val="left"/>
        </w:tabs>
        <w:rPr>
          <w:sz w:val="20"/>
          <w:szCs w:val="20"/>
          <w:color w:val="auto"/>
        </w:rPr>
      </w:pPr>
      <w:r>
        <w:rPr>
          <w:rFonts w:ascii="Arial" w:cs="Arial" w:eastAsia="Arial" w:hAnsi="Arial"/>
          <w:sz w:val="22"/>
          <w:szCs w:val="22"/>
          <w:color w:val="auto"/>
        </w:rPr>
        <w:t>12) Type of Reporting Person*</w:t>
      </w:r>
      <w:r>
        <w:rPr>
          <w:sz w:val="20"/>
          <w:szCs w:val="20"/>
          <w:color w:val="auto"/>
        </w:rPr>
        <w:tab/>
      </w:r>
      <w:r>
        <w:rPr>
          <w:rFonts w:ascii="Arial" w:cs="Arial" w:eastAsia="Arial" w:hAnsi="Arial"/>
          <w:sz w:val="18"/>
          <w:szCs w:val="18"/>
          <w:color w:val="auto"/>
        </w:rPr>
        <w:t>EP</w:t>
      </w:r>
    </w:p>
    <w:p>
      <w:pPr>
        <w:ind w:left="60"/>
        <w:spacing w:after="0"/>
        <w:rPr>
          <w:sz w:val="20"/>
          <w:szCs w:val="20"/>
          <w:color w:val="auto"/>
        </w:rPr>
      </w:pPr>
      <w:r>
        <w:rPr>
          <w:rFonts w:ascii="Arial" w:cs="Arial" w:eastAsia="Arial" w:hAnsi="Arial"/>
          <w:sz w:val="22"/>
          <w:szCs w:val="22"/>
          <w:color w:val="auto"/>
        </w:rPr>
        <w:t>________________________________________________________________________________</w:t>
      </w:r>
    </w:p>
    <w:p>
      <w:pPr>
        <w:spacing w:after="0" w:line="188" w:lineRule="exact"/>
        <w:rPr>
          <w:sz w:val="20"/>
          <w:szCs w:val="20"/>
          <w:color w:val="auto"/>
        </w:rPr>
      </w:pPr>
    </w:p>
    <w:p>
      <w:pPr>
        <w:spacing w:after="0"/>
        <w:rPr>
          <w:sz w:val="20"/>
          <w:szCs w:val="20"/>
          <w:color w:val="auto"/>
        </w:rPr>
      </w:pPr>
      <w:r>
        <w:rPr>
          <w:rFonts w:ascii="Arial" w:cs="Arial" w:eastAsia="Arial" w:hAnsi="Arial"/>
          <w:sz w:val="22"/>
          <w:szCs w:val="22"/>
          <w:color w:val="auto"/>
        </w:rPr>
        <w:t>FOOTNOTES</w:t>
      </w:r>
    </w:p>
    <w:p>
      <w:pPr>
        <w:spacing w:after="0" w:line="206" w:lineRule="exact"/>
        <w:rPr>
          <w:sz w:val="20"/>
          <w:szCs w:val="20"/>
          <w:color w:val="auto"/>
        </w:rPr>
      </w:pPr>
    </w:p>
    <w:p>
      <w:pPr>
        <w:ind w:left="380"/>
        <w:spacing w:after="0"/>
        <w:rPr>
          <w:sz w:val="20"/>
          <w:szCs w:val="20"/>
          <w:color w:val="auto"/>
        </w:rPr>
      </w:pPr>
      <w:r>
        <w:rPr>
          <w:rFonts w:ascii="Arial" w:cs="Arial" w:eastAsia="Arial" w:hAnsi="Arial"/>
          <w:sz w:val="19"/>
          <w:szCs w:val="19"/>
          <w:color w:val="auto"/>
        </w:rPr>
        <w:t>(1) Includes 0.000 shares of common stock reserved for issuance upon exercise of stock options which are exercisable as of the</w:t>
      </w:r>
    </w:p>
    <w:p>
      <w:pPr>
        <w:spacing w:after="0" w:line="219" w:lineRule="auto"/>
        <w:rPr>
          <w:sz w:val="20"/>
          <w:szCs w:val="20"/>
          <w:color w:val="auto"/>
        </w:rPr>
      </w:pPr>
      <w:r>
        <w:rPr>
          <w:rFonts w:ascii="Arial" w:cs="Arial" w:eastAsia="Arial" w:hAnsi="Arial"/>
          <w:sz w:val="22"/>
          <w:szCs w:val="22"/>
          <w:color w:val="auto"/>
        </w:rPr>
        <w:t>date of filing of this Schedule 13G.</w:t>
      </w:r>
    </w:p>
    <w:p>
      <w:pPr>
        <w:spacing w:after="0" w:line="1" w:lineRule="exact"/>
        <w:rPr>
          <w:sz w:val="20"/>
          <w:szCs w:val="20"/>
          <w:color w:val="auto"/>
        </w:rPr>
      </w:pPr>
    </w:p>
    <w:p>
      <w:pPr>
        <w:ind w:left="60"/>
        <w:spacing w:after="0"/>
        <w:rPr>
          <w:sz w:val="20"/>
          <w:szCs w:val="20"/>
          <w:color w:val="auto"/>
        </w:rPr>
      </w:pPr>
      <w:r>
        <w:rPr>
          <w:rFonts w:ascii="Arial" w:cs="Arial" w:eastAsia="Arial" w:hAnsi="Arial"/>
          <w:sz w:val="22"/>
          <w:szCs w:val="22"/>
          <w:color w:val="auto"/>
        </w:rPr>
        <w:t>________________________________________________________________________________</w:t>
      </w:r>
    </w:p>
    <w:p>
      <w:pPr>
        <w:spacing w:after="0" w:line="142" w:lineRule="exact"/>
        <w:rPr>
          <w:sz w:val="20"/>
          <w:szCs w:val="20"/>
          <w:color w:val="auto"/>
        </w:rPr>
      </w:pPr>
    </w:p>
    <w:p>
      <w:pPr>
        <w:spacing w:after="0"/>
        <w:rPr>
          <w:sz w:val="20"/>
          <w:szCs w:val="20"/>
          <w:color w:val="auto"/>
        </w:rPr>
      </w:pPr>
      <w:r>
        <w:rPr>
          <w:rFonts w:ascii="Arial" w:cs="Arial" w:eastAsia="Arial" w:hAnsi="Arial"/>
          <w:sz w:val="22"/>
          <w:szCs w:val="22"/>
          <w:color w:val="auto"/>
        </w:rPr>
        <w:t>SCHEDULE 13G</w:t>
      </w:r>
    </w:p>
    <w:p>
      <w:pPr>
        <w:ind w:left="60"/>
        <w:spacing w:after="0"/>
        <w:rPr>
          <w:sz w:val="20"/>
          <w:szCs w:val="20"/>
          <w:color w:val="auto"/>
        </w:rPr>
      </w:pPr>
      <w:r>
        <w:rPr>
          <w:rFonts w:ascii="Arial" w:cs="Arial" w:eastAsia="Arial" w:hAnsi="Arial"/>
          <w:sz w:val="22"/>
          <w:szCs w:val="22"/>
          <w:color w:val="auto"/>
        </w:rPr>
        <w:t>________________________________________________________________________________</w:t>
      </w:r>
    </w:p>
    <w:p>
      <w:pPr>
        <w:spacing w:after="0" w:line="188" w:lineRule="exact"/>
        <w:rPr>
          <w:sz w:val="20"/>
          <w:szCs w:val="20"/>
          <w:color w:val="auto"/>
        </w:rPr>
      </w:pPr>
    </w:p>
    <w:p>
      <w:pPr>
        <w:spacing w:after="0"/>
        <w:rPr>
          <w:sz w:val="20"/>
          <w:szCs w:val="20"/>
          <w:color w:val="auto"/>
        </w:rPr>
      </w:pPr>
      <w:r>
        <w:rPr>
          <w:rFonts w:ascii="Arial" w:cs="Arial" w:eastAsia="Arial" w:hAnsi="Arial"/>
          <w:sz w:val="22"/>
          <w:szCs w:val="22"/>
          <w:color w:val="auto"/>
        </w:rPr>
        <w:t>Item 1</w:t>
      </w:r>
    </w:p>
    <w:p>
      <w:pPr>
        <w:spacing w:after="0" w:line="206" w:lineRule="exact"/>
        <w:rPr>
          <w:sz w:val="20"/>
          <w:szCs w:val="20"/>
          <w:color w:val="auto"/>
        </w:rPr>
      </w:pPr>
    </w:p>
    <w:p>
      <w:pPr>
        <w:ind w:left="540"/>
        <w:spacing w:after="0"/>
        <w:rPr>
          <w:sz w:val="20"/>
          <w:szCs w:val="20"/>
          <w:color w:val="auto"/>
        </w:rPr>
      </w:pPr>
      <w:r>
        <w:rPr>
          <w:rFonts w:ascii="Arial" w:cs="Arial" w:eastAsia="Arial" w:hAnsi="Arial"/>
          <w:sz w:val="22"/>
          <w:szCs w:val="22"/>
          <w:color w:val="auto"/>
        </w:rPr>
        <w:t>(a) Name of Issuer</w:t>
      </w:r>
    </w:p>
    <w:p>
      <w:pPr>
        <w:spacing w:after="0" w:line="22" w:lineRule="exact"/>
        <w:rPr>
          <w:sz w:val="20"/>
          <w:szCs w:val="20"/>
          <w:color w:val="auto"/>
        </w:rPr>
      </w:pPr>
    </w:p>
    <w:p>
      <w:pPr>
        <w:ind w:left="1080" w:right="4460"/>
        <w:spacing w:after="0" w:line="246" w:lineRule="auto"/>
        <w:rPr>
          <w:sz w:val="20"/>
          <w:szCs w:val="20"/>
          <w:color w:val="auto"/>
        </w:rPr>
      </w:pPr>
      <w:r>
        <w:rPr>
          <w:rFonts w:ascii="Arial" w:cs="Arial" w:eastAsia="Arial" w:hAnsi="Arial"/>
          <w:sz w:val="22"/>
          <w:szCs w:val="22"/>
          <w:color w:val="auto"/>
        </w:rPr>
        <w:t>This Statement on Schedule 13G relates to the shares of Instrument TPG SPECIALTY LENDING INC.</w:t>
      </w:r>
    </w:p>
    <w:p>
      <w:pPr>
        <w:spacing w:after="0" w:line="179" w:lineRule="exact"/>
        <w:rPr>
          <w:sz w:val="20"/>
          <w:szCs w:val="20"/>
          <w:color w:val="auto"/>
        </w:rPr>
      </w:pPr>
    </w:p>
    <w:p>
      <w:pPr>
        <w:ind w:left="1080" w:right="6400" w:hanging="532"/>
        <w:spacing w:after="0" w:line="251" w:lineRule="auto"/>
        <w:tabs>
          <w:tab w:leader="none" w:pos="846" w:val="left"/>
        </w:tabs>
        <w:numPr>
          <w:ilvl w:val="0"/>
          <w:numId w:val="5"/>
        </w:numPr>
        <w:rPr>
          <w:rFonts w:ascii="Arial" w:cs="Arial" w:eastAsia="Arial" w:hAnsi="Arial"/>
          <w:sz w:val="22"/>
          <w:szCs w:val="22"/>
          <w:color w:val="auto"/>
        </w:rPr>
      </w:pPr>
      <w:r>
        <w:rPr>
          <w:rFonts w:ascii="Arial" w:cs="Arial" w:eastAsia="Arial" w:hAnsi="Arial"/>
          <w:sz w:val="22"/>
          <w:szCs w:val="22"/>
          <w:color w:val="auto"/>
        </w:rPr>
        <w:t>Address of Issuer's Principal Executive Offices: 301 Commerce Street</w:t>
      </w:r>
    </w:p>
    <w:p>
      <w:pPr>
        <w:spacing w:after="0" w:line="2" w:lineRule="exact"/>
        <w:rPr>
          <w:rFonts w:ascii="Arial" w:cs="Arial" w:eastAsia="Arial" w:hAnsi="Arial"/>
          <w:sz w:val="22"/>
          <w:szCs w:val="22"/>
          <w:color w:val="auto"/>
        </w:rPr>
      </w:pPr>
    </w:p>
    <w:p>
      <w:pPr>
        <w:ind w:left="1080"/>
        <w:spacing w:after="0"/>
        <w:rPr>
          <w:rFonts w:ascii="Arial" w:cs="Arial" w:eastAsia="Arial" w:hAnsi="Arial"/>
          <w:sz w:val="22"/>
          <w:szCs w:val="22"/>
          <w:color w:val="auto"/>
        </w:rPr>
      </w:pPr>
      <w:r>
        <w:rPr>
          <w:rFonts w:ascii="Arial" w:cs="Arial" w:eastAsia="Arial" w:hAnsi="Arial"/>
          <w:sz w:val="22"/>
          <w:szCs w:val="22"/>
          <w:color w:val="auto"/>
        </w:rPr>
        <w:t>Suite 3300</w:t>
      </w:r>
    </w:p>
    <w:p>
      <w:pPr>
        <w:ind w:left="1080"/>
        <w:spacing w:after="0" w:line="182" w:lineRule="auto"/>
        <w:rPr>
          <w:sz w:val="20"/>
          <w:szCs w:val="20"/>
          <w:color w:val="auto"/>
        </w:rPr>
      </w:pPr>
      <w:r>
        <w:rPr>
          <w:rFonts w:ascii="Arial" w:cs="Arial" w:eastAsia="Arial" w:hAnsi="Arial"/>
          <w:sz w:val="22"/>
          <w:szCs w:val="22"/>
          <w:color w:val="auto"/>
        </w:rPr>
        <w:t>Fort Worth , TX 76102</w:t>
      </w:r>
    </w:p>
    <w:p>
      <w:pPr>
        <w:spacing w:after="0" w:line="1" w:lineRule="exact"/>
        <w:rPr>
          <w:sz w:val="20"/>
          <w:szCs w:val="20"/>
          <w:color w:val="auto"/>
        </w:rPr>
      </w:pPr>
    </w:p>
    <w:p>
      <w:pPr>
        <w:ind w:left="60"/>
        <w:spacing w:after="0"/>
        <w:rPr>
          <w:sz w:val="20"/>
          <w:szCs w:val="20"/>
          <w:color w:val="auto"/>
        </w:rPr>
      </w:pPr>
      <w:r>
        <w:rPr>
          <w:rFonts w:ascii="Arial" w:cs="Arial" w:eastAsia="Arial" w:hAnsi="Arial"/>
          <w:sz w:val="22"/>
          <w:szCs w:val="22"/>
          <w:color w:val="auto"/>
        </w:rPr>
        <w:t>________________________________________________________________________________</w:t>
      </w:r>
    </w:p>
    <w:p>
      <w:pPr>
        <w:spacing w:after="0" w:line="188" w:lineRule="exact"/>
        <w:rPr>
          <w:sz w:val="20"/>
          <w:szCs w:val="20"/>
          <w:color w:val="auto"/>
        </w:rPr>
      </w:pPr>
    </w:p>
    <w:p>
      <w:pPr>
        <w:spacing w:after="0"/>
        <w:rPr>
          <w:sz w:val="20"/>
          <w:szCs w:val="20"/>
          <w:color w:val="auto"/>
        </w:rPr>
      </w:pPr>
      <w:r>
        <w:rPr>
          <w:rFonts w:ascii="Arial" w:cs="Arial" w:eastAsia="Arial" w:hAnsi="Arial"/>
          <w:sz w:val="22"/>
          <w:szCs w:val="22"/>
          <w:color w:val="auto"/>
        </w:rPr>
        <w:t>Item 2</w:t>
      </w:r>
    </w:p>
    <w:p>
      <w:pPr>
        <w:spacing w:after="0" w:line="206" w:lineRule="exact"/>
        <w:rPr>
          <w:sz w:val="20"/>
          <w:szCs w:val="20"/>
          <w:color w:val="auto"/>
        </w:rPr>
      </w:pPr>
    </w:p>
    <w:p>
      <w:pPr>
        <w:ind w:left="1080" w:right="8080" w:hanging="532"/>
        <w:spacing w:after="0" w:line="291" w:lineRule="auto"/>
        <w:tabs>
          <w:tab w:leader="none" w:pos="834" w:val="left"/>
        </w:tabs>
        <w:numPr>
          <w:ilvl w:val="0"/>
          <w:numId w:val="6"/>
        </w:numPr>
        <w:rPr>
          <w:rFonts w:ascii="Arial" w:cs="Arial" w:eastAsia="Arial" w:hAnsi="Arial"/>
          <w:sz w:val="19"/>
          <w:szCs w:val="19"/>
          <w:color w:val="auto"/>
        </w:rPr>
      </w:pPr>
      <w:r>
        <w:rPr>
          <w:rFonts w:ascii="Arial" w:cs="Arial" w:eastAsia="Arial" w:hAnsi="Arial"/>
          <w:sz w:val="19"/>
          <w:szCs w:val="19"/>
          <w:color w:val="auto"/>
        </w:rPr>
        <w:t>Name of Person Filing: This Statement is filed by</w:t>
      </w:r>
    </w:p>
    <w:p>
      <w:pPr>
        <w:spacing w:after="0" w:line="1" w:lineRule="exact"/>
        <w:rPr>
          <w:rFonts w:ascii="Arial" w:cs="Arial" w:eastAsia="Arial" w:hAnsi="Arial"/>
          <w:sz w:val="19"/>
          <w:szCs w:val="19"/>
          <w:color w:val="auto"/>
        </w:rPr>
      </w:pPr>
    </w:p>
    <w:p>
      <w:pPr>
        <w:ind w:left="1080"/>
        <w:spacing w:after="0"/>
        <w:rPr>
          <w:rFonts w:ascii="Arial" w:cs="Arial" w:eastAsia="Arial" w:hAnsi="Arial"/>
          <w:sz w:val="19"/>
          <w:szCs w:val="19"/>
          <w:color w:val="auto"/>
        </w:rPr>
      </w:pPr>
      <w:r>
        <w:rPr>
          <w:rFonts w:ascii="Arial" w:cs="Arial" w:eastAsia="Arial" w:hAnsi="Arial"/>
          <w:sz w:val="22"/>
          <w:szCs w:val="22"/>
          <w:color w:val="auto"/>
        </w:rPr>
        <w:t>OTR - Nominee Name for The State Teachers Retirement Board of Ohio</w:t>
      </w:r>
    </w:p>
    <w:p>
      <w:pPr>
        <w:spacing w:after="0" w:line="188" w:lineRule="exact"/>
        <w:rPr>
          <w:rFonts w:ascii="Arial" w:cs="Arial" w:eastAsia="Arial" w:hAnsi="Arial"/>
          <w:sz w:val="19"/>
          <w:szCs w:val="19"/>
          <w:color w:val="auto"/>
        </w:rPr>
      </w:pPr>
    </w:p>
    <w:p>
      <w:pPr>
        <w:ind w:left="860" w:hanging="312"/>
        <w:spacing w:after="0"/>
        <w:tabs>
          <w:tab w:leader="none" w:pos="860" w:val="left"/>
        </w:tabs>
        <w:numPr>
          <w:ilvl w:val="0"/>
          <w:numId w:val="6"/>
        </w:numPr>
        <w:rPr>
          <w:rFonts w:ascii="Arial" w:cs="Arial" w:eastAsia="Arial" w:hAnsi="Arial"/>
          <w:sz w:val="22"/>
          <w:szCs w:val="22"/>
          <w:color w:val="auto"/>
        </w:rPr>
      </w:pPr>
      <w:r>
        <w:rPr>
          <w:rFonts w:ascii="Arial" w:cs="Arial" w:eastAsia="Arial" w:hAnsi="Arial"/>
          <w:sz w:val="22"/>
          <w:szCs w:val="22"/>
          <w:color w:val="auto"/>
        </w:rPr>
        <w:t>Address of Principal Business Office:</w:t>
      </w:r>
    </w:p>
    <w:p>
      <w:pPr>
        <w:spacing w:after="0" w:line="22" w:lineRule="exact"/>
        <w:rPr>
          <w:sz w:val="20"/>
          <w:szCs w:val="20"/>
          <w:color w:val="auto"/>
        </w:rPr>
      </w:pPr>
    </w:p>
    <w:p>
      <w:pPr>
        <w:ind w:left="1080"/>
        <w:spacing w:after="0"/>
        <w:rPr>
          <w:sz w:val="20"/>
          <w:szCs w:val="20"/>
          <w:color w:val="auto"/>
        </w:rPr>
      </w:pPr>
      <w:r>
        <w:rPr>
          <w:rFonts w:ascii="Arial" w:cs="Arial" w:eastAsia="Arial" w:hAnsi="Arial"/>
          <w:sz w:val="22"/>
          <w:szCs w:val="22"/>
          <w:color w:val="auto"/>
        </w:rPr>
        <w:t>The business address of OTR - Nominee Name for The State Teachers Retirement Board of Ohio is</w:t>
      </w:r>
    </w:p>
    <w:p>
      <w:pPr>
        <w:spacing w:after="0" w:line="4" w:lineRule="exact"/>
        <w:rPr>
          <w:sz w:val="20"/>
          <w:szCs w:val="20"/>
          <w:color w:val="auto"/>
        </w:rPr>
      </w:pPr>
    </w:p>
    <w:p>
      <w:pPr>
        <w:ind w:left="1080"/>
        <w:spacing w:after="0"/>
        <w:rPr>
          <w:sz w:val="20"/>
          <w:szCs w:val="20"/>
          <w:color w:val="auto"/>
        </w:rPr>
      </w:pPr>
      <w:r>
        <w:rPr>
          <w:rFonts w:ascii="Arial" w:cs="Arial" w:eastAsia="Arial" w:hAnsi="Arial"/>
          <w:sz w:val="22"/>
          <w:szCs w:val="22"/>
          <w:color w:val="auto"/>
        </w:rPr>
        <w:t>275 East Broad Street</w:t>
      </w:r>
    </w:p>
    <w:p>
      <w:pPr>
        <w:spacing w:after="0" w:line="4" w:lineRule="exact"/>
        <w:rPr>
          <w:sz w:val="20"/>
          <w:szCs w:val="20"/>
          <w:color w:val="auto"/>
        </w:rPr>
      </w:pPr>
    </w:p>
    <w:p>
      <w:pPr>
        <w:ind w:left="1080"/>
        <w:spacing w:after="0"/>
        <w:rPr>
          <w:sz w:val="20"/>
          <w:szCs w:val="20"/>
          <w:color w:val="auto"/>
        </w:rPr>
      </w:pPr>
      <w:r>
        <w:rPr>
          <w:rFonts w:ascii="Arial" w:cs="Arial" w:eastAsia="Arial" w:hAnsi="Arial"/>
          <w:sz w:val="22"/>
          <w:szCs w:val="22"/>
          <w:color w:val="auto"/>
        </w:rPr>
        <w:t>Columbus, Ohio 43215</w:t>
      </w:r>
    </w:p>
    <w:p>
      <w:pPr>
        <w:spacing w:after="0" w:line="188" w:lineRule="exact"/>
        <w:rPr>
          <w:sz w:val="20"/>
          <w:szCs w:val="20"/>
          <w:color w:val="auto"/>
        </w:rPr>
      </w:pPr>
    </w:p>
    <w:p>
      <w:pPr>
        <w:ind w:left="840" w:hanging="292"/>
        <w:spacing w:after="0"/>
        <w:tabs>
          <w:tab w:leader="none" w:pos="840" w:val="left"/>
        </w:tabs>
        <w:numPr>
          <w:ilvl w:val="0"/>
          <w:numId w:val="7"/>
        </w:numPr>
        <w:rPr>
          <w:rFonts w:ascii="Arial" w:cs="Arial" w:eastAsia="Arial" w:hAnsi="Arial"/>
          <w:sz w:val="22"/>
          <w:szCs w:val="22"/>
          <w:color w:val="auto"/>
        </w:rPr>
      </w:pPr>
      <w:r>
        <w:rPr>
          <w:rFonts w:ascii="Arial" w:cs="Arial" w:eastAsia="Arial" w:hAnsi="Arial"/>
          <w:sz w:val="22"/>
          <w:szCs w:val="22"/>
          <w:color w:val="auto"/>
        </w:rPr>
        <w:t>Citizenship:   Not Applicable</w:t>
      </w:r>
    </w:p>
    <w:p>
      <w:pPr>
        <w:spacing w:after="0" w:line="206" w:lineRule="exact"/>
        <w:rPr>
          <w:rFonts w:ascii="Arial" w:cs="Arial" w:eastAsia="Arial" w:hAnsi="Arial"/>
          <w:sz w:val="22"/>
          <w:szCs w:val="22"/>
          <w:color w:val="auto"/>
        </w:rPr>
      </w:pPr>
    </w:p>
    <w:p>
      <w:pPr>
        <w:ind w:left="860" w:hanging="312"/>
        <w:spacing w:after="0"/>
        <w:tabs>
          <w:tab w:leader="none" w:pos="860" w:val="left"/>
        </w:tabs>
        <w:numPr>
          <w:ilvl w:val="0"/>
          <w:numId w:val="7"/>
        </w:numPr>
        <w:rPr>
          <w:rFonts w:ascii="Arial" w:cs="Arial" w:eastAsia="Arial" w:hAnsi="Arial"/>
          <w:sz w:val="22"/>
          <w:szCs w:val="22"/>
          <w:color w:val="auto"/>
        </w:rPr>
      </w:pPr>
      <w:r>
        <w:rPr>
          <w:rFonts w:ascii="Arial" w:cs="Arial" w:eastAsia="Arial" w:hAnsi="Arial"/>
          <w:sz w:val="22"/>
          <w:szCs w:val="22"/>
          <w:color w:val="auto"/>
        </w:rPr>
        <w:t>Title of Class of Securities:</w:t>
      </w:r>
    </w:p>
    <w:p>
      <w:pPr>
        <w:spacing w:after="0" w:line="22" w:lineRule="exact"/>
        <w:rPr>
          <w:sz w:val="20"/>
          <w:szCs w:val="20"/>
          <w:color w:val="auto"/>
        </w:rPr>
      </w:pPr>
    </w:p>
    <w:p>
      <w:pPr>
        <w:ind w:left="1080"/>
        <w:spacing w:after="0"/>
        <w:rPr>
          <w:sz w:val="20"/>
          <w:szCs w:val="20"/>
          <w:color w:val="auto"/>
        </w:rPr>
      </w:pPr>
      <w:r>
        <w:rPr>
          <w:rFonts w:ascii="Arial" w:cs="Arial" w:eastAsia="Arial" w:hAnsi="Arial"/>
          <w:sz w:val="22"/>
          <w:szCs w:val="22"/>
          <w:color w:val="auto"/>
        </w:rPr>
        <w:t>The securities are shares of COM.</w:t>
      </w:r>
    </w:p>
    <w:p>
      <w:pPr>
        <w:spacing w:after="0" w:line="188" w:lineRule="exact"/>
        <w:rPr>
          <w:sz w:val="20"/>
          <w:szCs w:val="20"/>
          <w:color w:val="auto"/>
        </w:rPr>
      </w:pPr>
    </w:p>
    <w:p>
      <w:pPr>
        <w:ind w:left="540"/>
        <w:spacing w:after="0"/>
        <w:rPr>
          <w:sz w:val="20"/>
          <w:szCs w:val="20"/>
          <w:color w:val="auto"/>
        </w:rPr>
      </w:pPr>
      <w:r>
        <w:rPr>
          <w:rFonts w:ascii="Arial" w:cs="Arial" w:eastAsia="Arial" w:hAnsi="Arial"/>
          <w:sz w:val="22"/>
          <w:szCs w:val="22"/>
          <w:color w:val="auto"/>
        </w:rPr>
        <w:t>(e) CUSIP No.:</w:t>
      </w:r>
    </w:p>
    <w:p>
      <w:pPr>
        <w:ind w:left="1080"/>
        <w:spacing w:after="0" w:line="199" w:lineRule="auto"/>
        <w:rPr>
          <w:sz w:val="20"/>
          <w:szCs w:val="20"/>
          <w:color w:val="auto"/>
        </w:rPr>
      </w:pPr>
      <w:r>
        <w:rPr>
          <w:rFonts w:ascii="Arial" w:cs="Arial" w:eastAsia="Arial" w:hAnsi="Arial"/>
          <w:sz w:val="22"/>
          <w:szCs w:val="22"/>
          <w:color w:val="auto"/>
        </w:rPr>
        <w:t>The CUSIP Number for the investment is 87265K102.</w:t>
      </w:r>
    </w:p>
    <w:p>
      <w:pPr>
        <w:spacing w:after="0" w:line="1" w:lineRule="exact"/>
        <w:rPr>
          <w:sz w:val="20"/>
          <w:szCs w:val="20"/>
          <w:color w:val="auto"/>
        </w:rPr>
      </w:pPr>
    </w:p>
    <w:p>
      <w:pPr>
        <w:ind w:left="60"/>
        <w:spacing w:after="0"/>
        <w:rPr>
          <w:sz w:val="20"/>
          <w:szCs w:val="20"/>
          <w:color w:val="auto"/>
        </w:rPr>
      </w:pPr>
      <w:r>
        <w:rPr>
          <w:rFonts w:ascii="Arial" w:cs="Arial" w:eastAsia="Arial" w:hAnsi="Arial"/>
          <w:sz w:val="22"/>
          <w:szCs w:val="22"/>
          <w:color w:val="auto"/>
        </w:rPr>
        <w:t>________________________________________________________________________________</w:t>
      </w:r>
    </w:p>
    <w:p>
      <w:pPr>
        <w:spacing w:after="0" w:line="188" w:lineRule="exact"/>
        <w:rPr>
          <w:sz w:val="20"/>
          <w:szCs w:val="20"/>
          <w:color w:val="auto"/>
        </w:rPr>
      </w:pPr>
    </w:p>
    <w:p>
      <w:pPr>
        <w:spacing w:after="0"/>
        <w:tabs>
          <w:tab w:leader="none" w:pos="980" w:val="left"/>
        </w:tabs>
        <w:rPr>
          <w:sz w:val="20"/>
          <w:szCs w:val="20"/>
          <w:color w:val="auto"/>
        </w:rPr>
      </w:pPr>
      <w:r>
        <w:rPr>
          <w:rFonts w:ascii="Arial" w:cs="Arial" w:eastAsia="Arial" w:hAnsi="Arial"/>
          <w:sz w:val="22"/>
          <w:szCs w:val="22"/>
          <w:color w:val="auto"/>
        </w:rPr>
        <w:t>Item 3</w:t>
      </w:r>
      <w:r>
        <w:rPr>
          <w:sz w:val="20"/>
          <w:szCs w:val="20"/>
          <w:color w:val="auto"/>
        </w:rPr>
        <w:tab/>
      </w:r>
      <w:r>
        <w:rPr>
          <w:rFonts w:ascii="Arial" w:cs="Arial" w:eastAsia="Arial" w:hAnsi="Arial"/>
          <w:sz w:val="19"/>
          <w:szCs w:val="19"/>
          <w:color w:val="auto"/>
        </w:rPr>
        <w:t>Type of Person Filing:</w:t>
      </w:r>
    </w:p>
    <w:p>
      <w:pPr>
        <w:spacing w:after="0" w:line="206" w:lineRule="exact"/>
        <w:rPr>
          <w:sz w:val="20"/>
          <w:szCs w:val="20"/>
          <w:color w:val="auto"/>
        </w:rPr>
      </w:pPr>
    </w:p>
    <w:p>
      <w:pPr>
        <w:ind w:left="840" w:hanging="292"/>
        <w:spacing w:after="0"/>
        <w:tabs>
          <w:tab w:leader="none" w:pos="840" w:val="left"/>
        </w:tabs>
        <w:numPr>
          <w:ilvl w:val="0"/>
          <w:numId w:val="8"/>
        </w:numPr>
        <w:rPr>
          <w:rFonts w:ascii="Arial" w:cs="Arial" w:eastAsia="Arial" w:hAnsi="Arial"/>
          <w:sz w:val="22"/>
          <w:szCs w:val="22"/>
          <w:color w:val="auto"/>
        </w:rPr>
      </w:pPr>
      <w:r>
        <w:rPr>
          <w:rFonts w:ascii="Arial" w:cs="Arial" w:eastAsia="Arial" w:hAnsi="Arial"/>
          <w:sz w:val="22"/>
          <w:szCs w:val="22"/>
          <w:color w:val="auto"/>
        </w:rPr>
        <w:t>[ ] Broker or dealer registered under section 15 of the Act (15 U.S.C. 78o)</w:t>
      </w:r>
    </w:p>
    <w:p>
      <w:pPr>
        <w:spacing w:after="0" w:line="206" w:lineRule="exact"/>
        <w:rPr>
          <w:rFonts w:ascii="Arial" w:cs="Arial" w:eastAsia="Arial" w:hAnsi="Arial"/>
          <w:sz w:val="22"/>
          <w:szCs w:val="22"/>
          <w:color w:val="auto"/>
        </w:rPr>
      </w:pPr>
    </w:p>
    <w:p>
      <w:pPr>
        <w:ind w:left="860" w:hanging="312"/>
        <w:spacing w:after="0"/>
        <w:tabs>
          <w:tab w:leader="none" w:pos="860" w:val="left"/>
        </w:tabs>
        <w:numPr>
          <w:ilvl w:val="0"/>
          <w:numId w:val="8"/>
        </w:numPr>
        <w:rPr>
          <w:rFonts w:ascii="Arial" w:cs="Arial" w:eastAsia="Arial" w:hAnsi="Arial"/>
          <w:sz w:val="22"/>
          <w:szCs w:val="22"/>
          <w:color w:val="auto"/>
        </w:rPr>
      </w:pPr>
      <w:r>
        <w:rPr>
          <w:rFonts w:ascii="Arial" w:cs="Arial" w:eastAsia="Arial" w:hAnsi="Arial"/>
          <w:sz w:val="22"/>
          <w:szCs w:val="22"/>
          <w:color w:val="auto"/>
        </w:rPr>
        <w:t>[ ] Bank as defined in section 3(a)(6) of the Act (15 U.S.C. 78c).</w:t>
      </w:r>
    </w:p>
    <w:p>
      <w:pPr>
        <w:spacing w:after="0" w:line="206" w:lineRule="exact"/>
        <w:rPr>
          <w:rFonts w:ascii="Arial" w:cs="Arial" w:eastAsia="Arial" w:hAnsi="Arial"/>
          <w:sz w:val="22"/>
          <w:szCs w:val="22"/>
          <w:color w:val="auto"/>
        </w:rPr>
      </w:pPr>
    </w:p>
    <w:p>
      <w:pPr>
        <w:ind w:left="840" w:hanging="292"/>
        <w:spacing w:after="0"/>
        <w:tabs>
          <w:tab w:leader="none" w:pos="840" w:val="left"/>
        </w:tabs>
        <w:numPr>
          <w:ilvl w:val="0"/>
          <w:numId w:val="8"/>
        </w:numPr>
        <w:rPr>
          <w:rFonts w:ascii="Arial" w:cs="Arial" w:eastAsia="Arial" w:hAnsi="Arial"/>
          <w:sz w:val="22"/>
          <w:szCs w:val="22"/>
          <w:color w:val="auto"/>
        </w:rPr>
      </w:pPr>
      <w:r>
        <w:rPr>
          <w:rFonts w:ascii="Arial" w:cs="Arial" w:eastAsia="Arial" w:hAnsi="Arial"/>
          <w:sz w:val="22"/>
          <w:szCs w:val="22"/>
          <w:color w:val="auto"/>
        </w:rPr>
        <w:t>[ ] Insurance company as defined in section 3(a)(19) of the Act (15 U.S.C. 78c).</w:t>
      </w:r>
    </w:p>
    <w:p>
      <w:pPr>
        <w:spacing w:after="0" w:line="206" w:lineRule="exact"/>
        <w:rPr>
          <w:rFonts w:ascii="Arial" w:cs="Arial" w:eastAsia="Arial" w:hAnsi="Arial"/>
          <w:sz w:val="22"/>
          <w:szCs w:val="22"/>
          <w:color w:val="auto"/>
        </w:rPr>
      </w:pPr>
    </w:p>
    <w:p>
      <w:pPr>
        <w:ind w:left="860" w:hanging="312"/>
        <w:spacing w:after="0"/>
        <w:tabs>
          <w:tab w:leader="none" w:pos="860" w:val="left"/>
        </w:tabs>
        <w:numPr>
          <w:ilvl w:val="0"/>
          <w:numId w:val="8"/>
        </w:numPr>
        <w:rPr>
          <w:rFonts w:ascii="Arial" w:cs="Arial" w:eastAsia="Arial" w:hAnsi="Arial"/>
          <w:sz w:val="21"/>
          <w:szCs w:val="21"/>
          <w:color w:val="auto"/>
        </w:rPr>
      </w:pPr>
      <w:r>
        <w:rPr>
          <w:rFonts w:ascii="Arial" w:cs="Arial" w:eastAsia="Arial" w:hAnsi="Arial"/>
          <w:sz w:val="21"/>
          <w:szCs w:val="21"/>
          <w:color w:val="auto"/>
        </w:rPr>
        <w:t>[ ] Investment company registered under section 8 of the Investment Company Act of 1940 (15 U.S.C. 90a-8)</w:t>
      </w:r>
    </w:p>
    <w:p>
      <w:pPr>
        <w:spacing w:after="0" w:line="217" w:lineRule="exact"/>
        <w:rPr>
          <w:rFonts w:ascii="Arial" w:cs="Arial" w:eastAsia="Arial" w:hAnsi="Arial"/>
          <w:sz w:val="21"/>
          <w:szCs w:val="21"/>
          <w:color w:val="auto"/>
        </w:rPr>
      </w:pPr>
    </w:p>
    <w:p>
      <w:pPr>
        <w:ind w:left="840" w:hanging="292"/>
        <w:spacing w:after="0"/>
        <w:tabs>
          <w:tab w:leader="none" w:pos="840" w:val="left"/>
        </w:tabs>
        <w:numPr>
          <w:ilvl w:val="0"/>
          <w:numId w:val="8"/>
        </w:numPr>
        <w:rPr>
          <w:rFonts w:ascii="Arial" w:cs="Arial" w:eastAsia="Arial" w:hAnsi="Arial"/>
          <w:sz w:val="22"/>
          <w:szCs w:val="22"/>
          <w:color w:val="auto"/>
        </w:rPr>
      </w:pPr>
      <w:r>
        <w:rPr>
          <w:rFonts w:ascii="Arial" w:cs="Arial" w:eastAsia="Arial" w:hAnsi="Arial"/>
          <w:sz w:val="22"/>
          <w:szCs w:val="22"/>
          <w:color w:val="auto"/>
        </w:rPr>
        <w:t>[ ] An investment adviser in accordance with 240.13d-1(b)(1)(ii)(E);</w:t>
      </w:r>
    </w:p>
    <w:p>
      <w:pPr>
        <w:spacing w:after="0" w:line="206" w:lineRule="exact"/>
        <w:rPr>
          <w:rFonts w:ascii="Arial" w:cs="Arial" w:eastAsia="Arial" w:hAnsi="Arial"/>
          <w:sz w:val="22"/>
          <w:szCs w:val="22"/>
          <w:color w:val="auto"/>
        </w:rPr>
      </w:pPr>
    </w:p>
    <w:p>
      <w:pPr>
        <w:ind w:left="820" w:hanging="272"/>
        <w:spacing w:after="0"/>
        <w:tabs>
          <w:tab w:leader="none" w:pos="820" w:val="left"/>
        </w:tabs>
        <w:numPr>
          <w:ilvl w:val="0"/>
          <w:numId w:val="8"/>
        </w:numPr>
        <w:rPr>
          <w:rFonts w:ascii="Arial" w:cs="Arial" w:eastAsia="Arial" w:hAnsi="Arial"/>
          <w:sz w:val="22"/>
          <w:szCs w:val="22"/>
          <w:color w:val="auto"/>
        </w:rPr>
      </w:pPr>
      <w:r>
        <w:rPr>
          <w:rFonts w:ascii="Arial" w:cs="Arial" w:eastAsia="Arial" w:hAnsi="Arial"/>
          <w:sz w:val="22"/>
          <w:szCs w:val="22"/>
          <w:color w:val="auto"/>
        </w:rPr>
        <w:t>[*] An employee benefit plan or endowment fund in accordance with 240.13d-1(b)(1)(ii)(F);</w:t>
      </w:r>
    </w:p>
    <w:p>
      <w:pPr>
        <w:spacing w:after="0" w:line="206" w:lineRule="exact"/>
        <w:rPr>
          <w:sz w:val="20"/>
          <w:szCs w:val="20"/>
          <w:color w:val="auto"/>
        </w:rPr>
      </w:pPr>
    </w:p>
    <w:p>
      <w:pPr>
        <w:jc w:val="both"/>
        <w:ind w:left="1080" w:right="1460"/>
        <w:spacing w:after="0"/>
        <w:rPr>
          <w:sz w:val="20"/>
          <w:szCs w:val="20"/>
          <w:color w:val="auto"/>
        </w:rPr>
      </w:pPr>
      <w:r>
        <w:rPr>
          <w:rFonts w:ascii="Arial" w:cs="Arial" w:eastAsia="Arial" w:hAnsi="Arial"/>
          <w:sz w:val="22"/>
          <w:szCs w:val="22"/>
          <w:color w:val="auto"/>
        </w:rPr>
        <w:t>State Teachers Retirement System of Ohio is an employee benefit plan established for teachers of the public schools of Ohio to provide retirement allowances and other benefits under the terms of Chapter 3307 of the Ohio Revised Code.</w:t>
      </w:r>
    </w:p>
    <w:p>
      <w:pPr>
        <w:spacing w:after="0" w:line="186" w:lineRule="exact"/>
        <w:rPr>
          <w:sz w:val="20"/>
          <w:szCs w:val="20"/>
          <w:color w:val="auto"/>
        </w:rPr>
      </w:pPr>
    </w:p>
    <w:p>
      <w:pPr>
        <w:ind w:left="860" w:hanging="312"/>
        <w:spacing w:after="0"/>
        <w:tabs>
          <w:tab w:leader="none" w:pos="860" w:val="left"/>
        </w:tabs>
        <w:numPr>
          <w:ilvl w:val="0"/>
          <w:numId w:val="9"/>
        </w:numPr>
        <w:rPr>
          <w:rFonts w:ascii="Arial" w:cs="Arial" w:eastAsia="Arial" w:hAnsi="Arial"/>
          <w:sz w:val="22"/>
          <w:szCs w:val="22"/>
          <w:color w:val="auto"/>
        </w:rPr>
      </w:pPr>
      <w:r>
        <w:rPr>
          <w:rFonts w:ascii="Arial" w:cs="Arial" w:eastAsia="Arial" w:hAnsi="Arial"/>
          <w:sz w:val="22"/>
          <w:szCs w:val="22"/>
          <w:color w:val="auto"/>
        </w:rPr>
        <w:t>[ ] A parent holding company or control person in accordance with 240.13d-1(b)(1)(ii)(G);</w:t>
      </w:r>
    </w:p>
    <w:p>
      <w:pPr>
        <w:spacing w:after="0" w:line="206" w:lineRule="exact"/>
        <w:rPr>
          <w:rFonts w:ascii="Arial" w:cs="Arial" w:eastAsia="Arial" w:hAnsi="Arial"/>
          <w:sz w:val="22"/>
          <w:szCs w:val="22"/>
          <w:color w:val="auto"/>
        </w:rPr>
      </w:pPr>
    </w:p>
    <w:p>
      <w:pPr>
        <w:ind w:left="860" w:hanging="312"/>
        <w:spacing w:after="0"/>
        <w:tabs>
          <w:tab w:leader="none" w:pos="860" w:val="left"/>
        </w:tabs>
        <w:numPr>
          <w:ilvl w:val="0"/>
          <w:numId w:val="9"/>
        </w:numPr>
        <w:rPr>
          <w:rFonts w:ascii="Arial" w:cs="Arial" w:eastAsia="Arial" w:hAnsi="Arial"/>
          <w:sz w:val="22"/>
          <w:szCs w:val="22"/>
          <w:color w:val="auto"/>
        </w:rPr>
      </w:pPr>
      <w:r>
        <w:rPr>
          <w:rFonts w:ascii="Arial" w:cs="Arial" w:eastAsia="Arial" w:hAnsi="Arial"/>
          <w:sz w:val="22"/>
          <w:szCs w:val="22"/>
          <w:color w:val="auto"/>
        </w:rPr>
        <w:t>[ ] A savings association as defined in Section 3(b) of the Federal Deposit Insurance Act (12 U.S.C. 1813);</w:t>
      </w:r>
    </w:p>
    <w:p>
      <w:pPr>
        <w:spacing w:after="0" w:line="206" w:lineRule="exact"/>
        <w:rPr>
          <w:rFonts w:ascii="Arial" w:cs="Arial" w:eastAsia="Arial" w:hAnsi="Arial"/>
          <w:sz w:val="22"/>
          <w:szCs w:val="22"/>
          <w:color w:val="auto"/>
        </w:rPr>
      </w:pPr>
    </w:p>
    <w:p>
      <w:pPr>
        <w:ind w:left="800" w:hanging="252"/>
        <w:spacing w:after="0"/>
        <w:tabs>
          <w:tab w:leader="none" w:pos="800" w:val="left"/>
        </w:tabs>
        <w:numPr>
          <w:ilvl w:val="0"/>
          <w:numId w:val="9"/>
        </w:numPr>
        <w:rPr>
          <w:rFonts w:ascii="Arial" w:cs="Arial" w:eastAsia="Arial" w:hAnsi="Arial"/>
          <w:sz w:val="22"/>
          <w:szCs w:val="22"/>
          <w:color w:val="auto"/>
        </w:rPr>
      </w:pPr>
      <w:r>
        <w:rPr>
          <w:rFonts w:ascii="Arial" w:cs="Arial" w:eastAsia="Arial" w:hAnsi="Arial"/>
          <w:sz w:val="22"/>
          <w:szCs w:val="22"/>
          <w:color w:val="auto"/>
        </w:rPr>
        <w:t>[ ] A church plan that is excluded from the definition of an investment company under Section 3(c)(14) of the</w:t>
      </w:r>
    </w:p>
    <w:p>
      <w:pPr>
        <w:ind w:left="540"/>
        <w:spacing w:after="0" w:line="187" w:lineRule="auto"/>
        <w:rPr>
          <w:sz w:val="20"/>
          <w:szCs w:val="20"/>
          <w:color w:val="auto"/>
        </w:rPr>
      </w:pPr>
      <w:r>
        <w:rPr>
          <w:rFonts w:ascii="Arial" w:cs="Arial" w:eastAsia="Arial" w:hAnsi="Arial"/>
          <w:sz w:val="22"/>
          <w:szCs w:val="22"/>
          <w:color w:val="auto"/>
        </w:rPr>
        <w:t>Investment Company Act of 1940 (15 U.S.C. 80a-3)</w:t>
      </w:r>
    </w:p>
    <w:p>
      <w:pPr>
        <w:ind w:left="60"/>
        <w:spacing w:after="0"/>
        <w:rPr>
          <w:sz w:val="20"/>
          <w:szCs w:val="20"/>
          <w:color w:val="auto"/>
        </w:rPr>
      </w:pPr>
      <w:r>
        <w:rPr>
          <w:rFonts w:ascii="Arial" w:cs="Arial" w:eastAsia="Arial" w:hAnsi="Arial"/>
          <w:sz w:val="22"/>
          <w:szCs w:val="22"/>
          <w:color w:val="auto"/>
        </w:rPr>
        <w:t>________________________________________________________________________________</w:t>
      </w:r>
    </w:p>
    <w:p>
      <w:pPr>
        <w:sectPr>
          <w:pgSz w:w="11900" w:h="16838" w:orient="portrait"/>
          <w:cols w:equalWidth="0" w:num="1">
            <w:col w:w="11380"/>
          </w:cols>
          <w:pgMar w:left="240" w:top="118" w:right="279" w:bottom="0" w:gutter="0" w:footer="0" w:header="0"/>
        </w:sectPr>
      </w:pPr>
    </w:p>
    <w:bookmarkStart w:id="2" w:name="page3"/>
    <w:bookmarkEnd w:id="2"/>
    <w:p>
      <w:pPr>
        <w:spacing w:after="0"/>
        <w:tabs>
          <w:tab w:leader="none" w:pos="920" w:val="left"/>
        </w:tabs>
        <w:rPr>
          <w:sz w:val="20"/>
          <w:szCs w:val="20"/>
          <w:color w:val="auto"/>
        </w:rPr>
      </w:pPr>
      <w:r>
        <w:rPr>
          <w:rFonts w:ascii="Arial" w:cs="Arial" w:eastAsia="Arial" w:hAnsi="Arial"/>
          <w:sz w:val="22"/>
          <w:szCs w:val="22"/>
          <w:color w:val="auto"/>
        </w:rPr>
        <w:t>Item 4</w:t>
      </w:r>
      <w:r>
        <w:rPr>
          <w:sz w:val="20"/>
          <w:szCs w:val="20"/>
          <w:color w:val="auto"/>
        </w:rPr>
        <w:tab/>
      </w:r>
      <w:r>
        <w:rPr>
          <w:rFonts w:ascii="Arial" w:cs="Arial" w:eastAsia="Arial" w:hAnsi="Arial"/>
          <w:sz w:val="19"/>
          <w:szCs w:val="19"/>
          <w:color w:val="auto"/>
        </w:rPr>
        <w:t>OWNERSHIP</w:t>
      </w:r>
    </w:p>
    <w:p>
      <w:pPr>
        <w:spacing w:after="0" w:line="207" w:lineRule="exact"/>
        <w:rPr>
          <w:sz w:val="20"/>
          <w:szCs w:val="20"/>
          <w:color w:val="auto"/>
        </w:rPr>
      </w:pPr>
    </w:p>
    <w:p>
      <w:pPr>
        <w:ind w:left="540"/>
        <w:spacing w:after="0"/>
        <w:rPr>
          <w:sz w:val="20"/>
          <w:szCs w:val="20"/>
          <w:color w:val="auto"/>
        </w:rPr>
      </w:pPr>
      <w:r>
        <w:rPr>
          <w:rFonts w:ascii="Arial" w:cs="Arial" w:eastAsia="Arial" w:hAnsi="Arial"/>
          <w:sz w:val="22"/>
          <w:szCs w:val="22"/>
          <w:color w:val="auto"/>
        </w:rPr>
        <w:t>(a) Amount Beneficially Owned:</w:t>
      </w:r>
    </w:p>
    <w:p>
      <w:pPr>
        <w:spacing w:after="0" w:line="22" w:lineRule="exact"/>
        <w:rPr>
          <w:sz w:val="20"/>
          <w:szCs w:val="20"/>
          <w:color w:val="auto"/>
        </w:rPr>
      </w:pPr>
    </w:p>
    <w:p>
      <w:pPr>
        <w:ind w:left="1080"/>
        <w:spacing w:after="0"/>
        <w:rPr>
          <w:sz w:val="20"/>
          <w:szCs w:val="20"/>
          <w:color w:val="auto"/>
        </w:rPr>
      </w:pPr>
      <w:r>
        <w:rPr>
          <w:rFonts w:ascii="Arial" w:cs="Arial" w:eastAsia="Arial" w:hAnsi="Arial"/>
          <w:sz w:val="22"/>
          <w:szCs w:val="22"/>
          <w:color w:val="auto"/>
        </w:rPr>
        <w:t>STRS owns 5,749,65 9.000 shares of TPG SPECIALTY LENDING INC.</w:t>
      </w:r>
    </w:p>
    <w:p>
      <w:pPr>
        <w:spacing w:after="0" w:line="188" w:lineRule="exact"/>
        <w:rPr>
          <w:sz w:val="20"/>
          <w:szCs w:val="20"/>
          <w:color w:val="auto"/>
        </w:rPr>
      </w:pPr>
    </w:p>
    <w:p>
      <w:pPr>
        <w:ind w:left="540"/>
        <w:spacing w:after="0"/>
        <w:rPr>
          <w:sz w:val="20"/>
          <w:szCs w:val="20"/>
          <w:color w:val="auto"/>
        </w:rPr>
      </w:pPr>
      <w:r>
        <w:rPr>
          <w:rFonts w:ascii="Arial" w:cs="Arial" w:eastAsia="Arial" w:hAnsi="Arial"/>
          <w:sz w:val="22"/>
          <w:szCs w:val="22"/>
          <w:color w:val="auto"/>
        </w:rPr>
        <w:t>(b) Percent of Class:</w:t>
      </w:r>
    </w:p>
    <w:p>
      <w:pPr>
        <w:spacing w:after="0" w:line="22" w:lineRule="exact"/>
        <w:rPr>
          <w:sz w:val="20"/>
          <w:szCs w:val="20"/>
          <w:color w:val="auto"/>
        </w:rPr>
      </w:pPr>
    </w:p>
    <w:p>
      <w:pPr>
        <w:ind w:left="1080" w:right="1240"/>
        <w:spacing w:after="0" w:line="234" w:lineRule="auto"/>
        <w:rPr>
          <w:sz w:val="20"/>
          <w:szCs w:val="20"/>
          <w:color w:val="auto"/>
        </w:rPr>
      </w:pPr>
      <w:r>
        <w:rPr>
          <w:rFonts w:ascii="Arial" w:cs="Arial" w:eastAsia="Arial" w:hAnsi="Arial"/>
          <w:sz w:val="22"/>
          <w:szCs w:val="22"/>
          <w:color w:val="auto"/>
        </w:rPr>
        <w:t>STRS believes that there are presently 66,480,57 5.000 outstanding shares of TPG SPECIALTY LENDING INC.; therefore, STRS' ownership of 5,749,65 9.000 shares of TPG SPECIALTY LENDING INC. stock is 8.649% of this class.</w:t>
      </w:r>
    </w:p>
    <w:p>
      <w:pPr>
        <w:spacing w:after="0" w:line="188" w:lineRule="exact"/>
        <w:rPr>
          <w:sz w:val="20"/>
          <w:szCs w:val="20"/>
          <w:color w:val="auto"/>
        </w:rPr>
      </w:pPr>
    </w:p>
    <w:p>
      <w:pPr>
        <w:ind w:left="540"/>
        <w:spacing w:after="0"/>
        <w:rPr>
          <w:sz w:val="20"/>
          <w:szCs w:val="20"/>
          <w:color w:val="auto"/>
        </w:rPr>
      </w:pPr>
      <w:r>
        <w:rPr>
          <w:rFonts w:ascii="Arial" w:cs="Arial" w:eastAsia="Arial" w:hAnsi="Arial"/>
          <w:sz w:val="22"/>
          <w:szCs w:val="22"/>
          <w:color w:val="auto"/>
        </w:rPr>
        <w:t>(c) Number of Shares As To Which Such Person Has Power:</w:t>
      </w:r>
    </w:p>
    <w:p>
      <w:pPr>
        <w:spacing w:after="0" w:line="206" w:lineRule="exact"/>
        <w:rPr>
          <w:sz w:val="20"/>
          <w:szCs w:val="20"/>
          <w:color w:val="auto"/>
        </w:rPr>
      </w:pPr>
    </w:p>
    <w:p>
      <w:pPr>
        <w:ind w:left="1080"/>
        <w:spacing w:after="0"/>
        <w:tabs>
          <w:tab w:leader="none" w:pos="4920" w:val="left"/>
        </w:tabs>
        <w:rPr>
          <w:sz w:val="20"/>
          <w:szCs w:val="20"/>
          <w:color w:val="auto"/>
        </w:rPr>
      </w:pPr>
      <w:r>
        <w:rPr>
          <w:rFonts w:ascii="Arial" w:cs="Arial" w:eastAsia="Arial" w:hAnsi="Arial"/>
          <w:sz w:val="22"/>
          <w:szCs w:val="22"/>
          <w:color w:val="auto"/>
        </w:rPr>
        <w:t>(i) Sole power to vote or to direct the vote</w:t>
      </w:r>
      <w:r>
        <w:rPr>
          <w:sz w:val="20"/>
          <w:szCs w:val="20"/>
          <w:color w:val="auto"/>
        </w:rPr>
        <w:tab/>
      </w:r>
      <w:r>
        <w:rPr>
          <w:rFonts w:ascii="Arial" w:cs="Arial" w:eastAsia="Arial" w:hAnsi="Arial"/>
          <w:sz w:val="19"/>
          <w:szCs w:val="19"/>
          <w:color w:val="auto"/>
        </w:rPr>
        <w:t>5,749,65 9.000</w:t>
      </w:r>
    </w:p>
    <w:p>
      <w:pPr>
        <w:spacing w:after="0" w:line="206" w:lineRule="exact"/>
        <w:rPr>
          <w:sz w:val="20"/>
          <w:szCs w:val="20"/>
          <w:color w:val="auto"/>
        </w:rPr>
      </w:pPr>
    </w:p>
    <w:p>
      <w:pPr>
        <w:ind w:left="1080"/>
        <w:spacing w:after="0"/>
        <w:tabs>
          <w:tab w:leader="none" w:pos="5200" w:val="left"/>
        </w:tabs>
        <w:rPr>
          <w:sz w:val="20"/>
          <w:szCs w:val="20"/>
          <w:color w:val="auto"/>
        </w:rPr>
      </w:pPr>
      <w:r>
        <w:rPr>
          <w:rFonts w:ascii="Arial" w:cs="Arial" w:eastAsia="Arial" w:hAnsi="Arial"/>
          <w:sz w:val="21"/>
          <w:szCs w:val="21"/>
          <w:color w:val="auto"/>
        </w:rPr>
        <w:t>(ii) Shared power to vote or to direct the vote</w:t>
      </w:r>
      <w:r>
        <w:rPr>
          <w:sz w:val="20"/>
          <w:szCs w:val="20"/>
          <w:color w:val="auto"/>
        </w:rPr>
        <w:tab/>
      </w:r>
      <w:r>
        <w:rPr>
          <w:rFonts w:ascii="Arial" w:cs="Arial" w:eastAsia="Arial" w:hAnsi="Arial"/>
          <w:sz w:val="17"/>
          <w:szCs w:val="17"/>
          <w:color w:val="auto"/>
        </w:rPr>
        <w:t>0</w:t>
      </w:r>
    </w:p>
    <w:p>
      <w:pPr>
        <w:spacing w:after="0" w:line="218" w:lineRule="exact"/>
        <w:rPr>
          <w:sz w:val="20"/>
          <w:szCs w:val="20"/>
          <w:color w:val="auto"/>
        </w:rPr>
      </w:pPr>
    </w:p>
    <w:p>
      <w:pPr>
        <w:ind w:left="1080"/>
        <w:spacing w:after="0"/>
        <w:tabs>
          <w:tab w:leader="none" w:pos="6180" w:val="left"/>
        </w:tabs>
        <w:rPr>
          <w:sz w:val="20"/>
          <w:szCs w:val="20"/>
          <w:color w:val="auto"/>
        </w:rPr>
      </w:pPr>
      <w:r>
        <w:rPr>
          <w:rFonts w:ascii="Arial" w:cs="Arial" w:eastAsia="Arial" w:hAnsi="Arial"/>
          <w:sz w:val="22"/>
          <w:szCs w:val="22"/>
          <w:color w:val="auto"/>
        </w:rPr>
        <w:t>(iii) Sole power to dispose or to direct the disposition of</w:t>
      </w:r>
      <w:r>
        <w:rPr>
          <w:sz w:val="20"/>
          <w:szCs w:val="20"/>
          <w:color w:val="auto"/>
        </w:rPr>
        <w:tab/>
      </w:r>
      <w:r>
        <w:rPr>
          <w:rFonts w:ascii="Arial" w:cs="Arial" w:eastAsia="Arial" w:hAnsi="Arial"/>
          <w:sz w:val="19"/>
          <w:szCs w:val="19"/>
          <w:color w:val="auto"/>
        </w:rPr>
        <w:t>5,749,65 9.000</w:t>
      </w:r>
    </w:p>
    <w:p>
      <w:pPr>
        <w:spacing w:after="0" w:line="206" w:lineRule="exact"/>
        <w:rPr>
          <w:sz w:val="20"/>
          <w:szCs w:val="20"/>
          <w:color w:val="auto"/>
        </w:rPr>
      </w:pPr>
    </w:p>
    <w:p>
      <w:pPr>
        <w:ind w:left="1080"/>
        <w:spacing w:after="0"/>
        <w:rPr>
          <w:sz w:val="20"/>
          <w:szCs w:val="20"/>
          <w:color w:val="auto"/>
        </w:rPr>
      </w:pPr>
      <w:r>
        <w:rPr>
          <w:rFonts w:ascii="Arial" w:cs="Arial" w:eastAsia="Arial" w:hAnsi="Arial"/>
          <w:sz w:val="22"/>
          <w:szCs w:val="22"/>
          <w:color w:val="auto"/>
        </w:rPr>
        <w:t>(iv) Shared power to dispose or to direct the disposition of 5,749,65 9.000 shares of TPG SPECIALTY</w:t>
      </w:r>
    </w:p>
    <w:p>
      <w:pPr>
        <w:ind w:left="1080"/>
        <w:spacing w:after="0" w:line="187" w:lineRule="auto"/>
        <w:rPr>
          <w:sz w:val="20"/>
          <w:szCs w:val="20"/>
          <w:color w:val="auto"/>
        </w:rPr>
      </w:pPr>
      <w:r>
        <w:rPr>
          <w:rFonts w:ascii="Arial" w:cs="Arial" w:eastAsia="Arial" w:hAnsi="Arial"/>
          <w:sz w:val="22"/>
          <w:szCs w:val="22"/>
          <w:color w:val="auto"/>
        </w:rPr>
        <w:t>LENDING INC. stock.</w:t>
      </w:r>
    </w:p>
    <w:p>
      <w:pPr>
        <w:ind w:left="60"/>
        <w:spacing w:after="0"/>
        <w:rPr>
          <w:sz w:val="20"/>
          <w:szCs w:val="20"/>
          <w:color w:val="auto"/>
        </w:rPr>
      </w:pPr>
      <w:r>
        <w:rPr>
          <w:rFonts w:ascii="Arial" w:cs="Arial" w:eastAsia="Arial" w:hAnsi="Arial"/>
          <w:sz w:val="22"/>
          <w:szCs w:val="22"/>
          <w:color w:val="auto"/>
        </w:rPr>
        <w:t>________________________________________________________________________________</w:t>
      </w:r>
    </w:p>
    <w:p>
      <w:pPr>
        <w:spacing w:after="0" w:line="188" w:lineRule="exact"/>
        <w:rPr>
          <w:sz w:val="20"/>
          <w:szCs w:val="20"/>
          <w:color w:val="auto"/>
        </w:rPr>
      </w:pPr>
    </w:p>
    <w:p>
      <w:pPr>
        <w:spacing w:after="0"/>
        <w:tabs>
          <w:tab w:leader="none" w:pos="980" w:val="left"/>
        </w:tabs>
        <w:rPr>
          <w:sz w:val="20"/>
          <w:szCs w:val="20"/>
          <w:color w:val="auto"/>
        </w:rPr>
      </w:pPr>
      <w:r>
        <w:rPr>
          <w:rFonts w:ascii="Arial" w:cs="Arial" w:eastAsia="Arial" w:hAnsi="Arial"/>
          <w:sz w:val="22"/>
          <w:szCs w:val="22"/>
          <w:color w:val="auto"/>
        </w:rPr>
        <w:t>Item 5</w:t>
      </w:r>
      <w:r>
        <w:rPr>
          <w:sz w:val="20"/>
          <w:szCs w:val="20"/>
          <w:color w:val="auto"/>
        </w:rPr>
        <w:tab/>
      </w:r>
      <w:r>
        <w:rPr>
          <w:rFonts w:ascii="Arial" w:cs="Arial" w:eastAsia="Arial" w:hAnsi="Arial"/>
          <w:sz w:val="19"/>
          <w:szCs w:val="19"/>
          <w:color w:val="auto"/>
        </w:rPr>
        <w:t>OWNERSHIP OF FIVE PERCENT OR LESS OF A CLASS.</w:t>
      </w:r>
    </w:p>
    <w:p>
      <w:pPr>
        <w:spacing w:after="0" w:line="206" w:lineRule="exact"/>
        <w:rPr>
          <w:sz w:val="20"/>
          <w:szCs w:val="20"/>
          <w:color w:val="auto"/>
        </w:rPr>
      </w:pPr>
    </w:p>
    <w:p>
      <w:pPr>
        <w:ind w:left="540" w:right="920"/>
        <w:spacing w:after="0" w:line="223" w:lineRule="auto"/>
        <w:rPr>
          <w:sz w:val="20"/>
          <w:szCs w:val="20"/>
          <w:color w:val="auto"/>
        </w:rPr>
      </w:pPr>
      <w:r>
        <w:rPr>
          <w:rFonts w:ascii="Arial" w:cs="Arial" w:eastAsia="Arial" w:hAnsi="Arial"/>
          <w:sz w:val="21"/>
          <w:szCs w:val="21"/>
          <w:color w:val="auto"/>
        </w:rPr>
        <w:t>If this statements is being filed to report the fact that as of the date hereof the reporting person has ceased to be the beneficial owner of more than five (5) percent of the class of securities, check the following [ ].</w:t>
      </w:r>
    </w:p>
    <w:p>
      <w:pPr>
        <w:spacing w:after="0" w:line="1" w:lineRule="exact"/>
        <w:rPr>
          <w:sz w:val="20"/>
          <w:szCs w:val="20"/>
          <w:color w:val="auto"/>
        </w:rPr>
      </w:pPr>
    </w:p>
    <w:p>
      <w:pPr>
        <w:ind w:left="60"/>
        <w:spacing w:after="0"/>
        <w:rPr>
          <w:sz w:val="20"/>
          <w:szCs w:val="20"/>
          <w:color w:val="auto"/>
        </w:rPr>
      </w:pPr>
      <w:r>
        <w:rPr>
          <w:rFonts w:ascii="Arial" w:cs="Arial" w:eastAsia="Arial" w:hAnsi="Arial"/>
          <w:sz w:val="22"/>
          <w:szCs w:val="22"/>
          <w:color w:val="auto"/>
        </w:rPr>
        <w:t>________________________________________________________________________________</w:t>
      </w:r>
    </w:p>
    <w:p>
      <w:pPr>
        <w:spacing w:after="0" w:line="188" w:lineRule="exact"/>
        <w:rPr>
          <w:sz w:val="20"/>
          <w:szCs w:val="20"/>
          <w:color w:val="auto"/>
        </w:rPr>
      </w:pPr>
    </w:p>
    <w:p>
      <w:pPr>
        <w:spacing w:after="0"/>
        <w:tabs>
          <w:tab w:leader="none" w:pos="980" w:val="left"/>
        </w:tabs>
        <w:rPr>
          <w:sz w:val="20"/>
          <w:szCs w:val="20"/>
          <w:color w:val="auto"/>
        </w:rPr>
      </w:pPr>
      <w:r>
        <w:rPr>
          <w:rFonts w:ascii="Arial" w:cs="Arial" w:eastAsia="Arial" w:hAnsi="Arial"/>
          <w:sz w:val="22"/>
          <w:szCs w:val="22"/>
          <w:color w:val="auto"/>
        </w:rPr>
        <w:t>Item 6</w:t>
      </w:r>
      <w:r>
        <w:rPr>
          <w:sz w:val="20"/>
          <w:szCs w:val="20"/>
          <w:color w:val="auto"/>
        </w:rPr>
        <w:tab/>
      </w:r>
      <w:r>
        <w:rPr>
          <w:rFonts w:ascii="Arial" w:cs="Arial" w:eastAsia="Arial" w:hAnsi="Arial"/>
          <w:sz w:val="19"/>
          <w:szCs w:val="19"/>
          <w:color w:val="auto"/>
        </w:rPr>
        <w:t>OWNERSHIP OF MORE THAN FIVE PERCENT ON BEHALF OF ANOTHER PERSON</w:t>
      </w:r>
    </w:p>
    <w:p>
      <w:pPr>
        <w:spacing w:after="0" w:line="160" w:lineRule="exact"/>
        <w:rPr>
          <w:sz w:val="20"/>
          <w:szCs w:val="20"/>
          <w:color w:val="auto"/>
        </w:rPr>
      </w:pPr>
    </w:p>
    <w:p>
      <w:pPr>
        <w:ind w:left="540"/>
        <w:spacing w:after="0"/>
        <w:rPr>
          <w:sz w:val="20"/>
          <w:szCs w:val="20"/>
          <w:color w:val="auto"/>
        </w:rPr>
      </w:pPr>
      <w:r>
        <w:rPr>
          <w:rFonts w:ascii="Arial" w:cs="Arial" w:eastAsia="Arial" w:hAnsi="Arial"/>
          <w:sz w:val="22"/>
          <w:szCs w:val="22"/>
          <w:color w:val="auto"/>
        </w:rPr>
        <w:t>Not Applicable</w:t>
      </w:r>
    </w:p>
    <w:p>
      <w:pPr>
        <w:ind w:left="60"/>
        <w:spacing w:after="0"/>
        <w:rPr>
          <w:sz w:val="20"/>
          <w:szCs w:val="20"/>
          <w:color w:val="auto"/>
        </w:rPr>
      </w:pPr>
      <w:r>
        <w:rPr>
          <w:rFonts w:ascii="Arial" w:cs="Arial" w:eastAsia="Arial" w:hAnsi="Arial"/>
          <w:sz w:val="22"/>
          <w:szCs w:val="22"/>
          <w:color w:val="auto"/>
        </w:rPr>
        <w:t>________________________________________________________________________________</w:t>
      </w:r>
    </w:p>
    <w:p>
      <w:pPr>
        <w:spacing w:after="0" w:line="188" w:lineRule="exact"/>
        <w:rPr>
          <w:sz w:val="20"/>
          <w:szCs w:val="20"/>
          <w:color w:val="auto"/>
        </w:rPr>
      </w:pPr>
    </w:p>
    <w:p>
      <w:pPr>
        <w:ind w:right="420"/>
        <w:spacing w:after="0" w:line="251" w:lineRule="auto"/>
        <w:rPr>
          <w:sz w:val="20"/>
          <w:szCs w:val="20"/>
          <w:color w:val="auto"/>
        </w:rPr>
      </w:pPr>
      <w:r>
        <w:rPr>
          <w:rFonts w:ascii="Arial" w:cs="Arial" w:eastAsia="Arial" w:hAnsi="Arial"/>
          <w:sz w:val="22"/>
          <w:szCs w:val="22"/>
          <w:color w:val="auto"/>
        </w:rPr>
        <w:t>Item 7 IDENTIFICATION AND CLASSIFICATION OF SUBSIDIARY WHICH ACQUIRED THE SECURITY BEING REPORTED ON BY THE PARENT HOLDING COMPANY.</w:t>
      </w:r>
    </w:p>
    <w:p>
      <w:pPr>
        <w:spacing w:after="0" w:line="127" w:lineRule="exact"/>
        <w:rPr>
          <w:sz w:val="20"/>
          <w:szCs w:val="20"/>
          <w:color w:val="auto"/>
        </w:rPr>
      </w:pPr>
    </w:p>
    <w:p>
      <w:pPr>
        <w:ind w:left="540"/>
        <w:spacing w:after="0"/>
        <w:rPr>
          <w:sz w:val="20"/>
          <w:szCs w:val="20"/>
          <w:color w:val="auto"/>
        </w:rPr>
      </w:pPr>
      <w:r>
        <w:rPr>
          <w:rFonts w:ascii="Arial" w:cs="Arial" w:eastAsia="Arial" w:hAnsi="Arial"/>
          <w:sz w:val="22"/>
          <w:szCs w:val="22"/>
          <w:color w:val="auto"/>
        </w:rPr>
        <w:t>Not Applicable</w:t>
      </w:r>
    </w:p>
    <w:p>
      <w:pPr>
        <w:ind w:left="60"/>
        <w:spacing w:after="0"/>
        <w:rPr>
          <w:sz w:val="20"/>
          <w:szCs w:val="20"/>
          <w:color w:val="auto"/>
        </w:rPr>
      </w:pPr>
      <w:r>
        <w:rPr>
          <w:rFonts w:ascii="Arial" w:cs="Arial" w:eastAsia="Arial" w:hAnsi="Arial"/>
          <w:sz w:val="22"/>
          <w:szCs w:val="22"/>
          <w:color w:val="auto"/>
        </w:rPr>
        <w:t>________________________________________________________________________________</w:t>
      </w:r>
    </w:p>
    <w:p>
      <w:pPr>
        <w:spacing w:after="0" w:line="188" w:lineRule="exact"/>
        <w:rPr>
          <w:sz w:val="20"/>
          <w:szCs w:val="20"/>
          <w:color w:val="auto"/>
        </w:rPr>
      </w:pPr>
    </w:p>
    <w:p>
      <w:pPr>
        <w:spacing w:after="0"/>
        <w:tabs>
          <w:tab w:leader="none" w:pos="980" w:val="left"/>
        </w:tabs>
        <w:rPr>
          <w:sz w:val="20"/>
          <w:szCs w:val="20"/>
          <w:color w:val="auto"/>
        </w:rPr>
      </w:pPr>
      <w:r>
        <w:rPr>
          <w:rFonts w:ascii="Arial" w:cs="Arial" w:eastAsia="Arial" w:hAnsi="Arial"/>
          <w:sz w:val="22"/>
          <w:szCs w:val="22"/>
          <w:color w:val="auto"/>
        </w:rPr>
        <w:t>Item 8</w:t>
      </w:r>
      <w:r>
        <w:rPr>
          <w:sz w:val="20"/>
          <w:szCs w:val="20"/>
          <w:color w:val="auto"/>
        </w:rPr>
        <w:tab/>
      </w:r>
      <w:r>
        <w:rPr>
          <w:rFonts w:ascii="Arial" w:cs="Arial" w:eastAsia="Arial" w:hAnsi="Arial"/>
          <w:sz w:val="19"/>
          <w:szCs w:val="19"/>
          <w:color w:val="auto"/>
        </w:rPr>
        <w:t>IDENTIFICATION AND CLASSIFICATION OF MEMBERS OF THE GROUP</w:t>
      </w:r>
    </w:p>
    <w:p>
      <w:pPr>
        <w:spacing w:after="0" w:line="160" w:lineRule="exact"/>
        <w:rPr>
          <w:sz w:val="20"/>
          <w:szCs w:val="20"/>
          <w:color w:val="auto"/>
        </w:rPr>
      </w:pPr>
    </w:p>
    <w:p>
      <w:pPr>
        <w:ind w:left="540"/>
        <w:spacing w:after="0"/>
        <w:rPr>
          <w:sz w:val="20"/>
          <w:szCs w:val="20"/>
          <w:color w:val="auto"/>
        </w:rPr>
      </w:pPr>
      <w:r>
        <w:rPr>
          <w:rFonts w:ascii="Arial" w:cs="Arial" w:eastAsia="Arial" w:hAnsi="Arial"/>
          <w:sz w:val="22"/>
          <w:szCs w:val="22"/>
          <w:color w:val="auto"/>
        </w:rPr>
        <w:t>Not Applicable</w:t>
      </w:r>
    </w:p>
    <w:p>
      <w:pPr>
        <w:ind w:left="60"/>
        <w:spacing w:after="0"/>
        <w:rPr>
          <w:sz w:val="20"/>
          <w:szCs w:val="20"/>
          <w:color w:val="auto"/>
        </w:rPr>
      </w:pPr>
      <w:r>
        <w:rPr>
          <w:rFonts w:ascii="Arial" w:cs="Arial" w:eastAsia="Arial" w:hAnsi="Arial"/>
          <w:sz w:val="22"/>
          <w:szCs w:val="22"/>
          <w:color w:val="auto"/>
        </w:rPr>
        <w:t>________________________________________________________________________________</w:t>
      </w:r>
    </w:p>
    <w:p>
      <w:pPr>
        <w:spacing w:after="0" w:line="188" w:lineRule="exact"/>
        <w:rPr>
          <w:sz w:val="20"/>
          <w:szCs w:val="20"/>
          <w:color w:val="auto"/>
        </w:rPr>
      </w:pPr>
    </w:p>
    <w:p>
      <w:pPr>
        <w:spacing w:after="0"/>
        <w:tabs>
          <w:tab w:leader="none" w:pos="980" w:val="left"/>
        </w:tabs>
        <w:rPr>
          <w:sz w:val="20"/>
          <w:szCs w:val="20"/>
          <w:color w:val="auto"/>
        </w:rPr>
      </w:pPr>
      <w:r>
        <w:rPr>
          <w:rFonts w:ascii="Arial" w:cs="Arial" w:eastAsia="Arial" w:hAnsi="Arial"/>
          <w:sz w:val="22"/>
          <w:szCs w:val="22"/>
          <w:color w:val="auto"/>
        </w:rPr>
        <w:t>Item 9</w:t>
      </w:r>
      <w:r>
        <w:rPr>
          <w:sz w:val="20"/>
          <w:szCs w:val="20"/>
          <w:color w:val="auto"/>
        </w:rPr>
        <w:tab/>
      </w:r>
      <w:r>
        <w:rPr>
          <w:rFonts w:ascii="Arial" w:cs="Arial" w:eastAsia="Arial" w:hAnsi="Arial"/>
          <w:sz w:val="19"/>
          <w:szCs w:val="19"/>
          <w:color w:val="auto"/>
        </w:rPr>
        <w:t>NOTICE OF DISSOLUTION OF GROUP</w:t>
      </w:r>
    </w:p>
    <w:p>
      <w:pPr>
        <w:spacing w:after="0" w:line="160" w:lineRule="exact"/>
        <w:rPr>
          <w:sz w:val="20"/>
          <w:szCs w:val="20"/>
          <w:color w:val="auto"/>
        </w:rPr>
      </w:pPr>
    </w:p>
    <w:p>
      <w:pPr>
        <w:ind w:left="540"/>
        <w:spacing w:after="0"/>
        <w:rPr>
          <w:sz w:val="20"/>
          <w:szCs w:val="20"/>
          <w:color w:val="auto"/>
        </w:rPr>
      </w:pPr>
      <w:r>
        <w:rPr>
          <w:rFonts w:ascii="Arial" w:cs="Arial" w:eastAsia="Arial" w:hAnsi="Arial"/>
          <w:sz w:val="22"/>
          <w:szCs w:val="22"/>
          <w:color w:val="auto"/>
        </w:rPr>
        <w:t>Not Applicable</w:t>
      </w:r>
    </w:p>
    <w:p>
      <w:pPr>
        <w:ind w:left="60"/>
        <w:spacing w:after="0"/>
        <w:rPr>
          <w:sz w:val="20"/>
          <w:szCs w:val="20"/>
          <w:color w:val="auto"/>
        </w:rPr>
      </w:pPr>
      <w:r>
        <w:rPr>
          <w:rFonts w:ascii="Arial" w:cs="Arial" w:eastAsia="Arial" w:hAnsi="Arial"/>
          <w:sz w:val="22"/>
          <w:szCs w:val="22"/>
          <w:color w:val="auto"/>
        </w:rPr>
        <w:t>________________________________________________________________________________</w:t>
      </w:r>
    </w:p>
    <w:p>
      <w:pPr>
        <w:spacing w:after="0" w:line="188" w:lineRule="exact"/>
        <w:rPr>
          <w:sz w:val="20"/>
          <w:szCs w:val="20"/>
          <w:color w:val="auto"/>
        </w:rPr>
      </w:pPr>
    </w:p>
    <w:p>
      <w:pPr>
        <w:spacing w:after="0"/>
        <w:tabs>
          <w:tab w:leader="none" w:pos="1080" w:val="left"/>
        </w:tabs>
        <w:rPr>
          <w:sz w:val="20"/>
          <w:szCs w:val="20"/>
          <w:color w:val="auto"/>
        </w:rPr>
      </w:pPr>
      <w:r>
        <w:rPr>
          <w:rFonts w:ascii="Arial" w:cs="Arial" w:eastAsia="Arial" w:hAnsi="Arial"/>
          <w:sz w:val="22"/>
          <w:szCs w:val="22"/>
          <w:color w:val="auto"/>
        </w:rPr>
        <w:t>Item 10</w:t>
      </w:r>
      <w:r>
        <w:rPr>
          <w:sz w:val="20"/>
          <w:szCs w:val="20"/>
          <w:color w:val="auto"/>
        </w:rPr>
        <w:tab/>
      </w:r>
      <w:r>
        <w:rPr>
          <w:rFonts w:ascii="Arial" w:cs="Arial" w:eastAsia="Arial" w:hAnsi="Arial"/>
          <w:sz w:val="19"/>
          <w:szCs w:val="19"/>
          <w:color w:val="auto"/>
        </w:rPr>
        <w:t>CERTIFICATION</w:t>
      </w:r>
    </w:p>
    <w:p>
      <w:pPr>
        <w:spacing w:after="0" w:line="206" w:lineRule="exact"/>
        <w:rPr>
          <w:sz w:val="20"/>
          <w:szCs w:val="20"/>
          <w:color w:val="auto"/>
        </w:rPr>
      </w:pPr>
    </w:p>
    <w:p>
      <w:pPr>
        <w:spacing w:after="0" w:line="222" w:lineRule="auto"/>
        <w:rPr>
          <w:sz w:val="20"/>
          <w:szCs w:val="20"/>
          <w:color w:val="auto"/>
        </w:rPr>
      </w:pPr>
      <w:r>
        <w:rPr>
          <w:rFonts w:ascii="Arial" w:cs="Arial" w:eastAsia="Arial" w:hAnsi="Arial"/>
          <w:sz w:val="22"/>
          <w:szCs w:val="22"/>
          <w:color w:val="auto"/>
        </w:rPr>
        <w:t>By signing below I certify that, to the best of my knowledge and belief, the securities referred to above were acquired in the ordinary course of business and were not acquired for the purpose of, and do not have the effect of, changing or influencing the control of the issuer of such securities, and were not acquired in connection with, or as a participant in, any transaction having such purposes or effect.</w:t>
      </w:r>
    </w:p>
    <w:p>
      <w:pPr>
        <w:ind w:left="60"/>
        <w:spacing w:after="0"/>
        <w:rPr>
          <w:sz w:val="20"/>
          <w:szCs w:val="20"/>
          <w:color w:val="auto"/>
        </w:rPr>
      </w:pPr>
      <w:r>
        <w:rPr>
          <w:rFonts w:ascii="Arial" w:cs="Arial" w:eastAsia="Arial" w:hAnsi="Arial"/>
          <w:sz w:val="22"/>
          <w:szCs w:val="22"/>
          <w:color w:val="auto"/>
        </w:rPr>
        <w:t>________________________________________________________________________________</w:t>
      </w:r>
    </w:p>
    <w:p>
      <w:pPr>
        <w:spacing w:after="0" w:line="188" w:lineRule="exact"/>
        <w:rPr>
          <w:sz w:val="20"/>
          <w:szCs w:val="20"/>
          <w:color w:val="auto"/>
        </w:rPr>
      </w:pPr>
    </w:p>
    <w:p>
      <w:pPr>
        <w:spacing w:after="0"/>
        <w:rPr>
          <w:sz w:val="20"/>
          <w:szCs w:val="20"/>
          <w:color w:val="auto"/>
        </w:rPr>
      </w:pPr>
      <w:r>
        <w:rPr>
          <w:rFonts w:ascii="Arial" w:cs="Arial" w:eastAsia="Arial" w:hAnsi="Arial"/>
          <w:sz w:val="22"/>
          <w:szCs w:val="22"/>
          <w:color w:val="auto"/>
        </w:rPr>
        <w:t>SIGNATURE</w:t>
      </w:r>
    </w:p>
    <w:p>
      <w:pPr>
        <w:spacing w:after="0" w:line="206" w:lineRule="exact"/>
        <w:rPr>
          <w:sz w:val="20"/>
          <w:szCs w:val="20"/>
          <w:color w:val="auto"/>
        </w:rPr>
      </w:pPr>
    </w:p>
    <w:p>
      <w:pPr>
        <w:spacing w:after="0" w:line="251" w:lineRule="auto"/>
        <w:rPr>
          <w:sz w:val="20"/>
          <w:szCs w:val="20"/>
          <w:color w:val="auto"/>
        </w:rPr>
      </w:pPr>
      <w:r>
        <w:rPr>
          <w:rFonts w:ascii="Arial" w:cs="Arial" w:eastAsia="Arial" w:hAnsi="Arial"/>
          <w:sz w:val="22"/>
          <w:szCs w:val="22"/>
          <w:color w:val="auto"/>
        </w:rPr>
        <w:t>After reasonable inquiry and to the best of my knowledge and belief, I certify that the information set forth in this statement is true, complete and correct.</w:t>
      </w:r>
    </w:p>
    <w:p>
      <w:pPr>
        <w:spacing w:after="0" w:line="173" w:lineRule="exact"/>
        <w:rPr>
          <w:sz w:val="20"/>
          <w:szCs w:val="20"/>
          <w:color w:val="auto"/>
        </w:rPr>
      </w:pPr>
    </w:p>
    <w:p>
      <w:pPr>
        <w:spacing w:after="0"/>
        <w:tabs>
          <w:tab w:leader="none" w:pos="1020" w:val="left"/>
        </w:tabs>
        <w:rPr>
          <w:sz w:val="20"/>
          <w:szCs w:val="20"/>
          <w:color w:val="auto"/>
        </w:rPr>
      </w:pPr>
      <w:r>
        <w:rPr>
          <w:rFonts w:ascii="Arial" w:cs="Arial" w:eastAsia="Arial" w:hAnsi="Arial"/>
          <w:sz w:val="22"/>
          <w:szCs w:val="22"/>
          <w:color w:val="auto"/>
        </w:rPr>
        <w:t>DATED:</w:t>
        <w:tab/>
        <w:t>1/9/2020</w:t>
      </w:r>
    </w:p>
    <w:p>
      <w:pPr>
        <w:spacing w:after="0" w:line="395" w:lineRule="exact"/>
        <w:rPr>
          <w:sz w:val="20"/>
          <w:szCs w:val="20"/>
          <w:color w:val="auto"/>
        </w:rPr>
      </w:pPr>
    </w:p>
    <w:p>
      <w:pPr>
        <w:ind w:right="5060"/>
        <w:spacing w:after="0" w:line="187" w:lineRule="auto"/>
        <w:rPr>
          <w:sz w:val="20"/>
          <w:szCs w:val="20"/>
          <w:color w:val="auto"/>
        </w:rPr>
      </w:pPr>
      <w:r>
        <w:rPr>
          <w:rFonts w:ascii="Arial" w:cs="Arial" w:eastAsia="Arial" w:hAnsi="Arial"/>
          <w:sz w:val="22"/>
          <w:szCs w:val="22"/>
          <w:color w:val="auto"/>
        </w:rPr>
        <w:t>OTR - Nominee Name for The State Teachers Retirement Board of Ohio 275 East Broad Street</w:t>
      </w:r>
    </w:p>
    <w:p>
      <w:pPr>
        <w:spacing w:after="0" w:line="181" w:lineRule="auto"/>
        <w:rPr>
          <w:sz w:val="20"/>
          <w:szCs w:val="20"/>
          <w:color w:val="auto"/>
        </w:rPr>
      </w:pPr>
      <w:r>
        <w:rPr>
          <w:rFonts w:ascii="Arial" w:cs="Arial" w:eastAsia="Arial" w:hAnsi="Arial"/>
          <w:sz w:val="22"/>
          <w:szCs w:val="22"/>
          <w:color w:val="auto"/>
        </w:rPr>
        <w:t>Columbus, Ohio 43215</w:t>
      </w:r>
    </w:p>
    <w:p>
      <w:pPr>
        <w:spacing w:after="0" w:line="188" w:lineRule="auto"/>
        <w:rPr>
          <w:sz w:val="20"/>
          <w:szCs w:val="20"/>
          <w:color w:val="auto"/>
        </w:rPr>
      </w:pPr>
      <w:r>
        <w:rPr>
          <w:rFonts w:ascii="Arial" w:cs="Arial" w:eastAsia="Arial" w:hAnsi="Arial"/>
          <w:sz w:val="21"/>
          <w:szCs w:val="21"/>
          <w:color w:val="auto"/>
        </w:rPr>
        <w:t>John D. Morrow</w:t>
      </w:r>
    </w:p>
    <w:p>
      <w:pPr>
        <w:spacing w:after="0"/>
        <w:rPr>
          <w:sz w:val="20"/>
          <w:szCs w:val="20"/>
          <w:color w:val="auto"/>
        </w:rPr>
      </w:pPr>
      <w:r>
        <w:rPr>
          <w:rFonts w:ascii="Arial" w:cs="Arial" w:eastAsia="Arial" w:hAnsi="Arial"/>
          <w:sz w:val="22"/>
          <w:szCs w:val="22"/>
          <w:color w:val="auto"/>
        </w:rPr>
        <w:t>/s/John. D. Morrow</w:t>
      </w:r>
    </w:p>
    <w:p>
      <w:pPr>
        <w:spacing w:after="0" w:line="142" w:lineRule="exact"/>
        <w:rPr>
          <w:sz w:val="20"/>
          <w:szCs w:val="20"/>
          <w:color w:val="auto"/>
        </w:rPr>
      </w:pPr>
    </w:p>
    <w:p>
      <w:pPr>
        <w:spacing w:after="0"/>
        <w:rPr>
          <w:sz w:val="20"/>
          <w:szCs w:val="20"/>
          <w:color w:val="auto"/>
        </w:rPr>
      </w:pPr>
      <w:r>
        <w:rPr>
          <w:rFonts w:ascii="Arial" w:cs="Arial" w:eastAsia="Arial" w:hAnsi="Arial"/>
          <w:sz w:val="22"/>
          <w:szCs w:val="22"/>
          <w:color w:val="auto"/>
        </w:rPr>
        <w:t>...........................................</w:t>
      </w:r>
    </w:p>
    <w:p>
      <w:pPr>
        <w:spacing w:after="0"/>
        <w:rPr>
          <w:sz w:val="20"/>
          <w:szCs w:val="20"/>
          <w:color w:val="auto"/>
        </w:rPr>
      </w:pPr>
      <w:r>
        <w:rPr>
          <w:rFonts w:ascii="Arial" w:cs="Arial" w:eastAsia="Arial" w:hAnsi="Arial"/>
          <w:sz w:val="22"/>
          <w:szCs w:val="22"/>
          <w:color w:val="auto"/>
        </w:rPr>
        <w:t>John. D. Morrow</w:t>
      </w:r>
    </w:p>
    <w:p>
      <w:pPr>
        <w:sectPr>
          <w:pgSz w:w="11900" w:h="16838" w:orient="portrait"/>
          <w:cols w:equalWidth="0" w:num="1">
            <w:col w:w="11360"/>
          </w:cols>
          <w:pgMar w:left="240" w:top="118" w:right="299" w:bottom="0" w:gutter="0" w:footer="0" w:header="0"/>
        </w:sectPr>
      </w:pPr>
    </w:p>
    <w:bookmarkStart w:id="3" w:name="page4"/>
    <w:bookmarkEnd w:id="3"/>
    <w:p>
      <w:pPr>
        <w:spacing w:after="0"/>
        <w:rPr>
          <w:sz w:val="20"/>
          <w:szCs w:val="20"/>
          <w:color w:val="auto"/>
        </w:rPr>
      </w:pPr>
      <w:r>
        <w:rPr>
          <w:rFonts w:ascii="Arial" w:cs="Arial" w:eastAsia="Arial" w:hAnsi="Arial"/>
          <w:sz w:val="19"/>
          <w:szCs w:val="19"/>
          <w:color w:val="auto"/>
        </w:rPr>
        <w:t>Deputy Executive Director, Investments</w:t>
      </w:r>
    </w:p>
    <w:p>
      <w:pPr>
        <w:spacing w:after="0"/>
        <w:rPr>
          <w:sz w:val="20"/>
          <w:szCs w:val="20"/>
          <w:color w:val="auto"/>
        </w:rPr>
      </w:pPr>
      <w:r>
        <w:rPr>
          <w:rFonts w:ascii="Arial" w:cs="Arial" w:eastAsia="Arial" w:hAnsi="Arial"/>
          <w:sz w:val="22"/>
          <w:szCs w:val="22"/>
          <w:color w:val="auto"/>
        </w:rPr>
        <w:t>614-227-8617</w:t>
      </w:r>
    </w:p>
    <w:sectPr>
      <w:pgSz w:w="11900" w:h="16838" w:orient="portrait"/>
      <w:cols w:equalWidth="0" w:num="1">
        <w:col w:w="10219"/>
      </w:cols>
      <w:pgMar w:left="240" w:top="107"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46E87CCD"/>
    <w:multiLevelType w:val="hybridMultilevel"/>
    <w:lvl w:ilvl="0">
      <w:lvlJc w:val="left"/>
      <w:lvlText w:val="[*]"/>
      <w:numFmt w:val="bullet"/>
      <w:start w:val="1"/>
    </w:lvl>
  </w:abstractNum>
  <w:abstractNum w:abstractNumId="1">
    <w:nsid w:val="3D1B58BA"/>
    <w:multiLevelType w:val="hybridMultilevel"/>
    <w:lvl w:ilvl="0">
      <w:lvlJc w:val="left"/>
      <w:lvlText w:val="*"/>
      <w:numFmt w:val="bullet"/>
      <w:start w:val="1"/>
    </w:lvl>
  </w:abstractNum>
  <w:abstractNum w:abstractNumId="2">
    <w:nsid w:val="507ED7AB"/>
    <w:multiLevelType w:val="hybridMultilevel"/>
    <w:lvl w:ilvl="0">
      <w:lvlJc w:val="left"/>
      <w:lvlText w:val="%1)"/>
      <w:numFmt w:val="decimal"/>
      <w:start w:val="3"/>
    </w:lvl>
  </w:abstractNum>
  <w:abstractNum w:abstractNumId="3">
    <w:nsid w:val="2EB141F2"/>
    <w:multiLevelType w:val="hybridMultilevel"/>
    <w:lvl w:ilvl="0">
      <w:lvlJc w:val="left"/>
      <w:lvlText w:val="%1)"/>
      <w:numFmt w:val="decimal"/>
      <w:start w:val="10"/>
    </w:lvl>
  </w:abstractNum>
  <w:abstractNum w:abstractNumId="4">
    <w:nsid w:val="41B71EFB"/>
    <w:multiLevelType w:val="hybridMultilevel"/>
    <w:lvl w:ilvl="0">
      <w:lvlJc w:val="left"/>
      <w:lvlText w:val="(%1)"/>
      <w:numFmt w:val="lowerLetter"/>
      <w:start w:val="2"/>
    </w:lvl>
  </w:abstractNum>
  <w:abstractNum w:abstractNumId="5">
    <w:nsid w:val="79E2A9E3"/>
    <w:multiLevelType w:val="hybridMultilevel"/>
    <w:lvl w:ilvl="0">
      <w:lvlJc w:val="left"/>
      <w:lvlText w:val="(%1)"/>
      <w:numFmt w:val="lowerLetter"/>
      <w:start w:val="1"/>
    </w:lvl>
  </w:abstractNum>
  <w:abstractNum w:abstractNumId="6">
    <w:nsid w:val="7545E146"/>
    <w:multiLevelType w:val="hybridMultilevel"/>
    <w:lvl w:ilvl="0">
      <w:lvlJc w:val="left"/>
      <w:lvlText w:val="(%1)"/>
      <w:numFmt w:val="lowerLetter"/>
      <w:start w:val="3"/>
    </w:lvl>
  </w:abstractNum>
  <w:abstractNum w:abstractNumId="7">
    <w:nsid w:val="515F007C"/>
    <w:multiLevelType w:val="hybridMultilevel"/>
    <w:lvl w:ilvl="0">
      <w:lvlJc w:val="left"/>
      <w:lvlText w:val="(%1)"/>
      <w:numFmt w:val="lowerLetter"/>
      <w:start w:val="1"/>
    </w:lvl>
  </w:abstractNum>
  <w:abstractNum w:abstractNumId="8">
    <w:nsid w:val="5BD062C2"/>
    <w:multiLevelType w:val="hybridMultilevel"/>
    <w:lvl w:ilvl="0">
      <w:lvlJc w:val="left"/>
      <w:lvlText w:val="(%1)"/>
      <w:numFmt w:val="lowerLetter"/>
      <w:start w:val="7"/>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2020-01-31T12:54:40Z</dcterms:created>
  <dcterms:modified xsi:type="dcterms:W3CDTF">2020-01-31T12:54:40Z</dcterms:modified>
</cp:coreProperties>
</file>