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374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51"/>
        </w:trPr>
        <w:tc>
          <w:tcPr>
            <w:tcW w:w="3740" w:type="dxa"/>
            <w:vAlign w:val="bottom"/>
          </w:tcPr>
          <w:p>
            <w:pPr>
              <w:jc w:val="center"/>
              <w:ind w:right="9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3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8"/>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20"/>
                <w:szCs w:val="20"/>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3"/>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6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TSLX</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0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November 5, 2024, the registrant issued a press release announcing its financial results for the third quarter ended September 30, 2024.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November 5, 2024, the registrant issued a press release, included herewith as Exhibit 99.1, announcing the declaration of a fourth quarter 2024 base dividend per share of $0.46 to shareholders of record as of December 16, 2024, payable on December 31, 2024, and a third quarter 2024 supplemental dividend per share of $0.05 to shareholders of record as of November 29, 2024, payable on December 20,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5, 2024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40"/>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9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2024</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234"/>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Ian Simmonds</w:t>
            </w:r>
          </w:p>
        </w:tc>
      </w:tr>
      <w:tr>
        <w:trPr>
          <w:trHeight w:val="238"/>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1"/>
        </w:trPr>
        <w:tc>
          <w:tcPr>
            <w:tcW w:w="37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37160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auto"/>
        </w:rPr>
        <w:t>THIRD QUARTER 2024 EARNINGS RESULTS</w:t>
      </w:r>
    </w:p>
    <w:p>
      <w:pPr>
        <w:spacing w:after="0" w:line="46"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Sixth Street Specialty Lending, Inc. Reports Third Quarter Results; Declares a Fourth Quarter Base Dividend Per Share of $0.46, and a Third Quarter Supplemental Dividend Per Share of $0.05.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15240</wp:posOffset>
            </wp:positionV>
            <wp:extent cx="169735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18859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56"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NEW YORK — November 5, 2024 — Sixth Street Specialty Lending, Inc. (NYSE: TSLX, or the “Company”) today reported net investment income of $0.59 per share and net income of $0.44 per share for the third quarter ended September 30, 2024. These results correspond to an annualized return on equity (ROE) on net investment income and net income of 13.7% and 10.2%, respectvely. Both net investment income per share and net income per share include $0.02 per share of unwind of previously accrued capital gains incentve fee expenses. Excluding the impact of the partal reversal or unwind of previously accrued capital gains incentve fee expenses, the Company’s adjusted net investment income and adjusted net income for the quarter ended September 30, 2024, were $0.57 per share and $0.41 per share, respectvely. These results correspond to an annualized return on equity (ROE) on adjusted net investment income and adjusted net income of 13.2% and 9.6%, respectvely.</w:t>
      </w:r>
    </w:p>
    <w:p>
      <w:pPr>
        <w:spacing w:after="0" w:line="224"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The Company’s net investment income for Q3 contnues to refect the impact from the higher interest rate environment combined with a small increase in actvity-based fees. Adjusted net investment income of $0.57 per share exceeded the base quarterly dividend by $0.11 per share, or 23%. $0.05 per share was specifcally related to actvity, which is up slightly from the average of $0.04 per share experienced since the start of the tghtening cycle. Since the Company’s prior earnings call, the shape of the forward interest rate curve has declined in the near term following the rate cut in September and now botoms out at a slightly higher terminal rate in 2026. Based on the latest curve, the Company’s base dividend level remains well supported through that terminal rate. As a reminder, TSLX’s dividend policy is based on the Company’s through the cycle earnings power, inclusive of credit losses, and absent any actvity-based fee income.</w:t>
      </w:r>
    </w:p>
    <w:p>
      <w:pPr>
        <w:spacing w:after="0" w:line="224"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The $0.15 per share diference between this quarter’s net investment income and net income was due to net unrealized losses primarily from the mark down of the Company’s investment in Lithium Technologies. Consistent with the Company’s valuaton policy, the investment was marked taking into account a range of outcomes. The Company believes the distributon of outcomes has skewed lower since last quarter and the fair value mark as of September 30, 2024 refects that updated view. As for the economic impact, Lithium Technologies represents less than 1.0% of the total portolio by fair value. To illustrate the impact on earnings, the Company assumes that it was earning approximately 11% return on equity on the $30 million of unrealized losses recognized to date. This return on equity number is based on TSLX’s cost of equity from Bloomberg of roughly 9% and its valuaton on book value of 1.2x. An 11% assumed return on equity on $30 million implies less than a penny per share of lost net income on a quarterly basis or 15 basis points annually of ROE.</w:t>
      </w:r>
    </w:p>
    <w:p>
      <w:pPr>
        <w:spacing w:after="0" w:line="224" w:lineRule="exact"/>
        <w:rPr>
          <w:sz w:val="20"/>
          <w:szCs w:val="20"/>
          <w:color w:val="auto"/>
        </w:rPr>
      </w:pPr>
    </w:p>
    <w:p>
      <w:pPr>
        <w:jc w:val="both"/>
        <w:ind w:left="20" w:right="20"/>
        <w:spacing w:after="0" w:line="235" w:lineRule="auto"/>
        <w:rPr>
          <w:sz w:val="20"/>
          <w:szCs w:val="20"/>
          <w:color w:val="auto"/>
        </w:rPr>
      </w:pPr>
      <w:r>
        <w:rPr>
          <w:rFonts w:ascii="Calibri" w:cs="Calibri" w:eastAsia="Calibri" w:hAnsi="Calibri"/>
          <w:sz w:val="18"/>
          <w:szCs w:val="18"/>
          <w:color w:val="auto"/>
        </w:rPr>
        <w:t>Reported net asset value (NAV) per share was $17.12 at September 30, 2024 as compared to NAV per share of $17.19 or an adjusted NAV per share of $17.13 at June 30, 2024 (which accounts for the impact of the $0.06 per share second quarter 2024 supplemental dividend). The primary driver of this quarter’s NAV per share decline was net unrealized losses from investments, partally ofset by contnued overearning of the Company’s base dividend. Over the last twelve months, reported NAV per share has increased from $16.97 to $17.12.</w:t>
      </w:r>
    </w:p>
    <w:p>
      <w:pPr>
        <w:spacing w:after="0" w:line="220"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The Company announced that its Board of Directors has declared a fourth quarter 2024 base dividend of $0.46 per share to shareholders of record as of December 16, 2024, payable on December 31, 2024, and a third quarter supplemental dividend of $0.05 per share to shareholders of record as of November 29, 2024, payable on December 20, 2024. Adjusted for the impact of the supplemental dividend related to this quarter’s earnings, the Company’s Q3 adjusted NAV per share was $17.07.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FFFFFF"/>
        </w:rPr>
        <w:t>Net Investment Income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18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2024</w:t>
            </w:r>
            <w:r>
              <w:rPr>
                <w:rFonts w:ascii="Calibri" w:cs="Calibri" w:eastAsia="Calibri" w:hAnsi="Calibri"/>
                <w:sz w:val="14"/>
                <w:szCs w:val="14"/>
                <w:color w:val="auto"/>
              </w:rPr>
              <w:t>:</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$0.59</w:t>
            </w:r>
          </w:p>
        </w:tc>
      </w:tr>
      <w:tr>
        <w:trPr>
          <w:trHeight w:val="87"/>
        </w:trPr>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(adjusted):</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$0.57</w:t>
            </w:r>
          </w:p>
        </w:tc>
      </w:tr>
      <w:tr>
        <w:trPr>
          <w:trHeight w:val="708"/>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0"/>
        </w:trPr>
        <w:tc>
          <w:tcPr>
            <w:tcW w:w="22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540" w:type="dxa"/>
            <w:vAlign w:val="bottom"/>
            <w:shd w:val="clear" w:color="auto" w:fill="0F2F50"/>
          </w:tcPr>
          <w:p>
            <w:pPr>
              <w:jc w:val="center"/>
              <w:spacing w:after="0"/>
              <w:rPr>
                <w:sz w:val="20"/>
                <w:szCs w:val="20"/>
                <w:color w:val="auto"/>
              </w:rPr>
            </w:pPr>
            <w:r>
              <w:rPr>
                <w:rFonts w:ascii="Calibri" w:cs="Calibri" w:eastAsia="Calibri" w:hAnsi="Calibri"/>
                <w:sz w:val="14"/>
                <w:szCs w:val="14"/>
                <w:b w:val="1"/>
                <w:bCs w:val="1"/>
                <w:color w:val="FFFFFF"/>
              </w:rPr>
              <w:t>Net Income Per Share</w:t>
            </w:r>
          </w:p>
        </w:tc>
        <w:tc>
          <w:tcPr>
            <w:tcW w:w="600" w:type="dxa"/>
            <w:vAlign w:val="bottom"/>
            <w:shd w:val="clear" w:color="auto" w:fill="0F2F50"/>
          </w:tcPr>
          <w:p>
            <w:pPr>
              <w:spacing w:after="0"/>
              <w:rPr>
                <w:sz w:val="18"/>
                <w:szCs w:val="18"/>
                <w:color w:val="auto"/>
              </w:rPr>
            </w:pPr>
          </w:p>
        </w:tc>
      </w:tr>
      <w:tr>
        <w:trPr>
          <w:trHeight w:val="88"/>
        </w:trPr>
        <w:tc>
          <w:tcPr>
            <w:tcW w:w="220" w:type="dxa"/>
            <w:vAlign w:val="bottom"/>
            <w:shd w:val="clear" w:color="auto" w:fill="0F2F50"/>
          </w:tcPr>
          <w:p>
            <w:pPr>
              <w:spacing w:after="0"/>
              <w:rPr>
                <w:sz w:val="7"/>
                <w:szCs w:val="7"/>
                <w:color w:val="auto"/>
              </w:rPr>
            </w:pPr>
          </w:p>
        </w:tc>
        <w:tc>
          <w:tcPr>
            <w:tcW w:w="1860" w:type="dxa"/>
            <w:vAlign w:val="bottom"/>
            <w:gridSpan w:val="2"/>
            <w:shd w:val="clear" w:color="auto" w:fill="0F2F50"/>
          </w:tcPr>
          <w:p>
            <w:pPr>
              <w:spacing w:after="0"/>
              <w:rPr>
                <w:sz w:val="7"/>
                <w:szCs w:val="7"/>
                <w:color w:val="auto"/>
              </w:rPr>
            </w:pPr>
          </w:p>
        </w:tc>
        <w:tc>
          <w:tcPr>
            <w:tcW w:w="600" w:type="dxa"/>
            <w:vAlign w:val="bottom"/>
            <w:shd w:val="clear" w:color="auto" w:fill="0F2F50"/>
          </w:tcPr>
          <w:p>
            <w:pPr>
              <w:spacing w:after="0"/>
              <w:rPr>
                <w:sz w:val="7"/>
                <w:szCs w:val="7"/>
                <w:color w:val="auto"/>
              </w:rPr>
            </w:pPr>
          </w:p>
        </w:tc>
      </w:tr>
      <w:tr>
        <w:trPr>
          <w:trHeight w:val="209"/>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18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2024:</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$0.44</w:t>
            </w:r>
          </w:p>
        </w:tc>
      </w:tr>
      <w:tr>
        <w:trPr>
          <w:trHeight w:val="88"/>
        </w:trPr>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(adjusted):</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$0.41</w:t>
            </w:r>
          </w:p>
        </w:tc>
      </w:tr>
      <w:tr>
        <w:trPr>
          <w:trHeight w:val="722"/>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9"/>
        </w:trPr>
        <w:tc>
          <w:tcPr>
            <w:tcW w:w="22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540" w:type="dxa"/>
            <w:vAlign w:val="bottom"/>
            <w:shd w:val="clear" w:color="auto" w:fill="0F2F50"/>
          </w:tcPr>
          <w:p>
            <w:pPr>
              <w:jc w:val="center"/>
              <w:spacing w:after="0"/>
              <w:rPr>
                <w:sz w:val="20"/>
                <w:szCs w:val="20"/>
                <w:color w:val="auto"/>
              </w:rPr>
            </w:pPr>
            <w:r>
              <w:rPr>
                <w:rFonts w:ascii="Calibri" w:cs="Calibri" w:eastAsia="Calibri" w:hAnsi="Calibri"/>
                <w:sz w:val="14"/>
                <w:szCs w:val="14"/>
                <w:b w:val="1"/>
                <w:bCs w:val="1"/>
                <w:color w:val="FFFFFF"/>
              </w:rPr>
              <w:t>Return on Equity</w:t>
            </w:r>
          </w:p>
        </w:tc>
        <w:tc>
          <w:tcPr>
            <w:tcW w:w="600" w:type="dxa"/>
            <w:vAlign w:val="bottom"/>
            <w:shd w:val="clear" w:color="auto" w:fill="0F2F50"/>
          </w:tcPr>
          <w:p>
            <w:pPr>
              <w:spacing w:after="0"/>
              <w:rPr>
                <w:sz w:val="18"/>
                <w:szCs w:val="18"/>
                <w:color w:val="auto"/>
              </w:rPr>
            </w:pPr>
          </w:p>
        </w:tc>
      </w:tr>
      <w:tr>
        <w:trPr>
          <w:trHeight w:val="88"/>
        </w:trPr>
        <w:tc>
          <w:tcPr>
            <w:tcW w:w="220" w:type="dxa"/>
            <w:vAlign w:val="bottom"/>
            <w:shd w:val="clear" w:color="auto" w:fill="0F2F50"/>
          </w:tcPr>
          <w:p>
            <w:pPr>
              <w:spacing w:after="0"/>
              <w:rPr>
                <w:sz w:val="7"/>
                <w:szCs w:val="7"/>
                <w:color w:val="auto"/>
              </w:rPr>
            </w:pPr>
          </w:p>
        </w:tc>
        <w:tc>
          <w:tcPr>
            <w:tcW w:w="320" w:type="dxa"/>
            <w:vAlign w:val="bottom"/>
            <w:shd w:val="clear" w:color="auto" w:fill="0F2F50"/>
          </w:tcPr>
          <w:p>
            <w:pPr>
              <w:spacing w:after="0"/>
              <w:rPr>
                <w:sz w:val="7"/>
                <w:szCs w:val="7"/>
                <w:color w:val="auto"/>
              </w:rPr>
            </w:pPr>
          </w:p>
        </w:tc>
        <w:tc>
          <w:tcPr>
            <w:tcW w:w="1540" w:type="dxa"/>
            <w:vAlign w:val="bottom"/>
            <w:shd w:val="clear" w:color="auto" w:fill="0F2F50"/>
          </w:tcPr>
          <w:p>
            <w:pPr>
              <w:spacing w:after="0"/>
              <w:rPr>
                <w:sz w:val="7"/>
                <w:szCs w:val="7"/>
                <w:color w:val="auto"/>
              </w:rPr>
            </w:pPr>
          </w:p>
        </w:tc>
        <w:tc>
          <w:tcPr>
            <w:tcW w:w="600" w:type="dxa"/>
            <w:vAlign w:val="bottom"/>
            <w:shd w:val="clear" w:color="auto" w:fill="0F2F50"/>
          </w:tcPr>
          <w:p>
            <w:pPr>
              <w:spacing w:after="0"/>
              <w:rPr>
                <w:sz w:val="7"/>
                <w:szCs w:val="7"/>
                <w:color w:val="auto"/>
              </w:rPr>
            </w:pPr>
          </w:p>
        </w:tc>
      </w:tr>
      <w:tr>
        <w:trPr>
          <w:trHeight w:val="21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(NII):</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13.7%</w:t>
            </w:r>
          </w:p>
        </w:tc>
      </w:tr>
      <w:tr>
        <w:trPr>
          <w:trHeight w:val="88"/>
        </w:trPr>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(NI):</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10.2%</w:t>
            </w:r>
          </w:p>
        </w:tc>
      </w:tr>
      <w:tr>
        <w:trPr>
          <w:trHeight w:val="88"/>
        </w:trPr>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(Adj. NII):</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13.2%</w:t>
            </w:r>
          </w:p>
        </w:tc>
      </w:tr>
      <w:tr>
        <w:trPr>
          <w:trHeight w:val="88"/>
        </w:trPr>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(Adj. NI):</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9.6%</w:t>
            </w:r>
          </w:p>
        </w:tc>
      </w:tr>
      <w:tr>
        <w:trPr>
          <w:trHeight w:val="708"/>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0"/>
        </w:trPr>
        <w:tc>
          <w:tcPr>
            <w:tcW w:w="220" w:type="dxa"/>
            <w:vAlign w:val="bottom"/>
            <w:shd w:val="clear" w:color="auto" w:fill="0F2F50"/>
          </w:tcPr>
          <w:p>
            <w:pPr>
              <w:spacing w:after="0"/>
              <w:rPr>
                <w:sz w:val="18"/>
                <w:szCs w:val="18"/>
                <w:color w:val="auto"/>
              </w:rPr>
            </w:pPr>
          </w:p>
        </w:tc>
        <w:tc>
          <w:tcPr>
            <w:tcW w:w="320" w:type="dxa"/>
            <w:vAlign w:val="bottom"/>
            <w:shd w:val="clear" w:color="auto" w:fill="0F2F50"/>
          </w:tcPr>
          <w:p>
            <w:pPr>
              <w:spacing w:after="0"/>
              <w:rPr>
                <w:sz w:val="18"/>
                <w:szCs w:val="18"/>
                <w:color w:val="auto"/>
              </w:rPr>
            </w:pPr>
          </w:p>
        </w:tc>
        <w:tc>
          <w:tcPr>
            <w:tcW w:w="1540" w:type="dxa"/>
            <w:vAlign w:val="bottom"/>
            <w:shd w:val="clear" w:color="auto" w:fill="0F2F50"/>
          </w:tcPr>
          <w:p>
            <w:pPr>
              <w:jc w:val="center"/>
              <w:ind w:left="8"/>
              <w:spacing w:after="0"/>
              <w:rPr>
                <w:sz w:val="20"/>
                <w:szCs w:val="20"/>
                <w:color w:val="auto"/>
              </w:rPr>
            </w:pPr>
            <w:r>
              <w:rPr>
                <w:rFonts w:ascii="Calibri" w:cs="Calibri" w:eastAsia="Calibri" w:hAnsi="Calibri"/>
                <w:sz w:val="14"/>
                <w:szCs w:val="14"/>
                <w:b w:val="1"/>
                <w:bCs w:val="1"/>
                <w:color w:val="FFFFFF"/>
                <w:w w:val="99"/>
              </w:rPr>
              <w:t>NAV</w:t>
            </w:r>
          </w:p>
        </w:tc>
        <w:tc>
          <w:tcPr>
            <w:tcW w:w="600" w:type="dxa"/>
            <w:vAlign w:val="bottom"/>
            <w:shd w:val="clear" w:color="auto" w:fill="0F2F50"/>
          </w:tcPr>
          <w:p>
            <w:pPr>
              <w:spacing w:after="0"/>
              <w:rPr>
                <w:sz w:val="18"/>
                <w:szCs w:val="18"/>
                <w:color w:val="auto"/>
              </w:rPr>
            </w:pPr>
          </w:p>
        </w:tc>
      </w:tr>
      <w:tr>
        <w:trPr>
          <w:trHeight w:val="88"/>
        </w:trPr>
        <w:tc>
          <w:tcPr>
            <w:tcW w:w="220" w:type="dxa"/>
            <w:vAlign w:val="bottom"/>
            <w:shd w:val="clear" w:color="auto" w:fill="0F2F50"/>
          </w:tcPr>
          <w:p>
            <w:pPr>
              <w:spacing w:after="0"/>
              <w:rPr>
                <w:sz w:val="7"/>
                <w:szCs w:val="7"/>
                <w:color w:val="auto"/>
              </w:rPr>
            </w:pPr>
          </w:p>
        </w:tc>
        <w:tc>
          <w:tcPr>
            <w:tcW w:w="320" w:type="dxa"/>
            <w:vAlign w:val="bottom"/>
            <w:shd w:val="clear" w:color="auto" w:fill="0F2F50"/>
          </w:tcPr>
          <w:p>
            <w:pPr>
              <w:spacing w:after="0"/>
              <w:rPr>
                <w:sz w:val="7"/>
                <w:szCs w:val="7"/>
                <w:color w:val="auto"/>
              </w:rPr>
            </w:pPr>
          </w:p>
        </w:tc>
        <w:tc>
          <w:tcPr>
            <w:tcW w:w="1540" w:type="dxa"/>
            <w:vAlign w:val="bottom"/>
            <w:shd w:val="clear" w:color="auto" w:fill="0F2F50"/>
          </w:tcPr>
          <w:p>
            <w:pPr>
              <w:spacing w:after="0"/>
              <w:rPr>
                <w:sz w:val="7"/>
                <w:szCs w:val="7"/>
                <w:color w:val="auto"/>
              </w:rPr>
            </w:pPr>
          </w:p>
        </w:tc>
        <w:tc>
          <w:tcPr>
            <w:tcW w:w="600" w:type="dxa"/>
            <w:vAlign w:val="bottom"/>
            <w:shd w:val="clear" w:color="auto" w:fill="0F2F50"/>
          </w:tcPr>
          <w:p>
            <w:pPr>
              <w:spacing w:after="0"/>
              <w:rPr>
                <w:sz w:val="7"/>
                <w:szCs w:val="7"/>
                <w:color w:val="auto"/>
              </w:rPr>
            </w:pPr>
          </w:p>
        </w:tc>
      </w:tr>
      <w:tr>
        <w:trPr>
          <w:trHeight w:val="21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($MM):</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$1,597.2</w:t>
            </w:r>
          </w:p>
        </w:tc>
      </w:tr>
      <w:tr>
        <w:trPr>
          <w:trHeight w:val="87"/>
        </w:trPr>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(per share):</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$17.12</w:t>
            </w:r>
          </w:p>
        </w:tc>
      </w:tr>
      <w:tr>
        <w:trPr>
          <w:trHeight w:val="88"/>
        </w:trPr>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Q3</w:t>
            </w:r>
          </w:p>
        </w:tc>
        <w:tc>
          <w:tcPr>
            <w:tcW w:w="320" w:type="dxa"/>
            <w:vAlign w:val="bottom"/>
          </w:tcPr>
          <w:p>
            <w:pPr>
              <w:ind w:left="20"/>
              <w:spacing w:after="0"/>
              <w:rPr>
                <w:sz w:val="20"/>
                <w:szCs w:val="20"/>
                <w:color w:val="auto"/>
              </w:rPr>
            </w:pPr>
            <w:r>
              <w:rPr>
                <w:rFonts w:ascii="Calibri" w:cs="Calibri" w:eastAsia="Calibri" w:hAnsi="Calibri"/>
                <w:sz w:val="14"/>
                <w:szCs w:val="14"/>
                <w:b w:val="1"/>
                <w:bCs w:val="1"/>
                <w:color w:val="auto"/>
                <w:w w:val="98"/>
              </w:rPr>
              <w:t>2024</w:t>
            </w:r>
          </w:p>
        </w:tc>
        <w:tc>
          <w:tcPr>
            <w:tcW w:w="1540" w:type="dxa"/>
            <w:vAlign w:val="bottom"/>
          </w:tcPr>
          <w:p>
            <w:pPr>
              <w:ind w:left="20"/>
              <w:spacing w:after="0"/>
              <w:rPr>
                <w:sz w:val="20"/>
                <w:szCs w:val="20"/>
                <w:color w:val="auto"/>
              </w:rPr>
            </w:pPr>
            <w:r>
              <w:rPr>
                <w:rFonts w:ascii="Calibri" w:cs="Calibri" w:eastAsia="Calibri" w:hAnsi="Calibri"/>
                <w:sz w:val="14"/>
                <w:szCs w:val="14"/>
                <w:b w:val="1"/>
                <w:bCs w:val="1"/>
                <w:color w:val="auto"/>
              </w:rPr>
              <w:t>(per share, adj):</w:t>
            </w:r>
          </w:p>
        </w:tc>
        <w:tc>
          <w:tcPr>
            <w:tcW w:w="600" w:type="dxa"/>
            <w:vAlign w:val="bottom"/>
          </w:tcPr>
          <w:p>
            <w:pPr>
              <w:jc w:val="right"/>
              <w:spacing w:after="0"/>
              <w:rPr>
                <w:sz w:val="20"/>
                <w:szCs w:val="20"/>
                <w:color w:val="auto"/>
              </w:rPr>
            </w:pPr>
            <w:r>
              <w:rPr>
                <w:rFonts w:ascii="Calibri" w:cs="Calibri" w:eastAsia="Calibri" w:hAnsi="Calibri"/>
                <w:sz w:val="14"/>
                <w:szCs w:val="14"/>
                <w:b w:val="1"/>
                <w:bCs w:val="1"/>
                <w:color w:val="auto"/>
              </w:rPr>
              <w:t>$17.07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169735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3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0"/>
        <w:spacing w:after="0"/>
        <w:rPr>
          <w:sz w:val="20"/>
          <w:szCs w:val="20"/>
          <w:color w:val="auto"/>
        </w:rPr>
      </w:pPr>
      <w:r>
        <w:rPr>
          <w:rFonts w:ascii="Calibri" w:cs="Calibri" w:eastAsia="Calibri" w:hAnsi="Calibri"/>
          <w:sz w:val="14"/>
          <w:szCs w:val="14"/>
          <w:b w:val="1"/>
          <w:bCs w:val="1"/>
          <w:color w:val="FFFFFF"/>
        </w:rPr>
        <w:t>Dividends Declared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ind w:left="40"/>
              <w:spacing w:after="0"/>
              <w:rPr>
                <w:sz w:val="20"/>
                <w:szCs w:val="20"/>
                <w:color w:val="auto"/>
              </w:rPr>
            </w:pPr>
            <w:r>
              <w:rPr>
                <w:rFonts w:ascii="Calibri" w:cs="Calibri" w:eastAsia="Calibri" w:hAnsi="Calibri"/>
                <w:sz w:val="14"/>
                <w:szCs w:val="14"/>
                <w:b w:val="1"/>
                <w:bCs w:val="1"/>
                <w:color w:val="auto"/>
              </w:rPr>
              <w:t>Q3 2024 (Base):</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$0.46</w:t>
            </w:r>
          </w:p>
        </w:tc>
      </w:tr>
      <w:tr>
        <w:trPr>
          <w:trHeight w:val="88"/>
        </w:trPr>
        <w:tc>
          <w:tcPr>
            <w:tcW w:w="20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03"/>
        </w:trPr>
        <w:tc>
          <w:tcPr>
            <w:tcW w:w="2000" w:type="dxa"/>
            <w:vAlign w:val="bottom"/>
          </w:tcPr>
          <w:p>
            <w:pPr>
              <w:ind w:left="40"/>
              <w:spacing w:after="0"/>
              <w:rPr>
                <w:sz w:val="20"/>
                <w:szCs w:val="20"/>
                <w:color w:val="auto"/>
              </w:rPr>
            </w:pPr>
            <w:r>
              <w:rPr>
                <w:rFonts w:ascii="Calibri" w:cs="Calibri" w:eastAsia="Calibri" w:hAnsi="Calibri"/>
                <w:sz w:val="14"/>
                <w:szCs w:val="14"/>
                <w:b w:val="1"/>
                <w:bCs w:val="1"/>
                <w:color w:val="auto"/>
              </w:rPr>
              <w:t>LTM Q3'24 (Base):</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$1.84</w:t>
            </w:r>
          </w:p>
        </w:tc>
      </w:tr>
      <w:tr>
        <w:trPr>
          <w:trHeight w:val="88"/>
        </w:trPr>
        <w:tc>
          <w:tcPr>
            <w:tcW w:w="20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03"/>
        </w:trPr>
        <w:tc>
          <w:tcPr>
            <w:tcW w:w="2000" w:type="dxa"/>
            <w:vAlign w:val="bottom"/>
          </w:tcPr>
          <w:p>
            <w:pPr>
              <w:ind w:left="40"/>
              <w:spacing w:after="0"/>
              <w:rPr>
                <w:sz w:val="20"/>
                <w:szCs w:val="20"/>
                <w:color w:val="auto"/>
              </w:rPr>
            </w:pPr>
            <w:r>
              <w:rPr>
                <w:rFonts w:ascii="Calibri" w:cs="Calibri" w:eastAsia="Calibri" w:hAnsi="Calibri"/>
                <w:sz w:val="14"/>
                <w:szCs w:val="14"/>
                <w:b w:val="1"/>
                <w:bCs w:val="1"/>
                <w:color w:val="auto"/>
              </w:rPr>
              <w:t>LTM Q3'24 (Supplemental):</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$0.25</w:t>
            </w:r>
          </w:p>
        </w:tc>
      </w:tr>
      <w:tr>
        <w:trPr>
          <w:trHeight w:val="87"/>
        </w:trPr>
        <w:tc>
          <w:tcPr>
            <w:tcW w:w="20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03"/>
        </w:trPr>
        <w:tc>
          <w:tcPr>
            <w:tcW w:w="2000" w:type="dxa"/>
            <w:vAlign w:val="bottom"/>
          </w:tcPr>
          <w:p>
            <w:pPr>
              <w:ind w:left="40"/>
              <w:spacing w:after="0"/>
              <w:rPr>
                <w:sz w:val="20"/>
                <w:szCs w:val="20"/>
                <w:color w:val="auto"/>
              </w:rPr>
            </w:pPr>
            <w:r>
              <w:rPr>
                <w:rFonts w:ascii="Calibri" w:cs="Calibri" w:eastAsia="Calibri" w:hAnsi="Calibri"/>
                <w:sz w:val="14"/>
                <w:szCs w:val="14"/>
                <w:b w:val="1"/>
                <w:bCs w:val="1"/>
                <w:color w:val="auto"/>
              </w:rPr>
              <w:t>LTM Q3'24 (Total):</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$2.09</w:t>
            </w:r>
          </w:p>
        </w:tc>
      </w:tr>
    </w:tbl>
    <w:p>
      <w:pPr>
        <w:spacing w:after="0" w:line="800" w:lineRule="exact"/>
        <w:rPr>
          <w:sz w:val="20"/>
          <w:szCs w:val="20"/>
          <w:color w:val="auto"/>
        </w:rPr>
      </w:pPr>
    </w:p>
    <w:p>
      <w:pPr>
        <w:sectPr>
          <w:pgSz w:w="11900" w:h="16838" w:orient="portrait"/>
          <w:cols w:equalWidth="0" w:num="2">
            <w:col w:w="8440" w:space="120"/>
            <w:col w:w="2680"/>
          </w:cols>
          <w:pgMar w:left="320" w:top="760" w:right="339" w:bottom="1440" w:gutter="0" w:footer="0" w:header="0"/>
          <w:type w:val="continuous"/>
        </w:sectPr>
      </w:pPr>
    </w:p>
    <w:p>
      <w:pPr>
        <w:spacing w:after="0" w:line="36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 w:name="page5"/>
    <w:bookmarkEnd w:id="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PORTFOLIO AND INVESTMENT ACTIVITY</w:t>
      </w:r>
    </w:p>
    <w:p>
      <w:pPr>
        <w:spacing w:after="0" w:line="200" w:lineRule="exact"/>
        <w:rPr>
          <w:sz w:val="20"/>
          <w:szCs w:val="20"/>
          <w:color w:val="auto"/>
        </w:rPr>
      </w:pPr>
    </w:p>
    <w:p>
      <w:pPr>
        <w:spacing w:after="0" w:line="266"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quarter ended September 30, 2024, new investment commitments totaled $269.3 million. This compares to $231.0 million for the quarter ended June 30, 2024.</w:t>
      </w:r>
    </w:p>
    <w:p>
      <w:pPr>
        <w:spacing w:after="0" w:line="123" w:lineRule="exact"/>
        <w:rPr>
          <w:sz w:val="20"/>
          <w:szCs w:val="20"/>
          <w:color w:val="auto"/>
        </w:rPr>
      </w:pPr>
    </w:p>
    <w:p>
      <w:pPr>
        <w:jc w:val="both"/>
        <w:ind w:left="20"/>
        <w:spacing w:after="0" w:line="238" w:lineRule="auto"/>
        <w:rPr>
          <w:sz w:val="20"/>
          <w:szCs w:val="20"/>
          <w:color w:val="auto"/>
        </w:rPr>
      </w:pPr>
      <w:r>
        <w:rPr>
          <w:rFonts w:ascii="Calibri" w:cs="Calibri" w:eastAsia="Calibri" w:hAnsi="Calibri"/>
          <w:sz w:val="18"/>
          <w:szCs w:val="18"/>
          <w:color w:val="auto"/>
        </w:rPr>
        <w:t>For the quarter ended September 30, 2024, the principal amount of new investments funded was $189.0 million across eight new portolio companies and four upsizes to existng portolio companies. For this period, the Company had $90.2 million aggregate principal amount in exits and repayments. For the quarter ended June 30, 2024, the principal amount of new investments funded was $163.6 million across eight new portolio companies and fve upsizes to existng portolio companies. For this period, the Company had $290.3 million aggregate principal amount in exits and repayments.</w:t>
      </w:r>
    </w:p>
    <w:p>
      <w:pPr>
        <w:spacing w:after="0" w:line="194" w:lineRule="exact"/>
        <w:rPr>
          <w:sz w:val="20"/>
          <w:szCs w:val="20"/>
          <w:color w:val="auto"/>
        </w:rPr>
      </w:pPr>
    </w:p>
    <w:p>
      <w:pPr>
        <w:jc w:val="both"/>
        <w:ind w:left="20"/>
        <w:spacing w:after="0" w:line="207" w:lineRule="auto"/>
        <w:rPr>
          <w:sz w:val="20"/>
          <w:szCs w:val="20"/>
          <w:color w:val="auto"/>
        </w:rPr>
      </w:pPr>
      <w:r>
        <w:rPr>
          <w:rFonts w:ascii="Calibri" w:cs="Calibri" w:eastAsia="Calibri" w:hAnsi="Calibri"/>
          <w:sz w:val="18"/>
          <w:szCs w:val="18"/>
          <w:color w:val="auto"/>
        </w:rPr>
        <w:t>As of September 30, 2024 and June 30, 2024, the Company had investments in 112</w:t>
      </w:r>
      <w:r>
        <w:rPr>
          <w:rFonts w:ascii="Calibri" w:cs="Calibri" w:eastAsia="Calibri" w:hAnsi="Calibri"/>
          <w:sz w:val="24"/>
          <w:szCs w:val="24"/>
          <w:color w:val="auto"/>
          <w:vertAlign w:val="superscript"/>
        </w:rPr>
        <w:t>1</w:t>
      </w:r>
      <w:r>
        <w:rPr>
          <w:rFonts w:ascii="Calibri" w:cs="Calibri" w:eastAsia="Calibri" w:hAnsi="Calibri"/>
          <w:sz w:val="18"/>
          <w:szCs w:val="18"/>
          <w:color w:val="auto"/>
        </w:rPr>
        <w:t xml:space="preserve"> and 105</w:t>
      </w:r>
      <w:r>
        <w:rPr>
          <w:rFonts w:ascii="Calibri" w:cs="Calibri" w:eastAsia="Calibri" w:hAnsi="Calibri"/>
          <w:sz w:val="24"/>
          <w:szCs w:val="24"/>
          <w:color w:val="auto"/>
          <w:vertAlign w:val="superscript"/>
        </w:rPr>
        <w:t>2</w:t>
      </w:r>
      <w:r>
        <w:rPr>
          <w:rFonts w:ascii="Calibri" w:cs="Calibri" w:eastAsia="Calibri" w:hAnsi="Calibri"/>
          <w:sz w:val="18"/>
          <w:szCs w:val="18"/>
          <w:color w:val="auto"/>
        </w:rPr>
        <w:t xml:space="preserve"> portolio companies, respectvely, with an aggregate fair value of $3,441.1 million and $3,317.1 million, respectvely. As of September 30, 2024, the average investment size in each portolio company was $30.7</w:t>
      </w:r>
      <w:r>
        <w:rPr>
          <w:rFonts w:ascii="Calibri" w:cs="Calibri" w:eastAsia="Calibri" w:hAnsi="Calibri"/>
          <w:sz w:val="24"/>
          <w:szCs w:val="24"/>
          <w:color w:val="auto"/>
          <w:vertAlign w:val="superscript"/>
        </w:rPr>
        <w:t>1</w:t>
      </w:r>
      <w:r>
        <w:rPr>
          <w:rFonts w:ascii="Calibri" w:cs="Calibri" w:eastAsia="Calibri" w:hAnsi="Calibri"/>
          <w:sz w:val="18"/>
          <w:szCs w:val="18"/>
          <w:color w:val="auto"/>
        </w:rPr>
        <w:t xml:space="preserve"> million based on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FFFFFF"/>
        </w:rPr>
        <w:t>Q3 2024 Originaton Actvity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-109220</wp:posOffset>
            </wp:positionV>
            <wp:extent cx="220281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spacing w:after="0" w:line="26" w:lineRule="exact"/>
        <w:rPr>
          <w:sz w:val="20"/>
          <w:szCs w:val="20"/>
          <w:color w:val="auto"/>
        </w:rPr>
      </w:pPr>
    </w:p>
    <w:p>
      <w:pPr>
        <w:spacing w:after="0"/>
        <w:tabs>
          <w:tab w:leader="none" w:pos="2620" w:val="left"/>
        </w:tabs>
        <w:rPr>
          <w:sz w:val="20"/>
          <w:szCs w:val="20"/>
          <w:color w:val="auto"/>
        </w:rPr>
      </w:pPr>
      <w:r>
        <w:rPr>
          <w:rFonts w:ascii="Calibri" w:cs="Calibri" w:eastAsia="Calibri" w:hAnsi="Calibri"/>
          <w:sz w:val="15"/>
          <w:szCs w:val="15"/>
          <w:b w:val="1"/>
          <w:bCs w:val="1"/>
          <w:color w:val="auto"/>
        </w:rPr>
        <w:t>Commitments:</w:t>
      </w:r>
      <w:r>
        <w:rPr>
          <w:sz w:val="20"/>
          <w:szCs w:val="20"/>
          <w:color w:val="auto"/>
        </w:rPr>
        <w:tab/>
      </w:r>
      <w:r>
        <w:rPr>
          <w:rFonts w:ascii="Calibri" w:cs="Calibri" w:eastAsia="Calibri" w:hAnsi="Calibri"/>
          <w:sz w:val="15"/>
          <w:szCs w:val="15"/>
          <w:b w:val="1"/>
          <w:bCs w:val="1"/>
          <w:color w:val="auto"/>
        </w:rPr>
        <w:t>$269.3MM</w:t>
      </w:r>
    </w:p>
    <w:p>
      <w:pPr>
        <w:spacing w:after="0" w:line="46" w:lineRule="exact"/>
        <w:rPr>
          <w:sz w:val="20"/>
          <w:szCs w:val="20"/>
          <w:color w:val="auto"/>
        </w:rPr>
      </w:pPr>
    </w:p>
    <w:p>
      <w:pPr>
        <w:spacing w:after="0"/>
        <w:tabs>
          <w:tab w:leader="none" w:pos="2620" w:val="left"/>
        </w:tabs>
        <w:rPr>
          <w:sz w:val="20"/>
          <w:szCs w:val="20"/>
          <w:color w:val="auto"/>
        </w:rPr>
      </w:pPr>
      <w:r>
        <w:rPr>
          <w:rFonts w:ascii="Calibri" w:cs="Calibri" w:eastAsia="Calibri" w:hAnsi="Calibri"/>
          <w:sz w:val="15"/>
          <w:szCs w:val="15"/>
          <w:b w:val="1"/>
          <w:bCs w:val="1"/>
          <w:color w:val="auto"/>
        </w:rPr>
        <w:t>Fundings:</w:t>
      </w:r>
      <w:r>
        <w:rPr>
          <w:sz w:val="20"/>
          <w:szCs w:val="20"/>
          <w:color w:val="auto"/>
        </w:rPr>
        <w:tab/>
      </w:r>
      <w:r>
        <w:rPr>
          <w:rFonts w:ascii="Calibri" w:cs="Calibri" w:eastAsia="Calibri" w:hAnsi="Calibri"/>
          <w:sz w:val="15"/>
          <w:szCs w:val="15"/>
          <w:b w:val="1"/>
          <w:bCs w:val="1"/>
          <w:color w:val="auto"/>
        </w:rPr>
        <w:t>$189.0MM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80" w:type="dxa"/>
            <w:vAlign w:val="bottom"/>
          </w:tcPr>
          <w:p>
            <w:pPr>
              <w:spacing w:after="0"/>
              <w:rPr>
                <w:sz w:val="20"/>
                <w:szCs w:val="20"/>
                <w:color w:val="auto"/>
              </w:rPr>
            </w:pPr>
            <w:r>
              <w:rPr>
                <w:rFonts w:ascii="Calibri" w:cs="Calibri" w:eastAsia="Calibri" w:hAnsi="Calibri"/>
                <w:sz w:val="15"/>
                <w:szCs w:val="15"/>
                <w:b w:val="1"/>
                <w:bCs w:val="1"/>
                <w:color w:val="auto"/>
              </w:rPr>
              <w:t>Net Fundings:</w:t>
            </w:r>
          </w:p>
        </w:tc>
        <w:tc>
          <w:tcPr>
            <w:tcW w:w="1520" w:type="dxa"/>
            <w:vAlign w:val="bottom"/>
          </w:tcPr>
          <w:p>
            <w:pPr>
              <w:ind w:left="900"/>
              <w:spacing w:after="0"/>
              <w:rPr>
                <w:sz w:val="20"/>
                <w:szCs w:val="20"/>
                <w:color w:val="auto"/>
              </w:rPr>
            </w:pPr>
            <w:r>
              <w:rPr>
                <w:rFonts w:ascii="Calibri" w:cs="Calibri" w:eastAsia="Calibri" w:hAnsi="Calibri"/>
                <w:sz w:val="15"/>
                <w:szCs w:val="15"/>
                <w:b w:val="1"/>
                <w:bCs w:val="1"/>
                <w:color w:val="auto"/>
                <w:w w:val="98"/>
              </w:rPr>
              <w:t>$98.9MM</w:t>
            </w:r>
          </w:p>
        </w:tc>
      </w:tr>
    </w:tbl>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FFFFFF"/>
        </w:rPr>
        <w:t>Average Investment Size</w:t>
      </w:r>
      <w:r>
        <w:rPr>
          <w:rFonts w:ascii="Calibri" w:cs="Calibri" w:eastAsia="Calibri" w:hAnsi="Calibri"/>
          <w:sz w:val="20"/>
          <w:szCs w:val="20"/>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-130810</wp:posOffset>
            </wp:positionV>
            <wp:extent cx="220281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jc w:val="center"/>
        <w:ind w:right="40"/>
        <w:spacing w:after="0"/>
        <w:rPr>
          <w:sz w:val="20"/>
          <w:szCs w:val="20"/>
          <w:color w:val="auto"/>
        </w:rPr>
      </w:pPr>
      <w:r>
        <w:rPr>
          <w:rFonts w:ascii="Calibri" w:cs="Calibri" w:eastAsia="Calibri" w:hAnsi="Calibri"/>
          <w:sz w:val="15"/>
          <w:szCs w:val="15"/>
          <w:b w:val="1"/>
          <w:bCs w:val="1"/>
          <w:color w:val="auto"/>
        </w:rPr>
        <w:t>$30.7MM</w:t>
      </w:r>
    </w:p>
    <w:p>
      <w:pPr>
        <w:spacing w:after="0" w:line="46"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i w:val="1"/>
          <w:iCs w:val="1"/>
          <w:color w:val="auto"/>
        </w:rPr>
        <w:t>(0.9% of the portolio at fair value)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-109220</wp:posOffset>
            </wp:positionV>
            <wp:extent cx="220281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2815" cy="146050"/>
                    </a:xfrm>
                    <a:prstGeom prst="rect">
                      <a:avLst/>
                    </a:prstGeom>
                    <a:noFill/>
                  </pic:spPr>
                </pic:pic>
              </a:graphicData>
            </a:graphic>
          </wp:anchor>
        </w:drawing>
      </w:r>
    </w:p>
    <w:p>
      <w:pPr>
        <w:spacing w:after="0" w:line="26"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auto"/>
        </w:rPr>
        <w:t>93.2%</w:t>
      </w:r>
    </w:p>
    <w:p>
      <w:pPr>
        <w:spacing w:after="0" w:line="48" w:lineRule="exact"/>
        <w:rPr>
          <w:sz w:val="20"/>
          <w:szCs w:val="20"/>
          <w:color w:val="auto"/>
        </w:rPr>
      </w:pPr>
    </w:p>
    <w:p>
      <w:pPr>
        <w:sectPr>
          <w:pgSz w:w="11900" w:h="16838" w:orient="portrait"/>
          <w:cols w:equalWidth="0" w:num="2">
            <w:col w:w="7640" w:space="160"/>
            <w:col w:w="3440"/>
          </w:cols>
          <w:pgMar w:left="320" w:top="1440" w:right="339" w:bottom="1440" w:gutter="0" w:footer="0" w:header="0"/>
        </w:sectPr>
      </w:pPr>
    </w:p>
    <w:p>
      <w:pPr>
        <w:jc w:val="both"/>
        <w:ind w:left="20"/>
        <w:spacing w:after="0" w:line="251" w:lineRule="auto"/>
        <w:rPr>
          <w:sz w:val="20"/>
          <w:szCs w:val="20"/>
          <w:color w:val="auto"/>
        </w:rPr>
      </w:pPr>
      <w:r>
        <w:rPr>
          <w:rFonts w:ascii="Calibri" w:cs="Calibri" w:eastAsia="Calibri" w:hAnsi="Calibri"/>
          <w:sz w:val="17"/>
          <w:szCs w:val="17"/>
          <w:color w:val="auto"/>
        </w:rPr>
        <w:t>As of September 30, 2024, the Company’s portolio based on fair value consisted of 93.2% frst-lien debt investments, 0.8% second-lien debt investments, 0.1% structured credit investments, 1.1% mezzanine debt investments, and 4.8% equity and other investments. As of June 30, 2024, the Company’s portolio based on fair value consisted of 92.8% frst-lien debt investments, 0.8% second-lien debt investments, 0.2% structured credit investments, 1.3% mezzanine debt investments, and 4.9% equity and other investments.</w:t>
      </w:r>
    </w:p>
    <w:p>
      <w:pPr>
        <w:spacing w:after="0" w:line="186" w:lineRule="exact"/>
        <w:rPr>
          <w:sz w:val="20"/>
          <w:szCs w:val="20"/>
          <w:color w:val="auto"/>
        </w:rPr>
      </w:pPr>
    </w:p>
    <w:p>
      <w:pPr>
        <w:jc w:val="both"/>
        <w:ind w:left="20"/>
        <w:spacing w:after="0" w:line="225" w:lineRule="auto"/>
        <w:rPr>
          <w:sz w:val="20"/>
          <w:szCs w:val="20"/>
          <w:color w:val="auto"/>
        </w:rPr>
      </w:pPr>
      <w:r>
        <w:rPr>
          <w:rFonts w:ascii="Calibri" w:cs="Calibri" w:eastAsia="Calibri" w:hAnsi="Calibri"/>
          <w:sz w:val="18"/>
          <w:szCs w:val="18"/>
          <w:color w:val="auto"/>
        </w:rPr>
        <w:t>As of September 30, 2024, 98.8% of debt investments</w:t>
      </w:r>
      <w:r>
        <w:rPr>
          <w:rFonts w:ascii="Calibri" w:cs="Calibri" w:eastAsia="Calibri" w:hAnsi="Calibri"/>
          <w:sz w:val="24"/>
          <w:szCs w:val="24"/>
          <w:color w:val="auto"/>
          <w:vertAlign w:val="superscript"/>
        </w:rPr>
        <w:t>3</w:t>
      </w:r>
      <w:r>
        <w:rPr>
          <w:rFonts w:ascii="Calibri" w:cs="Calibri" w:eastAsia="Calibri" w:hAnsi="Calibri"/>
          <w:sz w:val="18"/>
          <w:szCs w:val="18"/>
          <w:color w:val="auto"/>
        </w:rPr>
        <w:t xml:space="preserve"> based on fair value in the portolio bore interest at foatng rates with 100.0% of these subject to reference rate foors. The Company’s credit facilites also bear interest at foatng rates. In connecton with the Company’s Unsecured Notes, which bear interest at fxed rates, the Company has entered into fxed-to-foatng interest rate swaps in order to align the nature of the interest rates of its liabilites with its investment portolio.</w:t>
      </w:r>
    </w:p>
    <w:p>
      <w:pPr>
        <w:spacing w:after="0" w:line="222"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During Q3, the Company was actve in opportunistc and non-sponsor channels to drive shareholder returns. Non-sponsor transactons comprised 43% of total new investments funded for the quarter ended September 30, 2024. The weighted average yield at fair value on these investments was 13.5% compared to 10.1% for our other new investments during the quarter.</w:t>
      </w:r>
    </w:p>
    <w:p>
      <w:pPr>
        <w:spacing w:after="0" w:line="219"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As of September 30, 2024 and June 30, 2024, 1.9% and 1.1% of the portolio at fair value was on non-accrual status, respectvely. The increase was driven by one new investment, Lithium Technologies, added to non-accrual status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FFFFFF"/>
        </w:rPr>
        <w:t>Floatng Rate Debt Investments</w:t>
      </w:r>
      <w:r>
        <w:rPr>
          <w:rFonts w:ascii="Calibri" w:cs="Calibri" w:eastAsia="Calibri" w:hAnsi="Calibri"/>
          <w:sz w:val="20"/>
          <w:szCs w:val="20"/>
          <w:b w:val="1"/>
          <w:bCs w:val="1"/>
          <w:color w:val="FFFF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220281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2815" cy="325755"/>
                    </a:xfrm>
                    <a:prstGeom prst="rect">
                      <a:avLst/>
                    </a:prstGeom>
                    <a:noFill/>
                  </pic:spPr>
                </pic:pic>
              </a:graphicData>
            </a:graphic>
          </wp:anchor>
        </w:drawing>
      </w:r>
    </w:p>
    <w:p>
      <w:pPr>
        <w:jc w:val="center"/>
        <w:spacing w:after="0" w:line="221" w:lineRule="auto"/>
        <w:rPr>
          <w:sz w:val="20"/>
          <w:szCs w:val="20"/>
          <w:color w:val="auto"/>
        </w:rPr>
      </w:pPr>
      <w:r>
        <w:rPr>
          <w:rFonts w:ascii="Calibri" w:cs="Calibri" w:eastAsia="Calibri" w:hAnsi="Calibri"/>
          <w:sz w:val="15"/>
          <w:szCs w:val="15"/>
          <w:b w:val="1"/>
          <w:bCs w:val="1"/>
          <w:color w:val="FFFFFF"/>
        </w:rPr>
        <w:t>(% FV)</w:t>
      </w:r>
    </w:p>
    <w:p>
      <w:pPr>
        <w:spacing w:after="0" w:line="128"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98.8%</w:t>
      </w:r>
    </w:p>
    <w:p>
      <w:pPr>
        <w:spacing w:after="0" w:line="398" w:lineRule="exact"/>
        <w:rPr>
          <w:sz w:val="20"/>
          <w:szCs w:val="20"/>
          <w:color w:val="auto"/>
        </w:rPr>
      </w:pPr>
    </w:p>
    <w:p>
      <w:pPr>
        <w:jc w:val="center"/>
        <w:ind w:left="260"/>
        <w:spacing w:after="0" w:line="247" w:lineRule="auto"/>
        <w:rPr>
          <w:sz w:val="20"/>
          <w:szCs w:val="20"/>
          <w:color w:val="auto"/>
        </w:rPr>
      </w:pPr>
      <w:r>
        <w:rPr>
          <w:rFonts w:ascii="Calibri" w:cs="Calibri" w:eastAsia="Calibri" w:hAnsi="Calibri"/>
          <w:sz w:val="15"/>
          <w:szCs w:val="15"/>
          <w:b w:val="1"/>
          <w:bCs w:val="1"/>
          <w:color w:val="FFFFFF"/>
        </w:rPr>
        <w:t>Weighted Average Yield of Debt and Incoming-Producing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220281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2815" cy="2489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180" w:type="dxa"/>
            <w:vAlign w:val="bottom"/>
          </w:tcPr>
          <w:p>
            <w:pPr>
              <w:ind w:left="20"/>
              <w:spacing w:after="0"/>
              <w:rPr>
                <w:sz w:val="20"/>
                <w:szCs w:val="20"/>
                <w:color w:val="auto"/>
              </w:rPr>
            </w:pPr>
            <w:r>
              <w:rPr>
                <w:rFonts w:ascii="Calibri" w:cs="Calibri" w:eastAsia="Calibri" w:hAnsi="Calibri"/>
                <w:sz w:val="15"/>
                <w:szCs w:val="15"/>
                <w:b w:val="1"/>
                <w:bCs w:val="1"/>
                <w:color w:val="auto"/>
              </w:rPr>
              <w:t>Yield at Fair Value:</w:t>
            </w:r>
          </w:p>
        </w:tc>
        <w:tc>
          <w:tcPr>
            <w:tcW w:w="128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13.1%</w:t>
            </w:r>
          </w:p>
        </w:tc>
      </w:tr>
      <w:tr>
        <w:trPr>
          <w:trHeight w:val="57"/>
        </w:trPr>
        <w:tc>
          <w:tcPr>
            <w:tcW w:w="2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76"/>
        </w:trPr>
        <w:tc>
          <w:tcPr>
            <w:tcW w:w="2180" w:type="dxa"/>
            <w:vAlign w:val="bottom"/>
          </w:tcPr>
          <w:p>
            <w:pPr>
              <w:ind w:left="20"/>
              <w:spacing w:after="0" w:line="176" w:lineRule="exact"/>
              <w:rPr>
                <w:sz w:val="20"/>
                <w:szCs w:val="20"/>
                <w:color w:val="auto"/>
              </w:rPr>
            </w:pPr>
            <w:r>
              <w:rPr>
                <w:rFonts w:ascii="Calibri" w:cs="Calibri" w:eastAsia="Calibri" w:hAnsi="Calibri"/>
                <w:sz w:val="15"/>
                <w:szCs w:val="15"/>
                <w:b w:val="1"/>
                <w:bCs w:val="1"/>
                <w:color w:val="auto"/>
              </w:rPr>
              <w:t>Yield at Amortzed Cost:</w:t>
            </w:r>
          </w:p>
        </w:tc>
        <w:tc>
          <w:tcPr>
            <w:tcW w:w="1280" w:type="dxa"/>
            <w:vAlign w:val="bottom"/>
          </w:tcPr>
          <w:p>
            <w:pPr>
              <w:jc w:val="right"/>
              <w:ind w:right="184"/>
              <w:spacing w:after="0" w:line="176" w:lineRule="exact"/>
              <w:rPr>
                <w:sz w:val="20"/>
                <w:szCs w:val="20"/>
                <w:color w:val="auto"/>
              </w:rPr>
            </w:pPr>
            <w:r>
              <w:rPr>
                <w:rFonts w:ascii="Calibri" w:cs="Calibri" w:eastAsia="Calibri" w:hAnsi="Calibri"/>
                <w:sz w:val="15"/>
                <w:szCs w:val="15"/>
                <w:b w:val="1"/>
                <w:bCs w:val="1"/>
                <w:color w:val="auto"/>
              </w:rPr>
              <w:t>13.4%</w:t>
            </w:r>
          </w:p>
        </w:tc>
      </w:tr>
    </w:tbl>
    <w:p>
      <w:pPr>
        <w:spacing w:after="0" w:line="200" w:lineRule="exact"/>
        <w:rPr>
          <w:sz w:val="20"/>
          <w:szCs w:val="20"/>
          <w:color w:val="auto"/>
        </w:rPr>
      </w:pPr>
    </w:p>
    <w:p>
      <w:pPr>
        <w:spacing w:after="0" w:line="256" w:lineRule="exact"/>
        <w:rPr>
          <w:sz w:val="20"/>
          <w:szCs w:val="20"/>
          <w:color w:val="auto"/>
        </w:rPr>
      </w:pPr>
    </w:p>
    <w:p>
      <w:pPr>
        <w:jc w:val="both"/>
        <w:ind w:left="100" w:right="20" w:hanging="104"/>
        <w:spacing w:after="0" w:line="256" w:lineRule="auto"/>
        <w:rPr>
          <w:sz w:val="20"/>
          <w:szCs w:val="20"/>
          <w:color w:val="auto"/>
        </w:rPr>
      </w:pPr>
      <w:r>
        <w:rPr>
          <w:rFonts w:ascii="Times New Roman" w:cs="Times New Roman" w:eastAsia="Times New Roman" w:hAnsi="Times New Roman"/>
          <w:sz w:val="14"/>
          <w:szCs w:val="14"/>
          <w:color w:val="auto"/>
        </w:rPr>
        <w:t>1.</w:t>
      </w:r>
      <w:r>
        <w:rPr>
          <w:rFonts w:ascii="Calibri" w:cs="Calibri" w:eastAsia="Calibri" w:hAnsi="Calibri"/>
          <w:sz w:val="14"/>
          <w:szCs w:val="14"/>
          <w:color w:val="auto"/>
        </w:rPr>
        <w:t>As of September 30, 2024, excludes 3 structured credit</w:t>
      </w:r>
      <w:r>
        <w:rPr>
          <w:rFonts w:ascii="Times New Roman" w:cs="Times New Roman" w:eastAsia="Times New Roman" w:hAnsi="Times New Roman"/>
          <w:sz w:val="14"/>
          <w:szCs w:val="14"/>
          <w:color w:val="auto"/>
        </w:rPr>
        <w:t xml:space="preserve"> </w:t>
      </w:r>
      <w:r>
        <w:rPr>
          <w:rFonts w:ascii="Calibri" w:cs="Calibri" w:eastAsia="Calibri" w:hAnsi="Calibri"/>
          <w:sz w:val="14"/>
          <w:szCs w:val="14"/>
          <w:color w:val="auto"/>
        </w:rPr>
        <w:t>investments with a total fair value of $5.0 million.</w:t>
      </w:r>
    </w:p>
    <w:p>
      <w:pPr>
        <w:spacing w:after="0" w:line="103" w:lineRule="exact"/>
        <w:rPr>
          <w:sz w:val="20"/>
          <w:szCs w:val="20"/>
          <w:color w:val="auto"/>
        </w:rPr>
      </w:pPr>
    </w:p>
    <w:p>
      <w:pPr>
        <w:jc w:val="both"/>
        <w:ind w:left="100" w:right="20" w:hanging="105"/>
        <w:spacing w:after="0" w:line="245" w:lineRule="auto"/>
        <w:rPr>
          <w:sz w:val="20"/>
          <w:szCs w:val="20"/>
          <w:color w:val="auto"/>
        </w:rPr>
      </w:pPr>
      <w:r>
        <w:rPr>
          <w:rFonts w:ascii="Calibri" w:cs="Calibri" w:eastAsia="Calibri" w:hAnsi="Calibri"/>
          <w:sz w:val="14"/>
          <w:szCs w:val="14"/>
          <w:color w:val="auto"/>
        </w:rPr>
        <w:t>2.As of June 30, 2024, excludes 4 structured credit investments with a total fair value of $6.1 million.</w:t>
      </w:r>
    </w:p>
    <w:p>
      <w:pPr>
        <w:spacing w:after="0" w:line="110" w:lineRule="exact"/>
        <w:rPr>
          <w:sz w:val="20"/>
          <w:szCs w:val="20"/>
          <w:color w:val="auto"/>
        </w:rPr>
      </w:pPr>
    </w:p>
    <w:p>
      <w:pPr>
        <w:jc w:val="both"/>
        <w:ind w:left="100" w:right="20" w:hanging="105"/>
        <w:spacing w:after="0" w:line="245" w:lineRule="auto"/>
        <w:rPr>
          <w:sz w:val="20"/>
          <w:szCs w:val="20"/>
          <w:color w:val="auto"/>
        </w:rPr>
      </w:pPr>
      <w:r>
        <w:rPr>
          <w:rFonts w:ascii="Calibri" w:cs="Calibri" w:eastAsia="Calibri" w:hAnsi="Calibri"/>
          <w:sz w:val="14"/>
          <w:szCs w:val="14"/>
          <w:color w:val="auto"/>
        </w:rPr>
        <w:t>3.Calculaton includes income earning debt investments only.</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140"/>
            <w:col w:w="3460"/>
          </w:cols>
          <w:pgMar w:left="320" w:top="1440" w:right="339" w:bottom="1440" w:gutter="0" w:footer="0" w:header="0"/>
          <w:type w:val="continuous"/>
        </w:sectPr>
      </w:pPr>
    </w:p>
    <w:bookmarkStart w:id="5" w:name="page6"/>
    <w:bookmarkEnd w:id="5"/>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RESULTS OF OPERATIONS FOR THE THREE MONTHS ENDED SEPTEMBER 30, 2024</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Total Investment Income</w:t>
      </w:r>
    </w:p>
    <w:p>
      <w:pPr>
        <w:spacing w:after="0" w:line="29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For the three months ended September 30, 2024 and 2023, investment income was $119.2 million and</w:t>
      </w:r>
    </w:p>
    <w:p>
      <w:pPr>
        <w:spacing w:after="0" w:line="1" w:lineRule="exact"/>
        <w:rPr>
          <w:sz w:val="20"/>
          <w:szCs w:val="20"/>
          <w:color w:val="auto"/>
        </w:rPr>
      </w:pPr>
    </w:p>
    <w:p>
      <w:pPr>
        <w:ind w:left="20" w:right="20"/>
        <w:spacing w:after="0" w:line="235" w:lineRule="auto"/>
        <w:rPr>
          <w:sz w:val="20"/>
          <w:szCs w:val="20"/>
          <w:color w:val="auto"/>
        </w:rPr>
      </w:pPr>
      <w:r>
        <w:rPr>
          <w:rFonts w:ascii="Calibri" w:cs="Calibri" w:eastAsia="Calibri" w:hAnsi="Calibri"/>
          <w:sz w:val="18"/>
          <w:szCs w:val="18"/>
          <w:color w:val="auto"/>
        </w:rPr>
        <w:t>$114.4 million, respectvely. The increase in investment income was largely the result of net funding actvity and an increase in reference rates.</w:t>
      </w:r>
    </w:p>
    <w:p>
      <w:pPr>
        <w:spacing w:after="0" w:line="30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Net Expenses</w:t>
      </w:r>
    </w:p>
    <w:p>
      <w:pPr>
        <w:spacing w:after="0" w:line="341" w:lineRule="exact"/>
        <w:rPr>
          <w:sz w:val="20"/>
          <w:szCs w:val="20"/>
          <w:color w:val="auto"/>
        </w:rPr>
      </w:pPr>
    </w:p>
    <w:p>
      <w:pPr>
        <w:ind w:left="20" w:right="100"/>
        <w:spacing w:after="0" w:line="235" w:lineRule="auto"/>
        <w:rPr>
          <w:sz w:val="20"/>
          <w:szCs w:val="20"/>
          <w:color w:val="auto"/>
        </w:rPr>
      </w:pPr>
      <w:r>
        <w:rPr>
          <w:rFonts w:ascii="Calibri" w:cs="Calibri" w:eastAsia="Calibri" w:hAnsi="Calibri"/>
          <w:sz w:val="18"/>
          <w:szCs w:val="18"/>
          <w:color w:val="auto"/>
        </w:rPr>
        <w:t>Net expenses totaled $63.6 million and $64.0 million for the three months ended September 30, 2024 and 2023, respectvely. The marginal decrease in net expenses was primarily due to the partal reversal or unwind of previously accrued capital gains incentve fee expenses related to unrealized losses, partally ofset by the upward movement in reference rates which increased the Company’s weighted average interest rate on average debt outstanding.</w:t>
      </w:r>
    </w:p>
    <w:p>
      <w:pPr>
        <w:spacing w:after="0" w:line="280"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Debt and Capital Resources</w:t>
      </w:r>
    </w:p>
    <w:p>
      <w:pPr>
        <w:spacing w:after="0" w:line="341" w:lineRule="exact"/>
        <w:rPr>
          <w:sz w:val="20"/>
          <w:szCs w:val="20"/>
          <w:color w:val="auto"/>
        </w:rPr>
      </w:pPr>
    </w:p>
    <w:p>
      <w:pPr>
        <w:ind w:left="20"/>
        <w:spacing w:after="0" w:line="235" w:lineRule="auto"/>
        <w:rPr>
          <w:sz w:val="20"/>
          <w:szCs w:val="20"/>
          <w:color w:val="auto"/>
        </w:rPr>
      </w:pPr>
      <w:r>
        <w:rPr>
          <w:rFonts w:ascii="Calibri" w:cs="Calibri" w:eastAsia="Calibri" w:hAnsi="Calibri"/>
          <w:sz w:val="18"/>
          <w:szCs w:val="18"/>
          <w:color w:val="auto"/>
        </w:rPr>
        <w:t>As of September 30, 2024, the Company had $29.7 million in cash and cash equivalents (including $23.2 million of restricted cash), total principal value of debt outstanding of $1,907.5 million, and $1,087.0 million of undrawn capacity on its revolving credit facility, subject to borrowing base, outstanding leters of credit, asset coverage requirements and other limitatons. The Company’s weighted average interest rate on debt outstanding was 7.7% for the three-month periods ended September 30, 2024 and June 30, 2024, respectvely. At September 30, 2024, the Company’s debt to equity rato was 1.19x, compared to 1.12x at June 30, 2024. Average debt to equity was 1.14x for the three-month period ended September 30, 2024, compared to 1.17x for the three-month period ended June 30, 2024.</w:t>
      </w:r>
    </w:p>
    <w:p>
      <w:pPr>
        <w:spacing w:after="0" w:line="136" w:lineRule="exact"/>
        <w:rPr>
          <w:sz w:val="20"/>
          <w:szCs w:val="20"/>
          <w:color w:val="auto"/>
        </w:rPr>
      </w:pPr>
    </w:p>
    <w:p>
      <w:pPr>
        <w:ind w:left="180" w:right="240" w:hanging="159"/>
        <w:spacing w:after="0" w:line="245" w:lineRule="auto"/>
        <w:tabs>
          <w:tab w:leader="none" w:pos="1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Daily average debt outstanding during the quarter divided by the average net assets during the quarter. Average net assets is calculated by startng with the prior quarter end net asset value and adjustng for capital actvity during the quarter (adding common stock oferings / DRIP contributons).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00"/>
        <w:spacing w:after="0"/>
        <w:rPr>
          <w:sz w:val="20"/>
          <w:szCs w:val="20"/>
          <w:color w:val="auto"/>
        </w:rPr>
      </w:pPr>
      <w:r>
        <w:rPr>
          <w:rFonts w:ascii="Calibri" w:cs="Calibri" w:eastAsia="Calibri" w:hAnsi="Calibri"/>
          <w:sz w:val="15"/>
          <w:szCs w:val="15"/>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213423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291465"/>
                    </a:xfrm>
                    <a:prstGeom prst="rect">
                      <a:avLst/>
                    </a:prstGeom>
                    <a:noFill/>
                  </pic:spPr>
                </pic:pic>
              </a:graphicData>
            </a:graphic>
          </wp:anchor>
        </w:drawing>
      </w:r>
    </w:p>
    <w:p>
      <w:pPr>
        <w:spacing w:after="0" w:line="364" w:lineRule="exact"/>
        <w:rPr>
          <w:sz w:val="20"/>
          <w:szCs w:val="20"/>
          <w:color w:val="auto"/>
        </w:rPr>
      </w:pPr>
    </w:p>
    <w:p>
      <w:pPr>
        <w:ind w:left="1340"/>
        <w:spacing w:after="0"/>
        <w:rPr>
          <w:sz w:val="20"/>
          <w:szCs w:val="20"/>
          <w:color w:val="auto"/>
        </w:rPr>
      </w:pPr>
      <w:r>
        <w:rPr>
          <w:rFonts w:ascii="Calibri" w:cs="Calibri" w:eastAsia="Calibri" w:hAnsi="Calibri"/>
          <w:sz w:val="15"/>
          <w:szCs w:val="15"/>
          <w:b w:val="1"/>
          <w:bCs w:val="1"/>
          <w:color w:val="auto"/>
        </w:rPr>
        <w:t>$119.2MM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387350</wp:posOffset>
            </wp:positionV>
            <wp:extent cx="2134235" cy="316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42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60"/>
        <w:spacing w:after="0"/>
        <w:rPr>
          <w:sz w:val="20"/>
          <w:szCs w:val="20"/>
          <w:color w:val="auto"/>
        </w:rPr>
      </w:pPr>
      <w:r>
        <w:rPr>
          <w:rFonts w:ascii="Calibri" w:cs="Calibri" w:eastAsia="Calibri" w:hAnsi="Calibri"/>
          <w:sz w:val="15"/>
          <w:szCs w:val="15"/>
          <w:b w:val="1"/>
          <w:bCs w:val="1"/>
          <w:color w:val="FFFFFF"/>
        </w:rPr>
        <w:t>Net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80"/>
        <w:spacing w:after="0"/>
        <w:rPr>
          <w:sz w:val="20"/>
          <w:szCs w:val="20"/>
          <w:color w:val="auto"/>
        </w:rPr>
      </w:pPr>
      <w:r>
        <w:rPr>
          <w:rFonts w:ascii="Calibri" w:cs="Calibri" w:eastAsia="Calibri" w:hAnsi="Calibri"/>
          <w:sz w:val="15"/>
          <w:szCs w:val="15"/>
          <w:b w:val="1"/>
          <w:bCs w:val="1"/>
          <w:color w:val="auto"/>
        </w:rPr>
        <w:t>$63.6MM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Total Principal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213423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145415"/>
                    </a:xfrm>
                    <a:prstGeom prst="rect">
                      <a:avLst/>
                    </a:prstGeom>
                    <a:noFill/>
                  </pic:spPr>
                </pic:pic>
              </a:graphicData>
            </a:graphic>
          </wp:anchor>
        </w:drawing>
      </w:r>
    </w:p>
    <w:p>
      <w:pPr>
        <w:spacing w:after="0" w:line="26" w:lineRule="exact"/>
        <w:rPr>
          <w:sz w:val="20"/>
          <w:szCs w:val="20"/>
          <w:color w:val="auto"/>
        </w:rPr>
      </w:pPr>
    </w:p>
    <w:p>
      <w:pPr>
        <w:ind w:left="1280"/>
        <w:spacing w:after="0"/>
        <w:rPr>
          <w:sz w:val="20"/>
          <w:szCs w:val="20"/>
          <w:color w:val="auto"/>
        </w:rPr>
      </w:pPr>
      <w:r>
        <w:rPr>
          <w:rFonts w:ascii="Calibri" w:cs="Calibri" w:eastAsia="Calibri" w:hAnsi="Calibri"/>
          <w:sz w:val="15"/>
          <w:szCs w:val="15"/>
          <w:b w:val="1"/>
          <w:bCs w:val="1"/>
          <w:color w:val="auto"/>
        </w:rPr>
        <w:t>$1,907.5MM</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Borders>
              <w:bottom w:val="single" w:sz="8" w:color="0F2F50"/>
            </w:tcBorders>
            <w:shd w:val="clear" w:color="auto" w:fill="0F2F50"/>
          </w:tcPr>
          <w:p>
            <w:pPr>
              <w:spacing w:after="0"/>
              <w:rPr>
                <w:sz w:val="18"/>
                <w:szCs w:val="18"/>
                <w:color w:val="auto"/>
              </w:rPr>
            </w:pPr>
          </w:p>
        </w:tc>
        <w:tc>
          <w:tcPr>
            <w:tcW w:w="2440" w:type="dxa"/>
            <w:vAlign w:val="bottom"/>
            <w:tcBorders>
              <w:bottom w:val="single" w:sz="8" w:color="0F2F50"/>
            </w:tcBorders>
            <w:shd w:val="clear" w:color="auto" w:fill="0F2F50"/>
          </w:tcPr>
          <w:p>
            <w:pPr>
              <w:ind w:left="820"/>
              <w:spacing w:after="0"/>
              <w:rPr>
                <w:sz w:val="20"/>
                <w:szCs w:val="20"/>
                <w:color w:val="auto"/>
              </w:rPr>
            </w:pPr>
            <w:r>
              <w:rPr>
                <w:rFonts w:ascii="Calibri" w:cs="Calibri" w:eastAsia="Calibri" w:hAnsi="Calibri"/>
                <w:sz w:val="15"/>
                <w:szCs w:val="15"/>
                <w:b w:val="1"/>
                <w:bCs w:val="1"/>
                <w:color w:val="FFFFFF"/>
              </w:rPr>
              <w:t>Debt-to-Equity Rato</w:t>
            </w:r>
          </w:p>
        </w:tc>
        <w:tc>
          <w:tcPr>
            <w:tcW w:w="700" w:type="dxa"/>
            <w:vAlign w:val="bottom"/>
            <w:tcBorders>
              <w:bottom w:val="single" w:sz="8" w:color="0F2F50"/>
            </w:tcBorders>
            <w:shd w:val="clear" w:color="auto" w:fill="0F2F50"/>
          </w:tcPr>
          <w:p>
            <w:pPr>
              <w:spacing w:after="0"/>
              <w:rPr>
                <w:sz w:val="18"/>
                <w:szCs w:val="18"/>
                <w:color w:val="auto"/>
              </w:rPr>
            </w:pPr>
          </w:p>
        </w:tc>
      </w:tr>
      <w:tr>
        <w:trPr>
          <w:trHeight w:val="183"/>
        </w:trPr>
        <w:tc>
          <w:tcPr>
            <w:tcW w:w="220" w:type="dxa"/>
            <w:vAlign w:val="bottom"/>
          </w:tcPr>
          <w:p>
            <w:pPr>
              <w:ind w:left="20"/>
              <w:spacing w:after="0"/>
              <w:rPr>
                <w:sz w:val="20"/>
                <w:szCs w:val="20"/>
                <w:color w:val="auto"/>
              </w:rPr>
            </w:pPr>
            <w:r>
              <w:rPr>
                <w:rFonts w:ascii="Calibri" w:cs="Calibri" w:eastAsia="Calibri" w:hAnsi="Calibri"/>
                <w:sz w:val="15"/>
                <w:szCs w:val="15"/>
                <w:b w:val="1"/>
                <w:bCs w:val="1"/>
                <w:color w:val="auto"/>
              </w:rPr>
              <w:t>Q3</w:t>
            </w:r>
          </w:p>
        </w:tc>
        <w:tc>
          <w:tcPr>
            <w:tcW w:w="2440" w:type="dxa"/>
            <w:vAlign w:val="bottom"/>
          </w:tcPr>
          <w:p>
            <w:pPr>
              <w:ind w:left="20"/>
              <w:spacing w:after="0"/>
              <w:rPr>
                <w:sz w:val="20"/>
                <w:szCs w:val="20"/>
                <w:color w:val="auto"/>
              </w:rPr>
            </w:pPr>
            <w:r>
              <w:rPr>
                <w:rFonts w:ascii="Calibri" w:cs="Calibri" w:eastAsia="Calibri" w:hAnsi="Calibri"/>
                <w:sz w:val="15"/>
                <w:szCs w:val="15"/>
                <w:b w:val="1"/>
                <w:bCs w:val="1"/>
                <w:color w:val="auto"/>
              </w:rPr>
              <w:t>2024 Quarter End:</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1.19x</w:t>
            </w:r>
          </w:p>
        </w:tc>
      </w:tr>
      <w:tr>
        <w:trPr>
          <w:trHeight w:val="240"/>
        </w:trPr>
        <w:tc>
          <w:tcPr>
            <w:tcW w:w="220" w:type="dxa"/>
            <w:vAlign w:val="bottom"/>
          </w:tcPr>
          <w:p>
            <w:pPr>
              <w:ind w:left="20"/>
              <w:spacing w:after="0"/>
              <w:rPr>
                <w:sz w:val="20"/>
                <w:szCs w:val="20"/>
                <w:color w:val="auto"/>
              </w:rPr>
            </w:pPr>
            <w:r>
              <w:rPr>
                <w:rFonts w:ascii="Calibri" w:cs="Calibri" w:eastAsia="Calibri" w:hAnsi="Calibri"/>
                <w:sz w:val="15"/>
                <w:szCs w:val="15"/>
                <w:b w:val="1"/>
                <w:bCs w:val="1"/>
                <w:color w:val="auto"/>
              </w:rPr>
              <w:t>Q3</w:t>
            </w:r>
          </w:p>
        </w:tc>
        <w:tc>
          <w:tcPr>
            <w:tcW w:w="2440" w:type="dxa"/>
            <w:vAlign w:val="bottom"/>
          </w:tcPr>
          <w:p>
            <w:pPr>
              <w:ind w:left="20"/>
              <w:spacing w:after="0" w:line="240" w:lineRule="exact"/>
              <w:rPr>
                <w:sz w:val="20"/>
                <w:szCs w:val="20"/>
                <w:color w:val="auto"/>
              </w:rPr>
            </w:pPr>
            <w:r>
              <w:rPr>
                <w:rFonts w:ascii="Calibri" w:cs="Calibri" w:eastAsia="Calibri" w:hAnsi="Calibri"/>
                <w:sz w:val="15"/>
                <w:szCs w:val="15"/>
                <w:b w:val="1"/>
                <w:bCs w:val="1"/>
                <w:color w:val="auto"/>
              </w:rPr>
              <w:t>2024 Average</w:t>
            </w:r>
            <w:r>
              <w:rPr>
                <w:rFonts w:ascii="Calibri" w:cs="Calibri" w:eastAsia="Calibri" w:hAnsi="Calibri"/>
                <w:sz w:val="20"/>
                <w:szCs w:val="20"/>
                <w:b w:val="1"/>
                <w:bCs w:val="1"/>
                <w:color w:val="auto"/>
                <w:vertAlign w:val="superscript"/>
              </w:rPr>
              <w:t>1</w:t>
            </w:r>
            <w:r>
              <w:rPr>
                <w:rFonts w:ascii="Calibri" w:cs="Calibri" w:eastAsia="Calibri" w:hAnsi="Calibri"/>
                <w:sz w:val="15"/>
                <w:szCs w:val="15"/>
                <w:b w:val="1"/>
                <w:bCs w:val="1"/>
                <w:color w:val="auto"/>
              </w:rPr>
              <w:t>:</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1.14x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680" w:space="200"/>
            <w:col w:w="3360"/>
          </w:cols>
          <w:pgMar w:left="320" w:top="1440" w:right="339" w:bottom="1440" w:gutter="0" w:footer="0" w:header="0"/>
        </w:sectPr>
      </w:pPr>
    </w:p>
    <w:bookmarkStart w:id="6" w:name="page7"/>
    <w:bookmarkEnd w:id="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LIQUIDITY AND FUNDING PROFILE</w:t>
      </w:r>
    </w:p>
    <w:p>
      <w:pPr>
        <w:spacing w:after="0" w:line="13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Liquidity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summarize the Company’s liquidity at September 30, 2024 and changes to unfunded commitments since June 30,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20"/>
                <w:szCs w:val="20"/>
                <w:color w:val="auto"/>
              </w:rPr>
            </w:pPr>
            <w:r>
              <w:rPr>
                <w:rFonts w:ascii="Calibri" w:cs="Calibri" w:eastAsia="Calibri" w:hAnsi="Calibri"/>
                <w:sz w:val="14"/>
                <w:szCs w:val="14"/>
                <w:color w:val="auto"/>
              </w:rPr>
              <w:t>$ Millions</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4380" w:type="dxa"/>
            <w:vAlign w:val="bottom"/>
            <w:tcBorders>
              <w:bottom w:val="single" w:sz="8" w:color="0F2F50"/>
            </w:tcBorders>
            <w:shd w:val="clear" w:color="auto" w:fill="0F2F50"/>
          </w:tcPr>
          <w:p>
            <w:pPr>
              <w:ind w:left="1920"/>
              <w:spacing w:after="0"/>
              <w:rPr>
                <w:sz w:val="20"/>
                <w:szCs w:val="20"/>
                <w:color w:val="auto"/>
              </w:rPr>
            </w:pPr>
            <w:r>
              <w:rPr>
                <w:rFonts w:ascii="Calibri" w:cs="Calibri" w:eastAsia="Calibri" w:hAnsi="Calibri"/>
                <w:sz w:val="18"/>
                <w:szCs w:val="18"/>
                <w:b w:val="1"/>
                <w:bCs w:val="1"/>
                <w:color w:val="FFFFFF"/>
              </w:rPr>
              <w:t>Revolving Credit Facility</w:t>
            </w:r>
          </w:p>
        </w:tc>
        <w:tc>
          <w:tcPr>
            <w:tcW w:w="1180" w:type="dxa"/>
            <w:vAlign w:val="bottom"/>
            <w:tcBorders>
              <w:bottom w:val="single" w:sz="8" w:color="0F2F50"/>
            </w:tcBorders>
            <w:shd w:val="clear" w:color="auto" w:fill="0F2F50"/>
          </w:tcPr>
          <w:p>
            <w:pPr>
              <w:spacing w:after="0"/>
              <w:rPr>
                <w:sz w:val="21"/>
                <w:szCs w:val="21"/>
                <w:color w:val="auto"/>
              </w:rPr>
            </w:pPr>
          </w:p>
        </w:tc>
        <w:tc>
          <w:tcPr>
            <w:tcW w:w="240" w:type="dxa"/>
            <w:vAlign w:val="bottom"/>
          </w:tcPr>
          <w:p>
            <w:pPr>
              <w:spacing w:after="0"/>
              <w:rPr>
                <w:sz w:val="21"/>
                <w:szCs w:val="21"/>
                <w:color w:val="auto"/>
              </w:rPr>
            </w:pPr>
          </w:p>
        </w:tc>
        <w:tc>
          <w:tcPr>
            <w:tcW w:w="4500" w:type="dxa"/>
            <w:vAlign w:val="bottom"/>
            <w:tcBorders>
              <w:bottom w:val="single" w:sz="8" w:color="0F2F50"/>
            </w:tcBorders>
            <w:shd w:val="clear" w:color="auto" w:fill="0F2F50"/>
          </w:tcPr>
          <w:p>
            <w:pPr>
              <w:ind w:left="1560"/>
              <w:spacing w:after="0"/>
              <w:rPr>
                <w:sz w:val="20"/>
                <w:szCs w:val="20"/>
                <w:color w:val="auto"/>
              </w:rPr>
            </w:pPr>
            <w:r>
              <w:rPr>
                <w:rFonts w:ascii="Calibri" w:cs="Calibri" w:eastAsia="Calibri" w:hAnsi="Calibri"/>
                <w:sz w:val="18"/>
                <w:szCs w:val="18"/>
                <w:b w:val="1"/>
                <w:bCs w:val="1"/>
                <w:color w:val="FFFFFF"/>
              </w:rPr>
              <w:t>Unfunded Commitment Actvity</w:t>
            </w:r>
          </w:p>
        </w:tc>
        <w:tc>
          <w:tcPr>
            <w:tcW w:w="940" w:type="dxa"/>
            <w:vAlign w:val="bottom"/>
            <w:tcBorders>
              <w:bottom w:val="single" w:sz="8" w:color="0F2F50"/>
            </w:tcBorders>
            <w:shd w:val="clear" w:color="auto" w:fill="0F2F50"/>
          </w:tcPr>
          <w:p>
            <w:pPr>
              <w:spacing w:after="0"/>
              <w:rPr>
                <w:sz w:val="21"/>
                <w:szCs w:val="21"/>
                <w:color w:val="auto"/>
              </w:rPr>
            </w:pPr>
          </w:p>
        </w:tc>
      </w:tr>
      <w:tr>
        <w:trPr>
          <w:trHeight w:val="193"/>
        </w:trPr>
        <w:tc>
          <w:tcPr>
            <w:tcW w:w="43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Revolver Capacity</w:t>
            </w: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$1,700</w:t>
            </w:r>
          </w:p>
        </w:tc>
        <w:tc>
          <w:tcPr>
            <w:tcW w:w="240" w:type="dxa"/>
            <w:vAlign w:val="bottom"/>
          </w:tcPr>
          <w:p>
            <w:pPr>
              <w:spacing w:after="0"/>
              <w:rPr>
                <w:sz w:val="16"/>
                <w:szCs w:val="16"/>
                <w:color w:val="auto"/>
              </w:rPr>
            </w:pPr>
          </w:p>
        </w:tc>
        <w:tc>
          <w:tcPr>
            <w:tcW w:w="45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Unfunded Commitments (See Note 8 in 6/30/24 10-Q)</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22860</wp:posOffset>
            </wp:positionV>
            <wp:extent cx="3454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top w:val="single" w:sz="8" w:color="ECEEF0"/>
            </w:tcBorders>
          </w:tcPr>
          <w:p>
            <w:pPr>
              <w:ind w:left="20"/>
              <w:spacing w:after="0"/>
              <w:rPr>
                <w:sz w:val="20"/>
                <w:szCs w:val="20"/>
                <w:color w:val="auto"/>
              </w:rPr>
            </w:pPr>
            <w:r>
              <w:rPr>
                <w:rFonts w:ascii="Calibri" w:cs="Calibri" w:eastAsia="Calibri" w:hAnsi="Calibri"/>
                <w:sz w:val="16"/>
                <w:szCs w:val="16"/>
                <w:color w:val="auto"/>
              </w:rPr>
              <w:t>Drawn on Revolver</w:t>
            </w:r>
          </w:p>
        </w:tc>
        <w:tc>
          <w:tcPr>
            <w:tcW w:w="1160" w:type="dxa"/>
            <w:vAlign w:val="bottom"/>
            <w:tcBorders>
              <w:top w:val="single" w:sz="8" w:color="ECEEF0"/>
            </w:tcBorders>
          </w:tcPr>
          <w:p>
            <w:pPr>
              <w:jc w:val="right"/>
              <w:spacing w:after="0"/>
              <w:rPr>
                <w:sz w:val="20"/>
                <w:szCs w:val="20"/>
                <w:color w:val="auto"/>
              </w:rPr>
            </w:pPr>
            <w:r>
              <w:rPr>
                <w:rFonts w:ascii="Calibri" w:cs="Calibri" w:eastAsia="Calibri" w:hAnsi="Calibri"/>
                <w:sz w:val="16"/>
                <w:szCs w:val="16"/>
                <w:color w:val="auto"/>
              </w:rPr>
              <w:t>($610)</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color w:val="auto"/>
              </w:rPr>
              <w:t>Unrestricted Cash Balance</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color w:val="auto"/>
              </w:rPr>
              <w:t>$6</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color w:val="auto"/>
              </w:rPr>
              <w:t>Issued Leters of Credit</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color w:val="auto"/>
              </w:rPr>
              <w:t>($3)</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(Pre-Unfunded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$1,093</w:t>
            </w:r>
          </w:p>
        </w:tc>
      </w:tr>
      <w:tr>
        <w:trPr>
          <w:trHeight w:val="252"/>
        </w:trPr>
        <w:tc>
          <w:tcPr>
            <w:tcW w:w="4400" w:type="dxa"/>
            <w:vAlign w:val="bottom"/>
          </w:tcPr>
          <w:p>
            <w:pPr>
              <w:ind w:left="20"/>
              <w:spacing w:after="0" w:line="252" w:lineRule="exact"/>
              <w:rPr>
                <w:sz w:val="20"/>
                <w:szCs w:val="20"/>
                <w:color w:val="auto"/>
              </w:rPr>
            </w:pPr>
            <w:r>
              <w:rPr>
                <w:rFonts w:ascii="Calibri" w:cs="Calibri" w:eastAsia="Calibri" w:hAnsi="Calibri"/>
                <w:sz w:val="16"/>
                <w:szCs w:val="16"/>
                <w:color w:val="auto"/>
              </w:rPr>
              <w:t>Available Unfunded Commitments</w:t>
            </w:r>
            <w:r>
              <w:rPr>
                <w:rFonts w:ascii="Calibri" w:cs="Calibri" w:eastAsia="Calibri" w:hAnsi="Calibri"/>
                <w:sz w:val="21"/>
                <w:szCs w:val="21"/>
                <w:color w:val="auto"/>
                <w:vertAlign w:val="superscript"/>
              </w:rPr>
              <w:t>1</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($226)</w:t>
            </w:r>
          </w:p>
        </w:tc>
      </w:tr>
      <w:tr>
        <w:trPr>
          <w:trHeight w:val="27"/>
        </w:trPr>
        <w:tc>
          <w:tcPr>
            <w:tcW w:w="4400" w:type="dxa"/>
            <w:vAlign w:val="bottom"/>
            <w:tcBorders>
              <w:bottom w:val="single" w:sz="8" w:color="ECEEF0"/>
            </w:tcBorders>
          </w:tcPr>
          <w:p>
            <w:pPr>
              <w:spacing w:after="0"/>
              <w:rPr>
                <w:sz w:val="2"/>
                <w:szCs w:val="2"/>
                <w:color w:val="auto"/>
              </w:rPr>
            </w:pPr>
          </w:p>
        </w:tc>
        <w:tc>
          <w:tcPr>
            <w:tcW w:w="1160" w:type="dxa"/>
            <w:vAlign w:val="bottom"/>
            <w:tcBorders>
              <w:bottom w:val="single" w:sz="8" w:color="ECEEF0"/>
            </w:tcBorders>
          </w:tcPr>
          <w:p>
            <w:pPr>
              <w:spacing w:after="0"/>
              <w:rPr>
                <w:sz w:val="2"/>
                <w:szCs w:val="2"/>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(Burdened for 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$867</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3531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ind w:left="20"/>
              <w:spacing w:after="0"/>
              <w:rPr>
                <w:sz w:val="20"/>
                <w:szCs w:val="20"/>
                <w:color w:val="auto"/>
              </w:rPr>
            </w:pPr>
            <w:r>
              <w:rPr>
                <w:rFonts w:ascii="Calibri" w:cs="Calibri" w:eastAsia="Calibri" w:hAnsi="Calibri"/>
                <w:sz w:val="16"/>
                <w:szCs w:val="16"/>
                <w:color w:val="auto"/>
              </w:rPr>
              <w:t>Extnguished Unfunded Commitments</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($22)</w:t>
            </w:r>
          </w:p>
        </w:tc>
      </w:tr>
      <w:tr>
        <w:trPr>
          <w:trHeight w:val="41"/>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187"/>
        </w:trPr>
        <w:tc>
          <w:tcPr>
            <w:tcW w:w="3920" w:type="dxa"/>
            <w:vAlign w:val="bottom"/>
          </w:tcPr>
          <w:p>
            <w:pPr>
              <w:ind w:left="20"/>
              <w:spacing w:after="0" w:line="187" w:lineRule="exact"/>
              <w:rPr>
                <w:sz w:val="20"/>
                <w:szCs w:val="20"/>
                <w:color w:val="auto"/>
              </w:rPr>
            </w:pPr>
            <w:r>
              <w:rPr>
                <w:rFonts w:ascii="Calibri" w:cs="Calibri" w:eastAsia="Calibri" w:hAnsi="Calibri"/>
                <w:sz w:val="16"/>
                <w:szCs w:val="16"/>
                <w:color w:val="auto"/>
              </w:rPr>
              <w:t>New Unfunded Commitments</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$80</w:t>
            </w:r>
          </w:p>
        </w:tc>
      </w:tr>
      <w:tr>
        <w:trPr>
          <w:trHeight w:val="36"/>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187"/>
        </w:trPr>
        <w:tc>
          <w:tcPr>
            <w:tcW w:w="3920" w:type="dxa"/>
            <w:vAlign w:val="bottom"/>
          </w:tcPr>
          <w:p>
            <w:pPr>
              <w:ind w:left="20"/>
              <w:spacing w:after="0" w:line="187" w:lineRule="exact"/>
              <w:rPr>
                <w:sz w:val="20"/>
                <w:szCs w:val="20"/>
                <w:color w:val="auto"/>
              </w:rPr>
            </w:pPr>
            <w:r>
              <w:rPr>
                <w:rFonts w:ascii="Calibri" w:cs="Calibri" w:eastAsia="Calibri" w:hAnsi="Calibri"/>
                <w:sz w:val="16"/>
                <w:szCs w:val="16"/>
                <w:color w:val="auto"/>
              </w:rPr>
              <w:t>Net Drawdown of Unfunded Commitments</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color w:val="auto"/>
              </w:rPr>
              <w:t>($35)</w:t>
            </w:r>
          </w:p>
        </w:tc>
      </w:tr>
      <w:tr>
        <w:trPr>
          <w:trHeight w:val="36"/>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187"/>
        </w:trPr>
        <w:tc>
          <w:tcPr>
            <w:tcW w:w="392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Unfunded Commitments</w:t>
            </w:r>
          </w:p>
        </w:tc>
        <w:tc>
          <w:tcPr>
            <w:tcW w:w="152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$351</w:t>
            </w:r>
          </w:p>
        </w:tc>
      </w:tr>
      <w:tr>
        <w:trPr>
          <w:trHeight w:val="36"/>
        </w:trPr>
        <w:tc>
          <w:tcPr>
            <w:tcW w:w="3920" w:type="dxa"/>
            <w:vAlign w:val="bottom"/>
            <w:tcBorders>
              <w:bottom w:val="single" w:sz="8" w:color="ECEEF0"/>
            </w:tcBorders>
          </w:tcPr>
          <w:p>
            <w:pPr>
              <w:spacing w:after="0"/>
              <w:rPr>
                <w:sz w:val="3"/>
                <w:szCs w:val="3"/>
                <w:color w:val="auto"/>
              </w:rPr>
            </w:pPr>
          </w:p>
        </w:tc>
        <w:tc>
          <w:tcPr>
            <w:tcW w:w="1520" w:type="dxa"/>
            <w:vAlign w:val="bottom"/>
            <w:tcBorders>
              <w:bottom w:val="single" w:sz="8" w:color="ECEEF0"/>
            </w:tcBorders>
          </w:tcPr>
          <w:p>
            <w:pPr>
              <w:spacing w:after="0"/>
              <w:rPr>
                <w:sz w:val="3"/>
                <w:szCs w:val="3"/>
                <w:color w:val="auto"/>
              </w:rPr>
            </w:pPr>
          </w:p>
        </w:tc>
      </w:tr>
      <w:tr>
        <w:trPr>
          <w:trHeight w:val="223"/>
        </w:trPr>
        <w:tc>
          <w:tcPr>
            <w:tcW w:w="3920" w:type="dxa"/>
            <w:vAlign w:val="bottom"/>
            <w:tcBorders>
              <w:bottom w:val="single" w:sz="8" w:color="ECEEF0"/>
            </w:tcBorders>
          </w:tcPr>
          <w:p>
            <w:pPr>
              <w:ind w:left="20"/>
              <w:spacing w:after="0" w:line="223" w:lineRule="exact"/>
              <w:rPr>
                <w:sz w:val="20"/>
                <w:szCs w:val="20"/>
                <w:color w:val="auto"/>
              </w:rPr>
            </w:pPr>
            <w:r>
              <w:rPr>
                <w:rFonts w:ascii="Calibri" w:cs="Calibri" w:eastAsia="Calibri" w:hAnsi="Calibri"/>
                <w:sz w:val="16"/>
                <w:szCs w:val="16"/>
                <w:color w:val="auto"/>
              </w:rPr>
              <w:t>Unavailable Unfunded Commitments</w:t>
            </w:r>
            <w:r>
              <w:rPr>
                <w:rFonts w:ascii="Calibri" w:cs="Calibri" w:eastAsia="Calibri" w:hAnsi="Calibri"/>
                <w:sz w:val="21"/>
                <w:szCs w:val="21"/>
                <w:color w:val="auto"/>
                <w:vertAlign w:val="superscript"/>
              </w:rPr>
              <w:t>1</w:t>
            </w:r>
          </w:p>
        </w:tc>
        <w:tc>
          <w:tcPr>
            <w:tcW w:w="152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($125)</w:t>
            </w:r>
          </w:p>
        </w:tc>
      </w:tr>
      <w:tr>
        <w:trPr>
          <w:trHeight w:val="223"/>
        </w:trPr>
        <w:tc>
          <w:tcPr>
            <w:tcW w:w="3920" w:type="dxa"/>
            <w:vAlign w:val="bottom"/>
            <w:tcBorders>
              <w:bottom w:val="single" w:sz="8" w:color="ECEEF0"/>
            </w:tcBorders>
          </w:tcPr>
          <w:p>
            <w:pPr>
              <w:ind w:left="20"/>
              <w:spacing w:after="0" w:line="223" w:lineRule="exact"/>
              <w:rPr>
                <w:sz w:val="20"/>
                <w:szCs w:val="20"/>
                <w:color w:val="auto"/>
              </w:rPr>
            </w:pPr>
            <w:r>
              <w:rPr>
                <w:rFonts w:ascii="Calibri" w:cs="Calibri" w:eastAsia="Calibri" w:hAnsi="Calibri"/>
                <w:sz w:val="16"/>
                <w:szCs w:val="16"/>
                <w:b w:val="1"/>
                <w:bCs w:val="1"/>
                <w:color w:val="auto"/>
              </w:rPr>
              <w:t>Available Unfunded Commitments</w:t>
            </w:r>
            <w:r>
              <w:rPr>
                <w:rFonts w:ascii="Calibri" w:cs="Calibri" w:eastAsia="Calibri" w:hAnsi="Calibri"/>
                <w:sz w:val="21"/>
                <w:szCs w:val="21"/>
                <w:b w:val="1"/>
                <w:bCs w:val="1"/>
                <w:color w:val="auto"/>
                <w:vertAlign w:val="superscript"/>
              </w:rPr>
              <w:t>1</w:t>
            </w:r>
          </w:p>
        </w:tc>
        <w:tc>
          <w:tcPr>
            <w:tcW w:w="152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b w:val="1"/>
                <w:bCs w:val="1"/>
                <w:color w:val="auto"/>
              </w:rPr>
              <w:t>$226</w:t>
            </w:r>
          </w:p>
        </w:tc>
      </w:tr>
    </w:tbl>
    <w:p>
      <w:pPr>
        <w:spacing w:after="0" w:line="138"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hanging="372"/>
        <w:spacing w:after="0"/>
        <w:tabs>
          <w:tab w:leader="none" w:pos="380" w:val="left"/>
        </w:tabs>
        <w:numPr>
          <w:ilvl w:val="0"/>
          <w:numId w:val="3"/>
        </w:numPr>
        <w:rPr>
          <w:rFonts w:ascii="Calibri" w:cs="Calibri" w:eastAsia="Calibri" w:hAnsi="Calibri"/>
          <w:sz w:val="12"/>
          <w:szCs w:val="12"/>
          <w:color w:val="auto"/>
        </w:rPr>
      </w:pPr>
      <w:r>
        <w:rPr>
          <w:rFonts w:ascii="Calibri" w:cs="Calibri" w:eastAsia="Calibri" w:hAnsi="Calibri"/>
          <w:sz w:val="12"/>
          <w:szCs w:val="12"/>
          <w:color w:val="auto"/>
        </w:rPr>
        <w:t>Commitments may be subject to limitatons on borrowings set forth in the agreements between the Company and the applicable portolio company. As a result, portolio companies may not be eligible to borrow</w:t>
      </w:r>
    </w:p>
    <w:p>
      <w:pPr>
        <w:ind w:left="380"/>
        <w:spacing w:after="0" w:line="227" w:lineRule="auto"/>
        <w:rPr>
          <w:sz w:val="20"/>
          <w:szCs w:val="20"/>
          <w:color w:val="auto"/>
        </w:rPr>
      </w:pPr>
      <w:r>
        <w:rPr>
          <w:rFonts w:ascii="Calibri" w:cs="Calibri" w:eastAsia="Calibri" w:hAnsi="Calibri"/>
          <w:sz w:val="13"/>
          <w:szCs w:val="13"/>
          <w:color w:val="auto"/>
        </w:rPr>
        <w:t>the full commitment amount on such date.</w:t>
      </w:r>
    </w:p>
    <w:p>
      <w:pPr>
        <w:spacing w:after="0" w:line="225" w:lineRule="auto"/>
        <w:rPr>
          <w:sz w:val="20"/>
          <w:szCs w:val="20"/>
          <w:color w:val="auto"/>
        </w:rPr>
      </w:pPr>
      <w:r>
        <w:rPr>
          <w:rFonts w:ascii="Calibri" w:cs="Calibri" w:eastAsia="Calibri" w:hAnsi="Calibri"/>
          <w:sz w:val="13"/>
          <w:szCs w:val="13"/>
          <w:color w:val="auto"/>
        </w:rPr>
        <w:t>Note: May not sum due to rounding.</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Funding Profle</w:t>
      </w:r>
    </w:p>
    <w:p>
      <w:pPr>
        <w:spacing w:after="0" w:line="109"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At September 30, 2024, the Company’s funding mix was comprised of approximately 68% unsecured and 32% secured debt. As illustrated below, the Company’s nearest debt maturity was in November 2024 at $348 million, and the weighted average remaining life of investments funded with debt was ~2.5 years, compared to a weighted average remaining maturity on debt of ~3.5 years</w:t>
      </w:r>
      <w:r>
        <w:rPr>
          <w:rFonts w:ascii="Calibri" w:cs="Calibri" w:eastAsia="Calibri" w:hAnsi="Calibri"/>
          <w:sz w:val="24"/>
          <w:szCs w:val="24"/>
          <w:color w:val="auto"/>
          <w:vertAlign w:val="superscript"/>
        </w:rPr>
        <w:t>2</w:t>
      </w:r>
      <w:r>
        <w:rPr>
          <w:rFonts w:ascii="Calibri" w:cs="Calibri" w:eastAsia="Calibri" w:hAnsi="Calibri"/>
          <w:sz w:val="18"/>
          <w:szCs w:val="18"/>
          <w:color w:val="auto"/>
        </w:rPr>
        <w:t>. Post quarter-end, the Company repaid the $348 million November 2024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5795010" cy="1637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501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Calibri" w:cs="Calibri" w:eastAsia="Calibri" w:hAnsi="Calibri"/>
          <w:sz w:val="13"/>
          <w:szCs w:val="13"/>
          <w:color w:val="auto"/>
        </w:rPr>
        <w:t>*$348 million unsecured notes with a November 1, 2024 maturity date were repaid post-quarter end.</w:t>
      </w:r>
    </w:p>
    <w:p>
      <w:pPr>
        <w:spacing w:after="0" w:line="108" w:lineRule="exact"/>
        <w:rPr>
          <w:sz w:val="20"/>
          <w:szCs w:val="20"/>
          <w:color w:val="auto"/>
        </w:rPr>
      </w:pPr>
    </w:p>
    <w:p>
      <w:pPr>
        <w:ind w:left="300" w:hanging="292"/>
        <w:spacing w:after="0" w:line="224" w:lineRule="auto"/>
        <w:tabs>
          <w:tab w:leader="none" w:pos="30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Includes $25 million of non-extending commitments with a maturity of February 4, 2026 and a revolving period ending February 4, 2025 and $170 million of non-extending commitments with a maturity of April 23, 2027 and a revolving period ending April 24, 2026.</w:t>
      </w:r>
    </w:p>
    <w:p>
      <w:pPr>
        <w:ind w:left="300" w:hanging="292"/>
        <w:spacing w:after="0" w:line="224" w:lineRule="auto"/>
        <w:tabs>
          <w:tab w:leader="none" w:pos="30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Weighted by gross commitment amount.</w:t>
      </w:r>
    </w:p>
    <w:p>
      <w:pPr>
        <w:spacing w:after="0" w:line="98" w:lineRule="exact"/>
        <w:rPr>
          <w:sz w:val="20"/>
          <w:szCs w:val="20"/>
          <w:color w:val="auto"/>
        </w:rPr>
      </w:pPr>
    </w:p>
    <w:p>
      <w:pPr>
        <w:spacing w:after="0"/>
        <w:rPr>
          <w:sz w:val="20"/>
          <w:szCs w:val="20"/>
          <w:color w:val="auto"/>
        </w:rPr>
      </w:pPr>
      <w:r>
        <w:rPr>
          <w:rFonts w:ascii="Calibri" w:cs="Calibri" w:eastAsia="Calibri" w:hAnsi="Calibri"/>
          <w:sz w:val="13"/>
          <w:szCs w:val="13"/>
          <w:color w:val="auto"/>
        </w:rPr>
        <w:t>Note: Numbers may not sum due to rounding.</w:t>
      </w: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Conference Call Informaton:</w:t>
      </w:r>
    </w:p>
    <w:p>
      <w:pPr>
        <w:spacing w:after="0" w:line="3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conference call to discuss the Company’s fnancial results will be held at 8:30 a.m. Eastern Time on November 6, 2024. The conference call will be broadcast live in listen-only mode on the Investor Resources secton of TSLX’s website at htps://sixthstreetspecialtylending.gcs-web.com/events-and-presentatons. The Events &amp; Presentatons page of the Investor Resources secton of TSLX’s website also includes a slide presentaton that complements the Earnings Conference Call. Please visit the website to test your connecton before the webcast.</w:t>
      </w:r>
    </w:p>
    <w:p>
      <w:pPr>
        <w:spacing w:after="0" w:line="21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Research analysts who wish to partcipate in the conference call must frst register at htps://register.vevent.com/register/BI5103e312e20f498f9165948189d07d34. Upon registraton, all telephone partcipants will receive a confrmaton email detailing how to join the conference call, including the dial-in number along with a unique passcode and registrant ID that can be used to access the call.</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Replay Informaton:</w:t>
      </w:r>
    </w:p>
    <w:p>
      <w:pPr>
        <w:spacing w:after="0" w:line="3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recorded version will be available under the same webcast link (</w:t>
      </w:r>
      <w:r>
        <w:rPr>
          <w:rFonts w:ascii="Calibri" w:cs="Calibri" w:eastAsia="Calibri" w:hAnsi="Calibri"/>
          <w:sz w:val="18"/>
          <w:szCs w:val="18"/>
          <w:color w:val="0563C1"/>
        </w:rPr>
        <w:t>htps://sixthstreetspecialtylending.gcs-web.com/events-and-presentatons</w:t>
      </w:r>
      <w:r>
        <w:rPr>
          <w:rFonts w:ascii="Calibri" w:cs="Calibri" w:eastAsia="Calibri" w:hAnsi="Calibri"/>
          <w:sz w:val="18"/>
          <w:szCs w:val="18"/>
          <w:color w:val="auto"/>
        </w:rPr>
        <w:t>) following the conclusion of the conference call.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(Amounts in millions, except per share amounts)</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6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6440" w:type="dxa"/>
            <w:vAlign w:val="bottom"/>
          </w:tcPr>
          <w:p>
            <w:pPr>
              <w:spacing w:after="0"/>
              <w:rPr>
                <w:sz w:val="16"/>
                <w:szCs w:val="16"/>
                <w:color w:val="auto"/>
              </w:rPr>
            </w:pPr>
          </w:p>
        </w:tc>
        <w:tc>
          <w:tcPr>
            <w:tcW w:w="16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tcBorders>
              <w:top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3,441.1</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22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3,529.9</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(2)</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21"/>
                <w:szCs w:val="21"/>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(0.01 )</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6440" w:type="dxa"/>
            <w:vAlign w:val="bottom"/>
            <w:shd w:val="clear" w:color="auto" w:fill="CFF0FC"/>
          </w:tcPr>
          <w:p>
            <w:pPr>
              <w:spacing w:after="0" w:line="250"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Per Share </w:t>
            </w:r>
            <w:r>
              <w:rPr>
                <w:rFonts w:ascii="Times New Roman" w:cs="Times New Roman" w:eastAsia="Times New Roman" w:hAnsi="Times New Roman"/>
                <w:sz w:val="24"/>
                <w:szCs w:val="24"/>
                <w:color w:val="auto"/>
                <w:vertAlign w:val="superscript"/>
              </w:rPr>
              <w:t>(2)</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21"/>
                <w:szCs w:val="21"/>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644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4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13.7 %</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14.7 %</w:t>
            </w:r>
          </w:p>
        </w:tc>
        <w:tc>
          <w:tcPr>
            <w:tcW w:w="4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(Net Income) </w:t>
            </w:r>
            <w:r>
              <w:rPr>
                <w:rFonts w:ascii="Times New Roman" w:cs="Times New Roman" w:eastAsia="Times New Roman" w:hAnsi="Times New Roman"/>
                <w:sz w:val="24"/>
                <w:szCs w:val="24"/>
                <w:color w:val="auto"/>
                <w:vertAlign w:val="superscript"/>
              </w:rPr>
              <w:t>(3)</w:t>
            </w:r>
          </w:p>
        </w:tc>
        <w:tc>
          <w:tcPr>
            <w:tcW w:w="4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Investment Income) </w:t>
            </w:r>
            <w:r>
              <w:rPr>
                <w:rFonts w:ascii="Times New Roman" w:cs="Times New Roman" w:eastAsia="Times New Roman" w:hAnsi="Times New Roman"/>
                <w:sz w:val="24"/>
                <w:szCs w:val="24"/>
                <w:color w:val="auto"/>
                <w:vertAlign w:val="superscript"/>
              </w:rPr>
              <w:t>(2)(3)</w:t>
            </w:r>
          </w:p>
        </w:tc>
        <w:tc>
          <w:tcPr>
            <w:tcW w:w="4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68"/>
        </w:trPr>
        <w:tc>
          <w:tcPr>
            <w:tcW w:w="64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w:t>
            </w:r>
            <w:r>
              <w:rPr>
                <w:rFonts w:ascii="Times New Roman" w:cs="Times New Roman" w:eastAsia="Times New Roman" w:hAnsi="Times New Roman"/>
                <w:sz w:val="24"/>
                <w:szCs w:val="24"/>
                <w:color w:val="auto"/>
                <w:vertAlign w:val="superscript"/>
              </w:rPr>
              <w:t>(2)(3)</w:t>
            </w:r>
          </w:p>
        </w:tc>
        <w:tc>
          <w:tcPr>
            <w:tcW w:w="46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9.6 %</w:t>
            </w:r>
          </w:p>
        </w:tc>
        <w:tc>
          <w:tcPr>
            <w:tcW w:w="22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13.6 %</w:t>
            </w:r>
          </w:p>
        </w:tc>
        <w:tc>
          <w:tcPr>
            <w:tcW w:w="4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50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Fair Value</w:t>
            </w:r>
          </w:p>
        </w:tc>
        <w:tc>
          <w:tcPr>
            <w:tcW w:w="46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13.1 %</w:t>
            </w:r>
          </w:p>
        </w:tc>
        <w:tc>
          <w:tcPr>
            <w:tcW w:w="22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14.1 %</w:t>
            </w:r>
          </w:p>
        </w:tc>
        <w:tc>
          <w:tcPr>
            <w:tcW w:w="4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4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Amortized Cost</w:t>
            </w:r>
          </w:p>
        </w:tc>
        <w:tc>
          <w:tcPr>
            <w:tcW w:w="4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4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4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-1088390</wp:posOffset>
            </wp:positionV>
            <wp:extent cx="70548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-779780</wp:posOffset>
            </wp:positionV>
            <wp:extent cx="705485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-454025</wp:posOffset>
            </wp:positionV>
            <wp:extent cx="70548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-145415</wp:posOffset>
            </wp:positionV>
            <wp:extent cx="705485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154" w:lineRule="exact"/>
        <w:rPr>
          <w:sz w:val="20"/>
          <w:szCs w:val="20"/>
          <w:color w:val="auto"/>
        </w:rPr>
      </w:pP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Adjusted net asset value per share gives efect to the supplemental dividend declared related to earnings or special dividend in the applicable period.</w:t>
      </w:r>
    </w:p>
    <w:p>
      <w:pPr>
        <w:spacing w:after="0" w:line="5" w:lineRule="exact"/>
        <w:rPr>
          <w:rFonts w:ascii="Calibri" w:cs="Calibri" w:eastAsia="Calibri" w:hAnsi="Calibri"/>
          <w:sz w:val="14"/>
          <w:szCs w:val="14"/>
          <w:color w:val="auto"/>
        </w:rPr>
      </w:pPr>
    </w:p>
    <w:p>
      <w:pPr>
        <w:ind w:left="760" w:hanging="378"/>
        <w:spacing w:after="0" w:line="245" w:lineRule="auto"/>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Adjusted to exclude the capital gains incentve fee that was accrued, but not paid, related to cumulatve unrealized capital gains in excess of cumulatve net realized capital gains less any cumulatve unrealized losses and capital gains incentve fees paid incepton to date.</w:t>
      </w:r>
    </w:p>
    <w:p>
      <w:pPr>
        <w:spacing w:after="0" w:line="1" w:lineRule="exact"/>
        <w:rPr>
          <w:rFonts w:ascii="Calibri" w:cs="Calibri" w:eastAsia="Calibri" w:hAnsi="Calibri"/>
          <w:sz w:val="14"/>
          <w:szCs w:val="14"/>
          <w:color w:val="auto"/>
        </w:rPr>
      </w:pP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Return on equity is calculated using prior period’s ending net asset value per share.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jc w:val="center"/>
        <w:spacing w:after="0" w:line="235" w:lineRule="auto"/>
        <w:rPr>
          <w:sz w:val="20"/>
          <w:szCs w:val="20"/>
          <w:color w:val="auto"/>
        </w:rPr>
      </w:pPr>
      <w:r>
        <w:rPr>
          <w:rFonts w:ascii="Calibri" w:cs="Calibri" w:eastAsia="Calibri" w:hAnsi="Calibri"/>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Non-controlled, non-affiliated investments (amortized cost of $3,345,221 and $3,172,853, respectively)</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3,375,851</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3,223,152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Controlled, affiliated investments (amortized cost of $85,869 and $78,159, respectively)</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65,224</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investments at fair value (amortized cost of $3,431,090 and $3,251,012, respectively)</w:t>
            </w:r>
          </w:p>
        </w:tc>
        <w:tc>
          <w:tcPr>
            <w:tcW w:w="2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3,441,075</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3,283,065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(restricted cash of $23,197 and $23,979, respectively)</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29,727</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34,756</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24,306</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3,529,864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3,343,808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 (net of deferred financing costs of $25,481 and $21,930, respectively)</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1,870,445</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1,780,307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fees payable to affiliate</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payables to affiliate</w:t>
            </w:r>
          </w:p>
        </w:tc>
        <w:tc>
          <w:tcPr>
            <w:tcW w:w="2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5,619</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26,723</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1,932,683</w:t>
            </w:r>
          </w:p>
        </w:tc>
        <w:tc>
          <w:tcPr>
            <w:tcW w:w="3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1,847,433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3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$0.01 par value; 100,000,000 shares authorized; no shares</w:t>
            </w:r>
          </w:p>
        </w:tc>
        <w:tc>
          <w:tcPr>
            <w:tcW w:w="260" w:type="dxa"/>
            <w:vAlign w:val="bottom"/>
          </w:tcPr>
          <w:p>
            <w:pPr>
              <w:spacing w:after="0"/>
              <w:rPr>
                <w:sz w:val="12"/>
                <w:szCs w:val="12"/>
                <w:color w:val="auto"/>
              </w:rPr>
            </w:pPr>
          </w:p>
        </w:tc>
        <w:tc>
          <w:tcPr>
            <w:tcW w:w="1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26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3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$0.01 par value; 400,000,000 shares authorized, 93,981,871</w:t>
            </w:r>
          </w:p>
        </w:tc>
        <w:tc>
          <w:tcPr>
            <w:tcW w:w="2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88,493,749 shares issued, respectively; and 93,317,621 and 87,829,499</w:t>
            </w:r>
          </w:p>
        </w:tc>
        <w:tc>
          <w:tcPr>
            <w:tcW w:w="260" w:type="dxa"/>
            <w:vAlign w:val="bottom"/>
            <w:shd w:val="clear" w:color="auto" w:fill="CFF0FC"/>
          </w:tcPr>
          <w:p>
            <w:pPr>
              <w:spacing w:after="0"/>
              <w:rPr>
                <w:sz w:val="12"/>
                <w:szCs w:val="12"/>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260" w:type="dxa"/>
            <w:vAlign w:val="bottom"/>
            <w:shd w:val="clear" w:color="auto" w:fill="CFF0FC"/>
          </w:tcPr>
          <w:p>
            <w:pPr>
              <w:spacing w:after="0"/>
              <w:rPr>
                <w:sz w:val="16"/>
                <w:szCs w:val="16"/>
                <w:color w:val="auto"/>
              </w:rPr>
            </w:pPr>
          </w:p>
        </w:tc>
        <w:tc>
          <w:tcPr>
            <w:tcW w:w="15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1,516,201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1,405,173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Treasury stock at cost; 664,250 and 664,250 shares held, respectively</w:t>
            </w:r>
          </w:p>
        </w:tc>
        <w:tc>
          <w:tcPr>
            <w:tcW w:w="26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(10,459 )</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(10,459 )</w:t>
            </w:r>
          </w:p>
        </w:tc>
        <w:tc>
          <w:tcPr>
            <w:tcW w:w="0" w:type="dxa"/>
            <w:vAlign w:val="bottom"/>
          </w:tcPr>
          <w:p>
            <w:pPr>
              <w:spacing w:after="0"/>
              <w:rPr>
                <w:sz w:val="1"/>
                <w:szCs w:val="1"/>
                <w:color w:val="auto"/>
              </w:rPr>
            </w:pPr>
          </w:p>
        </w:tc>
      </w:tr>
      <w:tr>
        <w:trPr>
          <w:trHeight w:val="17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Distributable earnings</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90,499</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6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1,597,181</w:t>
            </w:r>
          </w:p>
        </w:tc>
        <w:tc>
          <w:tcPr>
            <w:tcW w:w="3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1,496,375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3,529,864</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3,343,808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tcBorders>
              <w:bottom w:val="single" w:sz="8" w:color="CFF0FC"/>
            </w:tcBorders>
            <w:shd w:val="clear" w:color="auto" w:fill="CFF0FC"/>
          </w:tcPr>
          <w:p>
            <w:pPr>
              <w:ind w:left="280"/>
              <w:spacing w:after="0" w:line="156"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60" w:type="dxa"/>
            <w:vAlign w:val="bottom"/>
            <w:tcBorders>
              <w:bottom w:val="single" w:sz="8" w:color="auto"/>
            </w:tcBorders>
            <w:shd w:val="clear" w:color="auto" w:fill="CFF0FC"/>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17.12</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17.04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7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948"/>
        </w:trPr>
        <w:tc>
          <w:tcPr>
            <w:tcW w:w="7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-3291205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-3274060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-2365375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-1173480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-916305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-899160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Statements of Operatons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jc w:val="center"/>
        <w:spacing w:after="0" w:line="235" w:lineRule="auto"/>
        <w:rPr>
          <w:sz w:val="20"/>
          <w:szCs w:val="20"/>
          <w:color w:val="auto"/>
        </w:rPr>
      </w:pPr>
      <w:r>
        <w:rPr>
          <w:rFonts w:ascii="Calibri" w:cs="Calibri" w:eastAsia="Calibri" w:hAnsi="Calibri"/>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4"/>
                <w:szCs w:val="14"/>
                <w:color w:val="auto"/>
              </w:rPr>
            </w:pPr>
          </w:p>
        </w:tc>
      </w:tr>
      <w:tr>
        <w:trPr>
          <w:trHeight w:val="16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103,363</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102,078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308,478</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286,733</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Paid-in-kind interest income</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23,761</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12,809</w:t>
            </w:r>
          </w:p>
        </w:tc>
        <w:tc>
          <w:tcPr>
            <w:tcW w:w="100" w:type="dxa"/>
            <w:vAlign w:val="bottom"/>
          </w:tcPr>
          <w:p>
            <w:pPr>
              <w:spacing w:after="0"/>
              <w:rPr>
                <w:sz w:val="15"/>
                <w:szCs w:val="15"/>
                <w:color w:val="auto"/>
              </w:rPr>
            </w:pPr>
          </w:p>
        </w:tc>
      </w:tr>
      <w:tr>
        <w:trPr>
          <w:trHeight w:val="17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 income</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5,847</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13,737</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11,197</w:t>
            </w:r>
          </w:p>
        </w:tc>
        <w:tc>
          <w:tcPr>
            <w:tcW w:w="100" w:type="dxa"/>
            <w:vAlign w:val="bottom"/>
          </w:tcPr>
          <w:p>
            <w:pPr>
              <w:spacing w:after="0"/>
              <w:rPr>
                <w:sz w:val="15"/>
                <w:szCs w:val="15"/>
                <w:color w:val="auto"/>
              </w:rPr>
            </w:pPr>
          </w:p>
        </w:tc>
      </w:tr>
      <w:tr>
        <w:trPr>
          <w:trHeight w:val="169"/>
        </w:trPr>
        <w:tc>
          <w:tcPr>
            <w:tcW w:w="5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116,783</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112,404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351,823</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312,943</w:t>
            </w:r>
          </w:p>
        </w:tc>
        <w:tc>
          <w:tcPr>
            <w:tcW w:w="100" w:type="dxa"/>
            <w:vAlign w:val="bottom"/>
            <w:shd w:val="clear" w:color="auto" w:fill="CFF0FC"/>
          </w:tcPr>
          <w:p>
            <w:pPr>
              <w:spacing w:after="0"/>
              <w:rPr>
                <w:sz w:val="14"/>
                <w:szCs w:val="14"/>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100" w:type="dxa"/>
            <w:vAlign w:val="bottom"/>
            <w:shd w:val="clear" w:color="auto" w:fill="CFF0FC"/>
          </w:tcPr>
          <w:p>
            <w:pPr>
              <w:spacing w:after="0"/>
              <w:rPr>
                <w:sz w:val="15"/>
                <w:szCs w:val="15"/>
                <w:color w:val="auto"/>
              </w:rPr>
            </w:pPr>
          </w:p>
        </w:tc>
      </w:tr>
      <w:tr>
        <w:trPr>
          <w:trHeight w:val="176"/>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r>
      <w:tr>
        <w:trPr>
          <w:trHeight w:val="169"/>
        </w:trPr>
        <w:tc>
          <w:tcPr>
            <w:tcW w:w="52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119,223</w:t>
            </w: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114,435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358,822</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318,546</w:t>
            </w:r>
          </w:p>
        </w:tc>
        <w:tc>
          <w:tcPr>
            <w:tcW w:w="100" w:type="dxa"/>
            <w:vAlign w:val="bottom"/>
          </w:tcPr>
          <w:p>
            <w:pPr>
              <w:spacing w:after="0"/>
              <w:rPr>
                <w:sz w:val="14"/>
                <w:szCs w:val="14"/>
                <w:color w:val="auto"/>
              </w:rPr>
            </w:pPr>
          </w:p>
        </w:tc>
      </w:tr>
      <w:tr>
        <w:trPr>
          <w:trHeight w:val="16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38,492</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116,759</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95,971</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13,029</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11,928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38,390</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34,071</w:t>
            </w:r>
          </w:p>
        </w:tc>
        <w:tc>
          <w:tcPr>
            <w:tcW w:w="100" w:type="dxa"/>
            <w:vAlign w:val="bottom"/>
            <w:shd w:val="clear" w:color="auto" w:fill="CFF0FC"/>
          </w:tcPr>
          <w:p>
            <w:pPr>
              <w:spacing w:after="0"/>
              <w:rPr>
                <w:sz w:val="15"/>
                <w:szCs w:val="15"/>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33,517</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31,139</w:t>
            </w:r>
          </w:p>
        </w:tc>
        <w:tc>
          <w:tcPr>
            <w:tcW w:w="100" w:type="dxa"/>
            <w:vAlign w:val="bottom"/>
          </w:tcPr>
          <w:p>
            <w:pPr>
              <w:spacing w:after="0"/>
              <w:rPr>
                <w:sz w:val="15"/>
                <w:szCs w:val="15"/>
                <w:color w:val="auto"/>
              </w:rPr>
            </w:pPr>
          </w:p>
        </w:tc>
      </w:tr>
      <w:tr>
        <w:trPr>
          <w:trHeight w:val="17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(2,245 )</w:t>
            </w: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(4,424 )</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5,776</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100" w:type="dxa"/>
            <w:vAlign w:val="bottom"/>
          </w:tcPr>
          <w:p>
            <w:pPr>
              <w:spacing w:after="0"/>
              <w:rPr>
                <w:sz w:val="15"/>
                <w:szCs w:val="15"/>
                <w:color w:val="auto"/>
              </w:rPr>
            </w:pPr>
          </w:p>
        </w:tc>
      </w:tr>
      <w:tr>
        <w:trPr>
          <w:trHeight w:val="17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 fees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tcPr>
          <w:p>
            <w:pPr>
              <w:spacing w:after="0"/>
              <w:rPr>
                <w:sz w:val="15"/>
                <w:szCs w:val="15"/>
                <w:color w:val="auto"/>
              </w:rPr>
            </w:pPr>
          </w:p>
        </w:tc>
      </w:tr>
      <w:tr>
        <w:trPr>
          <w:trHeight w:val="169"/>
        </w:trPr>
        <w:tc>
          <w:tcPr>
            <w:tcW w:w="52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63,929</w:t>
            </w: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64,247</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194,640</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175,877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3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(330 )</w:t>
            </w:r>
          </w:p>
        </w:tc>
        <w:tc>
          <w:tcPr>
            <w:tcW w:w="6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(267 )</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(1,024 )</w:t>
            </w:r>
          </w:p>
        </w:tc>
        <w:tc>
          <w:tcPr>
            <w:tcW w:w="5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(822 )</w:t>
            </w:r>
          </w:p>
        </w:tc>
      </w:tr>
      <w:tr>
        <w:trPr>
          <w:trHeight w:val="169"/>
        </w:trPr>
        <w:tc>
          <w:tcPr>
            <w:tcW w:w="5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63,599</w:t>
            </w: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63,980</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193,616</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175,055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55,624</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165,206</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143,491</w:t>
            </w:r>
          </w:p>
        </w:tc>
        <w:tc>
          <w:tcPr>
            <w:tcW w:w="100" w:type="dxa"/>
            <w:vAlign w:val="bottom"/>
          </w:tcPr>
          <w:p>
            <w:pPr>
              <w:spacing w:after="0"/>
              <w:rPr>
                <w:sz w:val="14"/>
                <w:szCs w:val="14"/>
                <w:color w:val="auto"/>
              </w:rPr>
            </w:pPr>
          </w:p>
        </w:tc>
      </w:tr>
      <w:tr>
        <w:trPr>
          <w:trHeight w:val="175"/>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3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2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54,926</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162,432</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141,714</w:t>
            </w:r>
          </w:p>
        </w:tc>
        <w:tc>
          <w:tcPr>
            <w:tcW w:w="100" w:type="dxa"/>
            <w:vAlign w:val="bottom"/>
          </w:tcPr>
          <w:p>
            <w:pPr>
              <w:spacing w:after="0"/>
              <w:rPr>
                <w:sz w:val="14"/>
                <w:szCs w:val="14"/>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(2,502 )</w:t>
            </w: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(19,669 )</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32,483</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3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(19 )</w:t>
            </w:r>
          </w:p>
        </w:tc>
        <w:tc>
          <w:tcPr>
            <w:tcW w:w="6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(8,797 )</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(2,399 )</w:t>
            </w:r>
          </w:p>
        </w:tc>
        <w:tc>
          <w:tcPr>
            <w:tcW w:w="5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(17,783 )</w:t>
            </w:r>
          </w:p>
        </w:tc>
      </w:tr>
      <w:tr>
        <w:trPr>
          <w:trHeight w:val="17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(10,305 )</w:t>
            </w:r>
          </w:p>
        </w:tc>
        <w:tc>
          <w:tcPr>
            <w:tcW w:w="6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(7,220 )</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swaps</w:t>
            </w:r>
          </w:p>
        </w:tc>
        <w:tc>
          <w:tcPr>
            <w:tcW w:w="34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Income tax provision</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(1,456 )</w:t>
            </w:r>
          </w:p>
        </w:tc>
        <w:tc>
          <w:tcPr>
            <w:tcW w:w="6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(1,456 )</w:t>
            </w:r>
          </w:p>
        </w:tc>
        <w:tc>
          <w:tcPr>
            <w:tcW w:w="5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3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(14,282 )</w:t>
            </w: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(30,744 )</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100" w:type="dxa"/>
            <w:vAlign w:val="bottom"/>
          </w:tcPr>
          <w:p>
            <w:pPr>
              <w:spacing w:after="0"/>
              <w:rPr>
                <w:sz w:val="14"/>
                <w:szCs w:val="14"/>
                <w:color w:val="auto"/>
              </w:rPr>
            </w:pPr>
          </w:p>
        </w:tc>
      </w:tr>
      <w:tr>
        <w:trPr>
          <w:trHeight w:val="16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3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11,768</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(72 )</w:t>
            </w:r>
          </w:p>
        </w:tc>
        <w:tc>
          <w:tcPr>
            <w:tcW w:w="6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(246 )</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(60 )</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FF0FC"/>
          </w:tcPr>
          <w:p>
            <w:pPr>
              <w:spacing w:after="0"/>
              <w:rPr>
                <w:sz w:val="15"/>
                <w:szCs w:val="15"/>
                <w:color w:val="auto"/>
              </w:rPr>
            </w:pPr>
          </w:p>
        </w:tc>
      </w:tr>
      <w:tr>
        <w:trPr>
          <w:trHeight w:val="169"/>
        </w:trPr>
        <w:tc>
          <w:tcPr>
            <w:tcW w:w="52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220" w:type="dxa"/>
            <w:vAlign w:val="bottom"/>
            <w:tcBorders>
              <w:top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100" w:type="dxa"/>
            <w:vAlign w:val="bottom"/>
            <w:tcBorders>
              <w:top w:val="single" w:sz="8" w:color="CFF0FC"/>
            </w:tcBorders>
          </w:tcPr>
          <w:p>
            <w:pPr>
              <w:spacing w:after="0"/>
              <w:rPr>
                <w:sz w:val="14"/>
                <w:szCs w:val="14"/>
                <w:color w:val="auto"/>
              </w:rPr>
            </w:pPr>
          </w:p>
        </w:tc>
      </w:tr>
      <w:tr>
        <w:trPr>
          <w:trHeight w:val="169"/>
        </w:trPr>
        <w:tc>
          <w:tcPr>
            <w:tcW w:w="5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3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(14,271 )</w:t>
            </w:r>
          </w:p>
        </w:tc>
        <w:tc>
          <w:tcPr>
            <w:tcW w:w="6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(26,857 )</w:t>
            </w: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29,148</w:t>
            </w:r>
          </w:p>
        </w:tc>
        <w:tc>
          <w:tcPr>
            <w:tcW w:w="100" w:type="dxa"/>
            <w:vAlign w:val="bottom"/>
            <w:shd w:val="clear" w:color="auto" w:fill="CFF0FC"/>
          </w:tcPr>
          <w:p>
            <w:pPr>
              <w:spacing w:after="0"/>
              <w:rPr>
                <w:sz w:val="14"/>
                <w:szCs w:val="14"/>
                <w:color w:val="auto"/>
              </w:rPr>
            </w:pPr>
          </w:p>
        </w:tc>
      </w:tr>
      <w:tr>
        <w:trPr>
          <w:trHeight w:val="169"/>
        </w:trPr>
        <w:tc>
          <w:tcPr>
            <w:tcW w:w="5260" w:type="dxa"/>
            <w:vAlign w:val="bottom"/>
            <w:tcBorders>
              <w:top w:val="single" w:sz="8" w:color="CFF0FC"/>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40,655</w:t>
            </w: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64,820</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135,575</w:t>
            </w:r>
          </w:p>
        </w:tc>
        <w:tc>
          <w:tcPr>
            <w:tcW w:w="220" w:type="dxa"/>
            <w:vAlign w:val="bottom"/>
            <w:tcBorders>
              <w:top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170,862</w:t>
            </w:r>
          </w:p>
        </w:tc>
        <w:tc>
          <w:tcPr>
            <w:tcW w:w="100" w:type="dxa"/>
            <w:vAlign w:val="bottom"/>
            <w:tcBorders>
              <w:top w:val="single" w:sz="8" w:color="CFF0FC"/>
            </w:tcBorders>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2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34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0.44</w:t>
            </w:r>
          </w:p>
        </w:tc>
        <w:tc>
          <w:tcPr>
            <w:tcW w:w="2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4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0.74</w:t>
            </w: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93,024,154</w:t>
            </w: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87,251,340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91,602,160</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84,313,169</w:t>
            </w:r>
          </w:p>
        </w:tc>
        <w:tc>
          <w:tcPr>
            <w:tcW w:w="100" w:type="dxa"/>
            <w:vAlign w:val="bottom"/>
          </w:tcPr>
          <w:p>
            <w:pPr>
              <w:spacing w:after="0"/>
              <w:rPr>
                <w:sz w:val="14"/>
                <w:szCs w:val="14"/>
                <w:color w:val="auto"/>
              </w:rPr>
            </w:pPr>
          </w:p>
        </w:tc>
      </w:tr>
      <w:tr>
        <w:trPr>
          <w:trHeight w:val="429"/>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48"/>
        </w:trPr>
        <w:tc>
          <w:tcPr>
            <w:tcW w:w="5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-4491355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-4491355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-4491355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-3350895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-3350895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-3350895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-3110865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-3110865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-3110865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-2879725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-2879725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-2879725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-1979295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-1979295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-1979295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-1516380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-1516380</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-1516380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-1276350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-1276350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-1276350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-1019175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-1019175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-1019175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ind w:right="60"/>
        <w:spacing w:after="0" w:line="235" w:lineRule="auto"/>
        <w:rPr>
          <w:sz w:val="20"/>
          <w:szCs w:val="20"/>
          <w:color w:val="auto"/>
        </w:rPr>
      </w:pPr>
      <w:r>
        <w:rPr>
          <w:rFonts w:ascii="Calibri" w:cs="Calibri" w:eastAsia="Calibri" w:hAnsi="Calibri"/>
          <w:sz w:val="18"/>
          <w:szCs w:val="18"/>
          <w:color w:val="auto"/>
        </w:rPr>
        <w:t>The Company’s investment actvity for the quarter ended September 30, 2024 and 2023 is presented below (informaton presented herein is at par value unless otherwise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60" w:type="dxa"/>
            <w:vAlign w:val="bottom"/>
            <w:gridSpan w:val="2"/>
          </w:tcPr>
          <w:p>
            <w:pPr>
              <w:spacing w:after="0"/>
              <w:rPr>
                <w:sz w:val="14"/>
                <w:szCs w:val="14"/>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56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560" w:type="dxa"/>
            <w:vAlign w:val="bottom"/>
            <w:tcBorders>
              <w:bottom w:val="single" w:sz="8" w:color="CFF0FC"/>
            </w:tcBorders>
            <w:shd w:val="clear" w:color="auto" w:fill="CFF0FC"/>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First-lien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Second-lien</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Mezzanine</w:t>
            </w:r>
          </w:p>
        </w:tc>
        <w:tc>
          <w:tcPr>
            <w:tcW w:w="14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Equity and other</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Structured Credit</w:t>
            </w:r>
          </w:p>
        </w:tc>
        <w:tc>
          <w:tcPr>
            <w:tcW w:w="14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1"/>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First-lien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Second-lien</w:t>
            </w:r>
          </w:p>
        </w:tc>
        <w:tc>
          <w:tcPr>
            <w:tcW w:w="14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Mezzanine</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and other</w:t>
            </w:r>
          </w:p>
        </w:tc>
        <w:tc>
          <w:tcPr>
            <w:tcW w:w="14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Structured Credit</w:t>
            </w: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75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4"/>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4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75.9 %</w:t>
            </w:r>
          </w:p>
        </w:tc>
        <w:tc>
          <w:tcPr>
            <w:tcW w:w="18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98.7 %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4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24.1 %</w:t>
            </w:r>
          </w:p>
        </w:tc>
        <w:tc>
          <w:tcPr>
            <w:tcW w:w="18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4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12.0 %</w:t>
            </w:r>
          </w:p>
        </w:tc>
        <w:tc>
          <w:tcPr>
            <w:tcW w:w="18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4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6.8 %</w:t>
            </w:r>
          </w:p>
        </w:tc>
        <w:tc>
          <w:tcPr>
            <w:tcW w:w="18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4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13.0 %</w:t>
            </w:r>
          </w:p>
        </w:tc>
        <w:tc>
          <w:tcPr>
            <w:tcW w:w="18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-4808220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-4808220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-2630805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3" w:lineRule="exact"/>
        <w:rPr>
          <w:sz w:val="20"/>
          <w:szCs w:val="20"/>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Includes afliates of Sixth Street.</w:t>
      </w:r>
    </w:p>
    <w:p>
      <w:pPr>
        <w:spacing w:after="0" w:line="217"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2" w:name="page13"/>
    <w:bookmarkEnd w:id="1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b w:val="1"/>
          <w:bCs w:val="1"/>
          <w:color w:val="auto"/>
        </w:rPr>
        <w:t>About Sixth Street Specialty Lending</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Sixth Street Specialty Lending is a specialty fnance company focused on lending to middle-market companies. The Company seeks to generate current income primarily in U.S.-domiciled middle-market companies through direct originatons of senior secured loans and, to a lesser extent, originatons of mezzanine loans and investments in corporate bonds and equity securites. The Company has elected to be regulated as a business development company, or a BDC, under the Investment Company Act of 1940 and the rules and regulatons promulgated thereunder. The Company is externally managed by Sixth Street Specialty Lending Advisers, LLC, an afliate of Sixth Street and a Securites and Exchange Commission (“SEC”) registered investment adviser. The Company leverages the deep investment, sector, and operatng resources of Sixth Street, a global investment frm with over $80 billion in assets under management and commited capital. For more informaton, visit the Company’s website at </w:t>
      </w:r>
      <w:r>
        <w:rPr>
          <w:rFonts w:ascii="Calibri" w:cs="Calibri" w:eastAsia="Calibri" w:hAnsi="Calibri"/>
          <w:sz w:val="18"/>
          <w:szCs w:val="18"/>
          <w:color w:val="0563C1"/>
        </w:rPr>
        <w:t>htps://sixthstreetspecialtylending.com</w:t>
      </w:r>
      <w:r>
        <w:rPr>
          <w:rFonts w:ascii="Calibri" w:cs="Calibri" w:eastAsia="Calibri" w:hAnsi="Calibri"/>
          <w:sz w:val="18"/>
          <w:szCs w:val="18"/>
          <w:color w:val="auto"/>
        </w:rPr>
        <w:t>.</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Sixth Street</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Sixth Street is a global investment frm with over $80 billion in assets under management and commited capital. The frm uses its long-term fexible capital, data-enabled capabilites, and One Team culture to develop themes and ofer solutons to companies across all stages of growth. Founded in 2009, Sixth Street has more than 600 team members including over 250 investment professionals around the world. For more informaton, visit htps://sixthstreet.com or follow Sixth Street on LinkedIn.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Statements included herein may consttute “forward-looking statements,” within the meaning of the federal securites laws and the Private Securites Litgaton Reform Act of 1995, which relate to future events or the Company’s future performance or fnancial conditon. These forward-looking statements can be identfed by the use of forward-looking terminology, such as “outlook,” “indicator,” “believes,” “expects,” “potental,” “contnues,” “may,” “can,” “will,” “should,” “seeks,” “approximately,” “predicts,” “intends,” “plans,” “estmates,” “antcipates”, “confdent,” “convicton,” “identfed” or the negatve versions of these words or other comparable words thereof. These statements are not guarantees of future performance, conditons or results and involve a number of risks and uncertaintes. Actual results may difer materially from those in the forward-looking statements as a result of a number of factors, including those described from tme to tme in the Company’s flings with the SEC, which are accessible on the SEC’s website at www.sec.gov. Except as otherwise required by federal securites laws, the Company assumes no obligaton to update any such forward-looking statements, whether as a result of new informaton, future developments or otherwise.</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Non-GAAP Financial Measures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net investment income and adjusted net income are each non-GAAP fnancial measures, which represent net investment income and net income, respectvely, in each case less the impact of accrued capital gains incentve fee expenses. The Company believes that adjusted net investment income and adjusted net income provide useful informaton to investors regarding the fundamental earnings power of the business, and these fgures are used by the Company to measure its fnancial conditon and results of operatons. The presentaton of this additonal informaton is not meant to be considered in isolaton or as a substtute for fnancial results prepared in accordance with GAAP.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8"/>
          <w:szCs w:val="18"/>
          <w:color w:val="auto"/>
        </w:rPr>
        <w:t>Investors: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Cami VanHorn, 469-621-2033</w:t>
      </w:r>
    </w:p>
    <w:p>
      <w:pPr>
        <w:spacing w:after="0" w:line="235" w:lineRule="auto"/>
        <w:rPr>
          <w:sz w:val="20"/>
          <w:szCs w:val="20"/>
          <w:color w:val="auto"/>
        </w:rPr>
      </w:pPr>
      <w:r>
        <w:rPr>
          <w:rFonts w:ascii="Calibri" w:cs="Calibri" w:eastAsia="Calibri" w:hAnsi="Calibri"/>
          <w:sz w:val="18"/>
          <w:szCs w:val="18"/>
          <w:color w:val="auto"/>
        </w:rPr>
        <w:t>Sixth Street Specialty Lending</w:t>
      </w:r>
    </w:p>
    <w:p>
      <w:pPr>
        <w:spacing w:after="0" w:line="236" w:lineRule="auto"/>
        <w:rPr>
          <w:sz w:val="20"/>
          <w:szCs w:val="20"/>
          <w:color w:val="auto"/>
        </w:rPr>
      </w:pPr>
      <w:r>
        <w:rPr>
          <w:rFonts w:ascii="Calibri" w:cs="Calibri" w:eastAsia="Calibri" w:hAnsi="Calibri"/>
          <w:sz w:val="18"/>
          <w:szCs w:val="18"/>
          <w:color w:val="auto"/>
        </w:rPr>
        <w:t>IRTSLX@sixthstreet.com</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color w:val="auto"/>
        </w:rPr>
        <w:t>Media:</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Patrick Cliford, 617-793-2004</w:t>
      </w:r>
    </w:p>
    <w:p>
      <w:pPr>
        <w:spacing w:after="0" w:line="235" w:lineRule="auto"/>
        <w:rPr>
          <w:sz w:val="20"/>
          <w:szCs w:val="20"/>
          <w:color w:val="auto"/>
        </w:rPr>
      </w:pPr>
      <w:r>
        <w:rPr>
          <w:rFonts w:ascii="Calibri" w:cs="Calibri" w:eastAsia="Calibri" w:hAnsi="Calibri"/>
          <w:sz w:val="18"/>
          <w:szCs w:val="18"/>
          <w:color w:val="auto"/>
        </w:rPr>
        <w:t>Sixth Street</w:t>
      </w:r>
    </w:p>
    <w:p>
      <w:pPr>
        <w:spacing w:after="0" w:line="236" w:lineRule="auto"/>
        <w:rPr>
          <w:sz w:val="20"/>
          <w:szCs w:val="20"/>
          <w:color w:val="auto"/>
        </w:rPr>
      </w:pPr>
      <w:r>
        <w:rPr>
          <w:rFonts w:ascii="Calibri" w:cs="Calibri" w:eastAsia="Calibri" w:hAnsi="Calibri"/>
          <w:sz w:val="18"/>
          <w:szCs w:val="18"/>
          <w:color w:val="auto"/>
        </w:rPr>
        <w:t>PCliford@sixthstreet.com</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2024-11-05T15:18:30Z</dcterms:created>
  <dcterms:modified xsi:type="dcterms:W3CDTF">2024-11-05T15:18:30Z</dcterms:modified>
</cp:coreProperties>
</file>