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3"/>
          <w:szCs w:val="23"/>
          <w:b w:val="1"/>
          <w:bCs w:val="1"/>
          <w:color w:val="auto"/>
        </w:rPr>
        <w:t>UNITED STATES</w:t>
      </w:r>
    </w:p>
    <w:p>
      <w:pPr>
        <w:spacing w:after="0" w:line="13" w:lineRule="exact"/>
        <w:rPr>
          <w:sz w:val="24"/>
          <w:szCs w:val="24"/>
          <w:color w:val="auto"/>
        </w:rPr>
      </w:pPr>
    </w:p>
    <w:p>
      <w:pPr>
        <w:jc w:val="center"/>
        <w:ind w:right="-139"/>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139"/>
        <w:spacing w:after="0"/>
        <w:rPr>
          <w:sz w:val="20"/>
          <w:szCs w:val="20"/>
          <w:color w:val="auto"/>
        </w:rPr>
      </w:pPr>
      <w:r>
        <w:rPr>
          <w:rFonts w:ascii="Arial" w:cs="Arial" w:eastAsia="Arial" w:hAnsi="Arial"/>
          <w:sz w:val="21"/>
          <w:szCs w:val="21"/>
          <w:b w:val="1"/>
          <w:bCs w:val="1"/>
          <w:color w:val="auto"/>
        </w:rPr>
        <w:t>Washington, D.C. 20549</w:t>
      </w:r>
    </w:p>
    <w:p>
      <w:pPr>
        <w:spacing w:after="0" w:line="200" w:lineRule="exact"/>
        <w:rPr>
          <w:sz w:val="24"/>
          <w:szCs w:val="24"/>
          <w:color w:val="auto"/>
        </w:rPr>
      </w:pPr>
    </w:p>
    <w:p>
      <w:pPr>
        <w:jc w:val="center"/>
        <w:ind w:right="-139"/>
        <w:spacing w:after="0"/>
        <w:rPr>
          <w:sz w:val="20"/>
          <w:szCs w:val="20"/>
          <w:color w:val="auto"/>
        </w:rPr>
      </w:pPr>
      <w:r>
        <w:rPr>
          <w:rFonts w:ascii="Arial" w:cs="Arial" w:eastAsia="Arial" w:hAnsi="Arial"/>
          <w:sz w:val="23"/>
          <w:szCs w:val="23"/>
          <w:b w:val="1"/>
          <w:bCs w:val="1"/>
          <w:color w:val="auto"/>
        </w:rPr>
        <w:t>SCHEDULE 13G</w:t>
      </w:r>
    </w:p>
    <w:p>
      <w:pPr>
        <w:spacing w:after="0" w:line="200" w:lineRule="exact"/>
        <w:rPr>
          <w:sz w:val="24"/>
          <w:szCs w:val="24"/>
          <w:color w:val="auto"/>
        </w:rPr>
      </w:pPr>
    </w:p>
    <w:p>
      <w:pPr>
        <w:spacing w:after="0" w:line="239"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(Amendment No. 5)*</w:t>
      </w:r>
    </w:p>
    <w:p>
      <w:pPr>
        <w:spacing w:after="0" w:line="400" w:lineRule="exact"/>
        <w:rPr>
          <w:sz w:val="24"/>
          <w:szCs w:val="24"/>
          <w:color w:val="auto"/>
        </w:rPr>
      </w:pPr>
    </w:p>
    <w:p>
      <w:pPr>
        <w:jc w:val="center"/>
        <w:ind w:right="-139"/>
        <w:spacing w:after="0"/>
        <w:rPr>
          <w:sz w:val="20"/>
          <w:szCs w:val="20"/>
          <w:color w:val="auto"/>
        </w:rPr>
      </w:pPr>
      <w:r>
        <w:rPr>
          <w:rFonts w:ascii="Arial" w:cs="Arial" w:eastAsia="Arial" w:hAnsi="Arial"/>
          <w:sz w:val="23"/>
          <w:szCs w:val="23"/>
          <w:b w:val="1"/>
          <w:bCs w:val="1"/>
          <w:u w:val="single" w:color="auto"/>
          <w:color w:val="auto"/>
        </w:rPr>
        <w:t>TPG Specialty Lending Inc</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(Name of Issuer)</w:t>
      </w:r>
    </w:p>
    <w:p>
      <w:pPr>
        <w:spacing w:after="0" w:line="200" w:lineRule="exact"/>
        <w:rPr>
          <w:sz w:val="24"/>
          <w:szCs w:val="24"/>
          <w:color w:val="auto"/>
        </w:rPr>
      </w:pPr>
    </w:p>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23"/>
          <w:szCs w:val="23"/>
          <w:b w:val="1"/>
          <w:bCs w:val="1"/>
          <w:u w:val="single" w:color="auto"/>
          <w:color w:val="auto"/>
        </w:rPr>
        <w:t>Common Stock, $0.01 par value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(Title of Class of Securities)</w:t>
      </w:r>
    </w:p>
    <w:p>
      <w:pPr>
        <w:spacing w:after="0" w:line="200" w:lineRule="exact"/>
        <w:rPr>
          <w:sz w:val="24"/>
          <w:szCs w:val="24"/>
          <w:color w:val="auto"/>
        </w:rPr>
      </w:pPr>
    </w:p>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23"/>
          <w:szCs w:val="23"/>
          <w:b w:val="1"/>
          <w:bCs w:val="1"/>
          <w:u w:val="single" w:color="auto"/>
          <w:color w:val="auto"/>
        </w:rPr>
        <w:t>87265K102</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(CUSIP Number)</w:t>
      </w:r>
    </w:p>
    <w:p>
      <w:pPr>
        <w:spacing w:after="0" w:line="200" w:lineRule="exact"/>
        <w:rPr>
          <w:sz w:val="24"/>
          <w:szCs w:val="24"/>
          <w:color w:val="auto"/>
        </w:rPr>
      </w:pPr>
    </w:p>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23"/>
          <w:szCs w:val="23"/>
          <w:b w:val="1"/>
          <w:bCs w:val="1"/>
          <w:u w:val="single" w:color="auto"/>
          <w:color w:val="auto"/>
        </w:rPr>
        <w:t>December 31, 2018</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21"/>
          <w:szCs w:val="21"/>
          <w:color w:val="auto"/>
        </w:rPr>
        <w:t>(Date of Event which Requires Filing of this Statement)</w:t>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380" w:lineRule="exact"/>
        <w:rPr>
          <w:sz w:val="24"/>
          <w:szCs w:val="24"/>
          <w:color w:val="auto"/>
        </w:rPr>
      </w:pPr>
    </w:p>
    <w:p>
      <w:pPr>
        <w:jc w:val="both"/>
        <w:ind w:left="4920" w:right="4780" w:hanging="7"/>
        <w:spacing w:after="0" w:line="308" w:lineRule="auto"/>
        <w:tabs>
          <w:tab w:leader="none" w:pos="5231" w:val="left"/>
        </w:tabs>
        <w:numPr>
          <w:ilvl w:val="1"/>
          <w:numId w:val="1"/>
        </w:numPr>
        <w:rPr>
          <w:rFonts w:ascii="Arial" w:cs="Arial" w:eastAsia="Arial" w:hAnsi="Arial"/>
          <w:sz w:val="17"/>
          <w:szCs w:val="17"/>
          <w:color w:val="auto"/>
        </w:rPr>
      </w:pPr>
      <w:r>
        <w:rPr>
          <w:rFonts w:ascii="Arial" w:cs="Arial" w:eastAsia="Arial" w:hAnsi="Arial"/>
          <w:sz w:val="17"/>
          <w:szCs w:val="17"/>
          <w:color w:val="auto"/>
        </w:rPr>
        <w:t>Rule 13d-1(b) [ ] Rule 13d-1(c) [ ] Rule 13d-1(d)</w:t>
      </w:r>
    </w:p>
    <w:p>
      <w:pPr>
        <w:spacing w:after="0" w:line="317" w:lineRule="exact"/>
        <w:rPr>
          <w:rFonts w:ascii="Arial" w:cs="Arial" w:eastAsia="Arial" w:hAnsi="Arial"/>
          <w:sz w:val="17"/>
          <w:szCs w:val="17"/>
          <w:color w:val="auto"/>
        </w:rPr>
      </w:pPr>
    </w:p>
    <w:p>
      <w:pPr>
        <w:ind w:right="660"/>
        <w:spacing w:after="0" w:line="336" w:lineRule="auto"/>
        <w:rPr>
          <w:rFonts w:ascii="Arial" w:cs="Arial" w:eastAsia="Arial" w:hAnsi="Arial"/>
          <w:sz w:val="17"/>
          <w:szCs w:val="17"/>
          <w:color w:val="auto"/>
        </w:rPr>
      </w:pPr>
      <w:r>
        <w:rPr>
          <w:rFonts w:ascii="Arial" w:cs="Arial" w:eastAsia="Arial" w:hAnsi="Arial"/>
          <w:sz w:val="17"/>
          <w:szCs w:val="17"/>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94" w:lineRule="exact"/>
        <w:rPr>
          <w:sz w:val="24"/>
          <w:szCs w:val="24"/>
          <w:color w:val="auto"/>
        </w:rPr>
      </w:pPr>
    </w:p>
    <w:p>
      <w:pPr>
        <w:spacing w:after="0" w:line="263" w:lineRule="auto"/>
        <w:rPr>
          <w:sz w:val="20"/>
          <w:szCs w:val="20"/>
          <w:color w:val="auto"/>
        </w:rPr>
      </w:pPr>
      <w:r>
        <w:rPr>
          <w:rFonts w:ascii="Arial" w:cs="Arial" w:eastAsia="Arial" w:hAnsi="Arial"/>
          <w:sz w:val="19"/>
          <w:szCs w:val="19"/>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2240" w:h="15840" w:orient="portrait"/>
          <w:cols w:equalWidth="0" w:num="1">
            <w:col w:w="11080"/>
          </w:cols>
          <w:pgMar w:left="120" w:top="84" w:right="1040" w:bottom="1440" w:gutter="0" w:footer="0" w:header="0"/>
        </w:sectPr>
      </w:pPr>
    </w:p>
    <w:bookmarkStart w:id="1" w:name="page2"/>
    <w:bookmarkEnd w:id="1"/>
    <w:p>
      <w:pPr>
        <w:ind w:left="38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70485</wp:posOffset>
            </wp:positionH>
            <wp:positionV relativeFrom="page">
              <wp:posOffset>478155</wp:posOffset>
            </wp:positionV>
            <wp:extent cx="2195195" cy="284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95195" cy="284480"/>
                    </a:xfrm>
                    <a:prstGeom prst="rect">
                      <a:avLst/>
                    </a:prstGeom>
                    <a:noFill/>
                  </pic:spPr>
                </pic:pic>
              </a:graphicData>
            </a:graphic>
          </wp:anchor>
        </w:drawing>
        <w:t>CUSIP No.: 87265K102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245110</wp:posOffset>
            </wp:positionV>
            <wp:extent cx="7136130" cy="5523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552386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60" w:hanging="421"/>
        <w:spacing w:after="0"/>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NAME OF REPORTING PERSON</w:t>
      </w:r>
    </w:p>
    <w:p>
      <w:pPr>
        <w:spacing w:after="0" w:line="28"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19"/>
          <w:szCs w:val="19"/>
          <w:color w:val="auto"/>
        </w:rPr>
        <w:t>Division of Investment, Department of the Treasury, State of New Jersey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I.R.S. IDENTIFICATION NO. OF ABOVE PERSON (ENTITIES ONLY)</w:t>
      </w:r>
    </w:p>
    <w:p>
      <w:pPr>
        <w:spacing w:after="0" w:line="167" w:lineRule="exact"/>
        <w:rPr>
          <w:sz w:val="20"/>
          <w:szCs w:val="20"/>
          <w:color w:val="auto"/>
        </w:rPr>
      </w:pPr>
    </w:p>
    <w:p>
      <w:pPr>
        <w:ind w:left="660" w:hanging="421"/>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b w:val="1"/>
          <w:bCs w:val="1"/>
          <w:color w:val="auto"/>
        </w:rPr>
        <w:t>CHECK THE APPROPRIATE BOX IF A MEMBER OF A GROUP</w:t>
      </w:r>
    </w:p>
    <w:p>
      <w:pPr>
        <w:spacing w:after="0" w:line="28" w:lineRule="exact"/>
        <w:rPr>
          <w:rFonts w:ascii="Arial" w:cs="Arial" w:eastAsia="Arial" w:hAnsi="Arial"/>
          <w:sz w:val="19"/>
          <w:szCs w:val="19"/>
          <w:color w:val="auto"/>
        </w:rPr>
      </w:pPr>
    </w:p>
    <w:p>
      <w:pPr>
        <w:ind w:left="900" w:hanging="250"/>
        <w:spacing w:after="0"/>
        <w:tabs>
          <w:tab w:leader="none" w:pos="900" w:val="left"/>
        </w:tabs>
        <w:numPr>
          <w:ilvl w:val="1"/>
          <w:numId w:val="3"/>
        </w:numPr>
        <w:rPr>
          <w:rFonts w:ascii="Arial" w:cs="Arial" w:eastAsia="Arial" w:hAnsi="Arial"/>
          <w:sz w:val="19"/>
          <w:szCs w:val="19"/>
          <w:color w:val="auto"/>
        </w:rPr>
      </w:pPr>
      <w:r>
        <w:rPr>
          <w:rFonts w:ascii="Arial" w:cs="Arial" w:eastAsia="Arial" w:hAnsi="Arial"/>
          <w:sz w:val="19"/>
          <w:szCs w:val="19"/>
          <w:color w:val="auto"/>
        </w:rPr>
        <w:t>[  ]</w:t>
      </w:r>
    </w:p>
    <w:p>
      <w:pPr>
        <w:spacing w:after="0" w:line="9" w:lineRule="exact"/>
        <w:rPr>
          <w:rFonts w:ascii="Arial" w:cs="Arial" w:eastAsia="Arial" w:hAnsi="Arial"/>
          <w:sz w:val="19"/>
          <w:szCs w:val="19"/>
          <w:color w:val="auto"/>
        </w:rPr>
      </w:pPr>
    </w:p>
    <w:p>
      <w:pPr>
        <w:ind w:left="920" w:hanging="270"/>
        <w:spacing w:after="0"/>
        <w:tabs>
          <w:tab w:leader="none" w:pos="920" w:val="left"/>
        </w:tabs>
        <w:numPr>
          <w:ilvl w:val="1"/>
          <w:numId w:val="3"/>
        </w:numPr>
        <w:rPr>
          <w:rFonts w:ascii="Arial" w:cs="Arial" w:eastAsia="Arial" w:hAnsi="Arial"/>
          <w:sz w:val="19"/>
          <w:szCs w:val="19"/>
          <w:color w:val="auto"/>
        </w:rPr>
      </w:pPr>
      <w:r>
        <w:rPr>
          <w:rFonts w:ascii="Arial" w:cs="Arial" w:eastAsia="Arial" w:hAnsi="Arial"/>
          <w:sz w:val="19"/>
          <w:szCs w:val="19"/>
          <w:color w:val="auto"/>
        </w:rPr>
        <w:t>[  ]</w:t>
      </w:r>
    </w:p>
    <w:p>
      <w:pPr>
        <w:spacing w:after="0" w:line="147" w:lineRule="exact"/>
        <w:rPr>
          <w:sz w:val="20"/>
          <w:szCs w:val="20"/>
          <w:color w:val="auto"/>
        </w:rPr>
      </w:pPr>
    </w:p>
    <w:p>
      <w:pPr>
        <w:ind w:left="660" w:hanging="421"/>
        <w:spacing w:after="0"/>
        <w:tabs>
          <w:tab w:leader="none" w:pos="66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SEC USE ONLY</w:t>
      </w:r>
    </w:p>
    <w:p>
      <w:pPr>
        <w:spacing w:after="0" w:line="167" w:lineRule="exact"/>
        <w:rPr>
          <w:sz w:val="20"/>
          <w:szCs w:val="20"/>
          <w:color w:val="auto"/>
        </w:rPr>
      </w:pPr>
    </w:p>
    <w:p>
      <w:pPr>
        <w:ind w:left="660" w:right="6440" w:hanging="421"/>
        <w:spacing w:after="0" w:line="282" w:lineRule="auto"/>
        <w:tabs>
          <w:tab w:leader="none" w:pos="660"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 xml:space="preserve">CITIZENSHIP OR PLACE OF ORGANIZATION </w:t>
      </w:r>
      <w:r>
        <w:rPr>
          <w:rFonts w:ascii="Arial" w:cs="Arial" w:eastAsia="Arial" w:hAnsi="Arial"/>
          <w:sz w:val="19"/>
          <w:szCs w:val="19"/>
          <w:color w:val="auto"/>
        </w:rPr>
        <w:t>U.S.A.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1720" w:type="dxa"/>
            <w:vAlign w:val="bottom"/>
            <w:tcBorders>
              <w:top w:val="single" w:sz="8" w:color="auto"/>
              <w:right w:val="single" w:sz="8" w:color="auto"/>
            </w:tcBorders>
          </w:tcPr>
          <w:p>
            <w:pPr>
              <w:spacing w:after="0"/>
              <w:rPr>
                <w:sz w:val="24"/>
                <w:szCs w:val="24"/>
                <w:color w:val="auto"/>
              </w:rPr>
            </w:pPr>
          </w:p>
        </w:tc>
        <w:tc>
          <w:tcPr>
            <w:tcW w:w="540" w:type="dxa"/>
            <w:vAlign w:val="bottom"/>
            <w:tcBorders>
              <w:top w:val="single" w:sz="8" w:color="auto"/>
              <w:right w:val="single" w:sz="8" w:color="auto"/>
            </w:tcBorders>
          </w:tcPr>
          <w:p>
            <w:pPr>
              <w:jc w:val="right"/>
              <w:ind w:right="145"/>
              <w:spacing w:after="0"/>
              <w:rPr>
                <w:sz w:val="20"/>
                <w:szCs w:val="20"/>
                <w:color w:val="auto"/>
              </w:rPr>
            </w:pPr>
            <w:r>
              <w:rPr>
                <w:rFonts w:ascii="Arial" w:cs="Arial" w:eastAsia="Arial" w:hAnsi="Arial"/>
                <w:sz w:val="19"/>
                <w:szCs w:val="19"/>
                <w:color w:val="auto"/>
              </w:rPr>
              <w:t>5</w:t>
            </w:r>
          </w:p>
        </w:tc>
        <w:tc>
          <w:tcPr>
            <w:tcW w:w="8980" w:type="dxa"/>
            <w:vAlign w:val="bottom"/>
            <w:tcBorders>
              <w:top w:val="single" w:sz="8" w:color="auto"/>
            </w:tcBorders>
          </w:tcPr>
          <w:p>
            <w:pPr>
              <w:ind w:left="80"/>
              <w:spacing w:after="0"/>
              <w:rPr>
                <w:sz w:val="20"/>
                <w:szCs w:val="20"/>
                <w:color w:val="auto"/>
              </w:rPr>
            </w:pPr>
            <w:r>
              <w:rPr>
                <w:rFonts w:ascii="Arial" w:cs="Arial" w:eastAsia="Arial" w:hAnsi="Arial"/>
                <w:sz w:val="19"/>
                <w:szCs w:val="19"/>
                <w:b w:val="1"/>
                <w:bCs w:val="1"/>
                <w:color w:val="auto"/>
              </w:rPr>
              <w:t>SOLE VOTING POWER</w:t>
            </w:r>
          </w:p>
        </w:tc>
        <w:tc>
          <w:tcPr>
            <w:tcW w:w="0" w:type="dxa"/>
            <w:vAlign w:val="bottom"/>
          </w:tcPr>
          <w:p>
            <w:pPr>
              <w:spacing w:after="0"/>
              <w:rPr>
                <w:sz w:val="1"/>
                <w:szCs w:val="1"/>
                <w:color w:val="auto"/>
              </w:rPr>
            </w:pPr>
          </w:p>
        </w:tc>
      </w:tr>
      <w:tr>
        <w:trPr>
          <w:trHeight w:val="241"/>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b w:val="1"/>
                <w:bCs w:val="1"/>
                <w:color w:val="auto"/>
                <w:w w:val="99"/>
              </w:rPr>
              <w:t>NUMBER OF</w:t>
            </w:r>
          </w:p>
        </w:tc>
        <w:tc>
          <w:tcPr>
            <w:tcW w:w="540" w:type="dxa"/>
            <w:vAlign w:val="bottom"/>
            <w:tcBorders>
              <w:right w:val="single" w:sz="8" w:color="auto"/>
            </w:tcBorders>
          </w:tcPr>
          <w:p>
            <w:pPr>
              <w:spacing w:after="0"/>
              <w:rPr>
                <w:sz w:val="20"/>
                <w:szCs w:val="20"/>
                <w:color w:val="auto"/>
              </w:rPr>
            </w:pPr>
          </w:p>
        </w:tc>
        <w:tc>
          <w:tcPr>
            <w:tcW w:w="8980" w:type="dxa"/>
            <w:vAlign w:val="bottom"/>
          </w:tcPr>
          <w:p>
            <w:pPr>
              <w:ind w:left="80"/>
              <w:spacing w:after="0"/>
              <w:rPr>
                <w:sz w:val="20"/>
                <w:szCs w:val="20"/>
                <w:color w:val="auto"/>
              </w:rPr>
            </w:pPr>
            <w:r>
              <w:rPr>
                <w:rFonts w:ascii="Arial" w:cs="Arial" w:eastAsia="Arial" w:hAnsi="Arial"/>
                <w:sz w:val="19"/>
                <w:szCs w:val="19"/>
                <w:color w:val="auto"/>
              </w:rPr>
              <w:t>4,300,000</w:t>
            </w:r>
          </w:p>
        </w:tc>
        <w:tc>
          <w:tcPr>
            <w:tcW w:w="0" w:type="dxa"/>
            <w:vAlign w:val="bottom"/>
          </w:tcPr>
          <w:p>
            <w:pPr>
              <w:spacing w:after="0"/>
              <w:rPr>
                <w:sz w:val="1"/>
                <w:szCs w:val="1"/>
                <w:color w:val="auto"/>
              </w:rPr>
            </w:pPr>
          </w:p>
        </w:tc>
      </w:tr>
      <w:tr>
        <w:trPr>
          <w:trHeight w:val="72"/>
        </w:trPr>
        <w:tc>
          <w:tcPr>
            <w:tcW w:w="1720" w:type="dxa"/>
            <w:vAlign w:val="bottom"/>
            <w:tcBorders>
              <w:right w:val="single" w:sz="8" w:color="auto"/>
            </w:tcBorders>
            <w:vMerge w:val="continue"/>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8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8"/>
              </w:rPr>
              <w:t>SHARES</w:t>
            </w:r>
          </w:p>
        </w:tc>
        <w:tc>
          <w:tcPr>
            <w:tcW w:w="540" w:type="dxa"/>
            <w:vAlign w:val="bottom"/>
            <w:tcBorders>
              <w:right w:val="single" w:sz="8" w:color="auto"/>
            </w:tcBorders>
          </w:tcPr>
          <w:p>
            <w:pPr>
              <w:jc w:val="right"/>
              <w:ind w:right="145"/>
              <w:spacing w:after="0"/>
              <w:rPr>
                <w:sz w:val="20"/>
                <w:szCs w:val="20"/>
                <w:color w:val="auto"/>
              </w:rPr>
            </w:pPr>
            <w:r>
              <w:rPr>
                <w:rFonts w:ascii="Arial" w:cs="Arial" w:eastAsia="Arial" w:hAnsi="Arial"/>
                <w:sz w:val="19"/>
                <w:szCs w:val="19"/>
                <w:color w:val="auto"/>
              </w:rPr>
              <w:t>6</w:t>
            </w:r>
          </w:p>
        </w:tc>
        <w:tc>
          <w:tcPr>
            <w:tcW w:w="8980" w:type="dxa"/>
            <w:vAlign w:val="bottom"/>
          </w:tcPr>
          <w:p>
            <w:pPr>
              <w:ind w:left="80"/>
              <w:spacing w:after="0"/>
              <w:rPr>
                <w:sz w:val="20"/>
                <w:szCs w:val="20"/>
                <w:color w:val="auto"/>
              </w:rPr>
            </w:pPr>
            <w:r>
              <w:rPr>
                <w:rFonts w:ascii="Arial" w:cs="Arial" w:eastAsia="Arial" w:hAnsi="Arial"/>
                <w:sz w:val="19"/>
                <w:szCs w:val="19"/>
                <w:b w:val="1"/>
                <w:bCs w:val="1"/>
                <w:color w:val="auto"/>
              </w:rPr>
              <w:t>SHARED VOTING POWER</w:t>
            </w:r>
          </w:p>
        </w:tc>
        <w:tc>
          <w:tcPr>
            <w:tcW w:w="0" w:type="dxa"/>
            <w:vAlign w:val="bottom"/>
          </w:tcPr>
          <w:p>
            <w:pPr>
              <w:spacing w:after="0"/>
              <w:rPr>
                <w:sz w:val="1"/>
                <w:szCs w:val="1"/>
                <w:color w:val="auto"/>
              </w:rPr>
            </w:pPr>
          </w:p>
        </w:tc>
      </w:tr>
      <w:tr>
        <w:trPr>
          <w:trHeight w:val="228"/>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rPr>
              <w:t>BENEFICIALLY</w:t>
            </w:r>
          </w:p>
        </w:tc>
        <w:tc>
          <w:tcPr>
            <w:tcW w:w="540" w:type="dxa"/>
            <w:vAlign w:val="bottom"/>
            <w:tcBorders>
              <w:right w:val="single" w:sz="8" w:color="auto"/>
            </w:tcBorders>
          </w:tcPr>
          <w:p>
            <w:pPr>
              <w:spacing w:after="0"/>
              <w:rPr>
                <w:sz w:val="19"/>
                <w:szCs w:val="19"/>
                <w:color w:val="auto"/>
              </w:rPr>
            </w:pPr>
          </w:p>
        </w:tc>
        <w:tc>
          <w:tcPr>
            <w:tcW w:w="8980" w:type="dxa"/>
            <w:vAlign w:val="bottom"/>
          </w:tcPr>
          <w:p>
            <w:pPr>
              <w:ind w:left="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28"/>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b w:val="1"/>
                <w:bCs w:val="1"/>
                <w:color w:val="auto"/>
              </w:rPr>
              <w:t>OWNED BY</w:t>
            </w:r>
          </w:p>
        </w:tc>
        <w:tc>
          <w:tcPr>
            <w:tcW w:w="540" w:type="dxa"/>
            <w:vAlign w:val="bottom"/>
            <w:tcBorders>
              <w:bottom w:val="single" w:sz="8" w:color="auto"/>
              <w:right w:val="single" w:sz="8" w:color="auto"/>
            </w:tcBorders>
          </w:tcPr>
          <w:p>
            <w:pPr>
              <w:spacing w:after="0"/>
              <w:rPr>
                <w:sz w:val="11"/>
                <w:szCs w:val="11"/>
                <w:color w:val="auto"/>
              </w:rPr>
            </w:pPr>
          </w:p>
        </w:tc>
        <w:tc>
          <w:tcPr>
            <w:tcW w:w="8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720" w:type="dxa"/>
            <w:vAlign w:val="bottom"/>
            <w:tcBorders>
              <w:right w:val="single" w:sz="8" w:color="auto"/>
            </w:tcBorders>
            <w:vMerge w:val="continue"/>
          </w:tcPr>
          <w:p>
            <w:pPr>
              <w:spacing w:after="0"/>
              <w:rPr>
                <w:sz w:val="6"/>
                <w:szCs w:val="6"/>
                <w:color w:val="auto"/>
              </w:rPr>
            </w:pPr>
          </w:p>
        </w:tc>
        <w:tc>
          <w:tcPr>
            <w:tcW w:w="540" w:type="dxa"/>
            <w:vAlign w:val="bottom"/>
            <w:tcBorders>
              <w:right w:val="single" w:sz="8" w:color="auto"/>
            </w:tcBorders>
            <w:vMerge w:val="restart"/>
          </w:tcPr>
          <w:p>
            <w:pPr>
              <w:jc w:val="right"/>
              <w:ind w:right="145"/>
              <w:spacing w:after="0"/>
              <w:rPr>
                <w:sz w:val="20"/>
                <w:szCs w:val="20"/>
                <w:color w:val="auto"/>
              </w:rPr>
            </w:pPr>
            <w:r>
              <w:rPr>
                <w:rFonts w:ascii="Arial" w:cs="Arial" w:eastAsia="Arial" w:hAnsi="Arial"/>
                <w:sz w:val="19"/>
                <w:szCs w:val="19"/>
                <w:color w:val="auto"/>
              </w:rPr>
              <w:t>7</w:t>
            </w:r>
          </w:p>
        </w:tc>
        <w:tc>
          <w:tcPr>
            <w:tcW w:w="898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SOLE DISPOSITIVE POWER</w:t>
            </w:r>
          </w:p>
        </w:tc>
        <w:tc>
          <w:tcPr>
            <w:tcW w:w="0" w:type="dxa"/>
            <w:vAlign w:val="bottom"/>
          </w:tcPr>
          <w:p>
            <w:pPr>
              <w:spacing w:after="0"/>
              <w:rPr>
                <w:sz w:val="1"/>
                <w:szCs w:val="1"/>
                <w:color w:val="auto"/>
              </w:rPr>
            </w:pPr>
          </w:p>
        </w:tc>
      </w:tr>
      <w:tr>
        <w:trPr>
          <w:trHeight w:val="206"/>
        </w:trPr>
        <w:tc>
          <w:tcPr>
            <w:tcW w:w="1720" w:type="dxa"/>
            <w:vAlign w:val="bottom"/>
            <w:tcBorders>
              <w:right w:val="single" w:sz="8" w:color="auto"/>
            </w:tcBorders>
          </w:tcPr>
          <w:p>
            <w:pPr>
              <w:jc w:val="center"/>
              <w:spacing w:after="0" w:line="205" w:lineRule="exact"/>
              <w:rPr>
                <w:sz w:val="20"/>
                <w:szCs w:val="20"/>
                <w:color w:val="auto"/>
              </w:rPr>
            </w:pPr>
            <w:r>
              <w:rPr>
                <w:rFonts w:ascii="Arial" w:cs="Arial" w:eastAsia="Arial" w:hAnsi="Arial"/>
                <w:sz w:val="19"/>
                <w:szCs w:val="19"/>
                <w:b w:val="1"/>
                <w:bCs w:val="1"/>
                <w:color w:val="auto"/>
              </w:rPr>
              <w:t>EACH</w:t>
            </w:r>
          </w:p>
        </w:tc>
        <w:tc>
          <w:tcPr>
            <w:tcW w:w="540" w:type="dxa"/>
            <w:vAlign w:val="bottom"/>
            <w:tcBorders>
              <w:right w:val="single" w:sz="8" w:color="auto"/>
            </w:tcBorders>
            <w:vMerge w:val="continue"/>
          </w:tcPr>
          <w:p>
            <w:pPr>
              <w:spacing w:after="0"/>
              <w:rPr>
                <w:sz w:val="17"/>
                <w:szCs w:val="17"/>
                <w:color w:val="auto"/>
              </w:rPr>
            </w:pPr>
          </w:p>
        </w:tc>
        <w:tc>
          <w:tcPr>
            <w:tcW w:w="8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rPr>
              <w:t>REPORTING</w:t>
            </w:r>
          </w:p>
        </w:tc>
        <w:tc>
          <w:tcPr>
            <w:tcW w:w="540" w:type="dxa"/>
            <w:vAlign w:val="bottom"/>
            <w:tcBorders>
              <w:right w:val="single" w:sz="8" w:color="auto"/>
            </w:tcBorders>
          </w:tcPr>
          <w:p>
            <w:pPr>
              <w:spacing w:after="0"/>
              <w:rPr>
                <w:sz w:val="21"/>
                <w:szCs w:val="21"/>
                <w:color w:val="auto"/>
              </w:rPr>
            </w:pPr>
          </w:p>
        </w:tc>
        <w:tc>
          <w:tcPr>
            <w:tcW w:w="8980" w:type="dxa"/>
            <w:vAlign w:val="bottom"/>
          </w:tcPr>
          <w:p>
            <w:pPr>
              <w:ind w:left="80"/>
              <w:spacing w:after="0"/>
              <w:rPr>
                <w:sz w:val="20"/>
                <w:szCs w:val="20"/>
                <w:color w:val="auto"/>
              </w:rPr>
            </w:pPr>
            <w:r>
              <w:rPr>
                <w:rFonts w:ascii="Arial" w:cs="Arial" w:eastAsia="Arial" w:hAnsi="Arial"/>
                <w:sz w:val="19"/>
                <w:szCs w:val="19"/>
                <w:color w:val="auto"/>
              </w:rPr>
              <w:t>4,300,000</w:t>
            </w:r>
          </w:p>
        </w:tc>
        <w:tc>
          <w:tcPr>
            <w:tcW w:w="0" w:type="dxa"/>
            <w:vAlign w:val="bottom"/>
          </w:tcPr>
          <w:p>
            <w:pPr>
              <w:spacing w:after="0"/>
              <w:rPr>
                <w:sz w:val="1"/>
                <w:szCs w:val="1"/>
                <w:color w:val="auto"/>
              </w:rPr>
            </w:pPr>
          </w:p>
        </w:tc>
      </w:tr>
      <w:tr>
        <w:trPr>
          <w:trHeight w:val="63"/>
        </w:trPr>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b w:val="1"/>
                <w:bCs w:val="1"/>
                <w:color w:val="auto"/>
                <w:w w:val="99"/>
              </w:rPr>
              <w:t>PERSON WITH</w:t>
            </w:r>
          </w:p>
        </w:tc>
        <w:tc>
          <w:tcPr>
            <w:tcW w:w="54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1720" w:type="dxa"/>
            <w:vAlign w:val="bottom"/>
            <w:tcBorders>
              <w:right w:val="single" w:sz="8" w:color="auto"/>
            </w:tcBorders>
            <w:vMerge w:val="continue"/>
          </w:tcPr>
          <w:p>
            <w:pPr>
              <w:spacing w:after="0"/>
              <w:rPr>
                <w:sz w:val="14"/>
                <w:szCs w:val="14"/>
                <w:color w:val="auto"/>
              </w:rPr>
            </w:pPr>
          </w:p>
        </w:tc>
        <w:tc>
          <w:tcPr>
            <w:tcW w:w="540" w:type="dxa"/>
            <w:vAlign w:val="bottom"/>
            <w:tcBorders>
              <w:right w:val="single" w:sz="8" w:color="auto"/>
            </w:tcBorders>
            <w:vMerge w:val="restart"/>
          </w:tcPr>
          <w:p>
            <w:pPr>
              <w:jc w:val="right"/>
              <w:ind w:right="145"/>
              <w:spacing w:after="0"/>
              <w:rPr>
                <w:sz w:val="20"/>
                <w:szCs w:val="20"/>
                <w:color w:val="auto"/>
              </w:rPr>
            </w:pPr>
            <w:r>
              <w:rPr>
                <w:rFonts w:ascii="Arial" w:cs="Arial" w:eastAsia="Arial" w:hAnsi="Arial"/>
                <w:sz w:val="19"/>
                <w:szCs w:val="19"/>
                <w:color w:val="auto"/>
              </w:rPr>
              <w:t>8</w:t>
            </w:r>
          </w:p>
        </w:tc>
        <w:tc>
          <w:tcPr>
            <w:tcW w:w="8980" w:type="dxa"/>
            <w:vAlign w:val="bottom"/>
            <w:vMerge w:val="restart"/>
          </w:tcPr>
          <w:p>
            <w:pPr>
              <w:ind w:left="80"/>
              <w:spacing w:after="0"/>
              <w:rPr>
                <w:sz w:val="20"/>
                <w:szCs w:val="20"/>
                <w:color w:val="auto"/>
              </w:rPr>
            </w:pPr>
            <w:r>
              <w:rPr>
                <w:rFonts w:ascii="Arial" w:cs="Arial" w:eastAsia="Arial" w:hAnsi="Arial"/>
                <w:sz w:val="19"/>
                <w:szCs w:val="19"/>
                <w:b w:val="1"/>
                <w:bCs w:val="1"/>
                <w:color w:val="auto"/>
              </w:rPr>
              <w:t>SHARED DISPOSITIVE POWER</w:t>
            </w:r>
          </w:p>
        </w:tc>
        <w:tc>
          <w:tcPr>
            <w:tcW w:w="0" w:type="dxa"/>
            <w:vAlign w:val="bottom"/>
          </w:tcPr>
          <w:p>
            <w:pPr>
              <w:spacing w:after="0"/>
              <w:rPr>
                <w:sz w:val="1"/>
                <w:szCs w:val="1"/>
                <w:color w:val="auto"/>
              </w:rPr>
            </w:pPr>
          </w:p>
        </w:tc>
      </w:tr>
      <w:tr>
        <w:trPr>
          <w:trHeight w:val="115"/>
        </w:trPr>
        <w:tc>
          <w:tcPr>
            <w:tcW w:w="172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8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172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8980" w:type="dxa"/>
            <w:vAlign w:val="bottom"/>
          </w:tcPr>
          <w:p>
            <w:pPr>
              <w:ind w:left="8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72"/>
        </w:trPr>
        <w:tc>
          <w:tcPr>
            <w:tcW w:w="1720" w:type="dxa"/>
            <w:vAlign w:val="bottom"/>
            <w:tcBorders>
              <w:bottom w:val="single" w:sz="8" w:color="auto"/>
              <w:right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8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660" w:right="3280" w:hanging="421"/>
        <w:spacing w:after="0" w:line="282" w:lineRule="auto"/>
        <w:tabs>
          <w:tab w:leader="none" w:pos="660"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 xml:space="preserve">AGGREGATE AMOUNT BENEFICIALLY OWNED BY EACH REPORTING PERSON </w:t>
      </w:r>
      <w:r>
        <w:rPr>
          <w:rFonts w:ascii="Arial" w:cs="Arial" w:eastAsia="Arial" w:hAnsi="Arial"/>
          <w:sz w:val="19"/>
          <w:szCs w:val="19"/>
          <w:color w:val="auto"/>
        </w:rPr>
        <w:t>4,300,000</w:t>
      </w:r>
    </w:p>
    <w:p>
      <w:pPr>
        <w:spacing w:after="0" w:line="100" w:lineRule="exact"/>
        <w:rPr>
          <w:sz w:val="20"/>
          <w:szCs w:val="20"/>
          <w:color w:val="auto"/>
        </w:rPr>
      </w:pPr>
    </w:p>
    <w:p>
      <w:pPr>
        <w:ind w:left="660" w:right="2720" w:hanging="469"/>
        <w:spacing w:after="0" w:line="282" w:lineRule="auto"/>
        <w:tabs>
          <w:tab w:leader="none" w:pos="660" w:val="left"/>
        </w:tabs>
        <w:numPr>
          <w:ilvl w:val="0"/>
          <w:numId w:val="7"/>
        </w:numPr>
        <w:rPr>
          <w:rFonts w:ascii="Arial" w:cs="Arial" w:eastAsia="Arial" w:hAnsi="Arial"/>
          <w:sz w:val="19"/>
          <w:szCs w:val="19"/>
          <w:color w:val="auto"/>
        </w:rPr>
      </w:pPr>
      <w:r>
        <w:rPr>
          <w:rFonts w:ascii="Arial" w:cs="Arial" w:eastAsia="Arial" w:hAnsi="Arial"/>
          <w:sz w:val="19"/>
          <w:szCs w:val="19"/>
          <w:b w:val="1"/>
          <w:bCs w:val="1"/>
          <w:color w:val="auto"/>
        </w:rPr>
        <w:t xml:space="preserve">CHECK BOX IF THE AGGREGATE AMOUNT IN ROW (9) EXCLUDES CERTAIN SHARES </w:t>
      </w:r>
      <w:r>
        <w:rPr>
          <w:rFonts w:ascii="Arial" w:cs="Arial" w:eastAsia="Arial" w:hAnsi="Arial"/>
          <w:sz w:val="19"/>
          <w:szCs w:val="19"/>
          <w:color w:val="auto"/>
        </w:rPr>
        <w:t>[ ]</w:t>
      </w:r>
    </w:p>
    <w:p>
      <w:pPr>
        <w:spacing w:after="0" w:line="99" w:lineRule="exact"/>
        <w:rPr>
          <w:rFonts w:ascii="Arial" w:cs="Arial" w:eastAsia="Arial" w:hAnsi="Arial"/>
          <w:sz w:val="19"/>
          <w:szCs w:val="19"/>
          <w:color w:val="auto"/>
        </w:rPr>
      </w:pPr>
    </w:p>
    <w:p>
      <w:pPr>
        <w:ind w:left="660" w:hanging="465"/>
        <w:spacing w:after="0"/>
        <w:tabs>
          <w:tab w:leader="none" w:pos="660" w:val="left"/>
        </w:tabs>
        <w:numPr>
          <w:ilvl w:val="0"/>
          <w:numId w:val="7"/>
        </w:numPr>
        <w:rPr>
          <w:rFonts w:ascii="Arial" w:cs="Arial" w:eastAsia="Arial" w:hAnsi="Arial"/>
          <w:sz w:val="19"/>
          <w:szCs w:val="19"/>
          <w:color w:val="auto"/>
        </w:rPr>
      </w:pPr>
      <w:r>
        <w:rPr>
          <w:rFonts w:ascii="Arial" w:cs="Arial" w:eastAsia="Arial" w:hAnsi="Arial"/>
          <w:sz w:val="19"/>
          <w:szCs w:val="19"/>
          <w:b w:val="1"/>
          <w:bCs w:val="1"/>
          <w:color w:val="auto"/>
        </w:rPr>
        <w:t>PERCENT OF CLASS REPRESENTED BY AMOUNT IN ROW (9)</w:t>
      </w:r>
    </w:p>
    <w:p>
      <w:pPr>
        <w:spacing w:after="0" w:line="28"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19"/>
          <w:szCs w:val="19"/>
          <w:color w:val="auto"/>
        </w:rPr>
        <w:t>6.58%</w:t>
      </w:r>
    </w:p>
    <w:p>
      <w:pPr>
        <w:spacing w:after="0" w:line="147" w:lineRule="exact"/>
        <w:rPr>
          <w:rFonts w:ascii="Arial" w:cs="Arial" w:eastAsia="Arial" w:hAnsi="Arial"/>
          <w:sz w:val="19"/>
          <w:szCs w:val="19"/>
          <w:color w:val="auto"/>
        </w:rPr>
      </w:pPr>
    </w:p>
    <w:p>
      <w:pPr>
        <w:ind w:left="660" w:hanging="469"/>
        <w:spacing w:after="0"/>
        <w:tabs>
          <w:tab w:leader="none" w:pos="660" w:val="left"/>
        </w:tabs>
        <w:numPr>
          <w:ilvl w:val="0"/>
          <w:numId w:val="7"/>
        </w:numPr>
        <w:rPr>
          <w:rFonts w:ascii="Arial" w:cs="Arial" w:eastAsia="Arial" w:hAnsi="Arial"/>
          <w:sz w:val="19"/>
          <w:szCs w:val="19"/>
          <w:color w:val="auto"/>
        </w:rPr>
      </w:pPr>
      <w:r>
        <w:rPr>
          <w:rFonts w:ascii="Arial" w:cs="Arial" w:eastAsia="Arial" w:hAnsi="Arial"/>
          <w:sz w:val="19"/>
          <w:szCs w:val="19"/>
          <w:b w:val="1"/>
          <w:bCs w:val="1"/>
          <w:color w:val="auto"/>
        </w:rPr>
        <w:t>TYPE OF REPORTING PERSON</w:t>
      </w:r>
    </w:p>
    <w:p>
      <w:pPr>
        <w:spacing w:after="0" w:line="28" w:lineRule="exact"/>
        <w:rPr>
          <w:rFonts w:ascii="Arial" w:cs="Arial" w:eastAsia="Arial" w:hAnsi="Arial"/>
          <w:sz w:val="19"/>
          <w:szCs w:val="19"/>
          <w:color w:val="auto"/>
        </w:rPr>
      </w:pPr>
    </w:p>
    <w:p>
      <w:pPr>
        <w:ind w:left="660" w:right="180"/>
        <w:spacing w:after="0" w:line="290" w:lineRule="auto"/>
        <w:rPr>
          <w:rFonts w:ascii="Arial" w:cs="Arial" w:eastAsia="Arial" w:hAnsi="Arial"/>
          <w:sz w:val="19"/>
          <w:szCs w:val="19"/>
          <w:color w:val="auto"/>
        </w:rPr>
      </w:pPr>
      <w:r>
        <w:rPr>
          <w:rFonts w:ascii="Arial" w:cs="Arial" w:eastAsia="Arial" w:hAnsi="Arial"/>
          <w:sz w:val="17"/>
          <w:szCs w:val="17"/>
          <w:color w:val="auto"/>
        </w:rPr>
        <w:t>EP The Division of Investment is a government entity which manages and invests monies of the Consolidated Police &amp; Firemen Pension Fund, the Judicial Retirement System, the Police &amp; Firemen Retirement System, the Prison Officer Pension Fund, the Public Employee Retirement System, the State Police Retirement System and the Teacher Pension &amp; Annuity Fund, the State of New Jersey Cash Management Fund, Supplemental Annuity Collective Trust (a 403b plan), a portion of the NJBEST Fund (a 529 college savings plan) as well as several funds under the New Jersey State Employees Deferred Compensation Program (a 457 plan).</w:t>
      </w:r>
    </w:p>
    <w:p>
      <w:pPr>
        <w:sectPr>
          <w:pgSz w:w="12240" w:h="15840" w:orient="portrait"/>
          <w:cols w:equalWidth="0" w:num="1">
            <w:col w:w="11240"/>
          </w:cols>
          <w:pgMar w:left="120" w:top="835" w:right="880" w:bottom="1440" w:gutter="0" w:footer="0" w:header="0"/>
        </w:sectPr>
      </w:pPr>
    </w:p>
    <w:bookmarkStart w:id="2" w:name="page3"/>
    <w:bookmarkEnd w:id="2"/>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70485</wp:posOffset>
            </wp:positionH>
            <wp:positionV relativeFrom="page">
              <wp:posOffset>478155</wp:posOffset>
            </wp:positionV>
            <wp:extent cx="2195195" cy="284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5195" cy="28448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9"/>
          <w:szCs w:val="19"/>
          <w:b w:val="1"/>
          <w:bCs w:val="1"/>
          <w:color w:val="auto"/>
        </w:rPr>
        <w:t>CUSIP No.: 87265K102</w:t>
      </w:r>
    </w:p>
    <w:p>
      <w:pPr>
        <w:spacing w:after="0" w:line="200" w:lineRule="exact"/>
        <w:rPr>
          <w:sz w:val="20"/>
          <w:szCs w:val="20"/>
          <w:color w:val="auto"/>
        </w:rPr>
      </w:pPr>
    </w:p>
    <w:p>
      <w:pPr>
        <w:spacing w:after="0" w:line="36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b w:val="1"/>
          <w:bCs w:val="1"/>
          <w:color w:val="auto"/>
        </w:rPr>
        <w:t>ITEM 1(a).</w:t>
      </w:r>
      <w:r>
        <w:rPr>
          <w:sz w:val="20"/>
          <w:szCs w:val="20"/>
          <w:color w:val="auto"/>
        </w:rPr>
        <w:tab/>
      </w:r>
      <w:r>
        <w:rPr>
          <w:rFonts w:ascii="Arial" w:cs="Arial" w:eastAsia="Arial" w:hAnsi="Arial"/>
          <w:sz w:val="18"/>
          <w:szCs w:val="18"/>
          <w:b w:val="1"/>
          <w:bCs w:val="1"/>
          <w:color w:val="auto"/>
        </w:rPr>
        <w:t>NAME OF ISSUER:</w:t>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TPG Specialty Lending, Inc.</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1(b).  ADDRESS OF ISSUER'S PRINCIPAL EXECUTIVE OFFICES:</w:t>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301 Commerce Street</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Suite 3300</w:t>
      </w:r>
    </w:p>
    <w:p>
      <w:pPr>
        <w:spacing w:after="0" w:line="10"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Fort Worth, Texas 76102</w:t>
      </w:r>
    </w:p>
    <w:p>
      <w:pPr>
        <w:spacing w:after="0" w:line="10"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USA</w:t>
      </w:r>
    </w:p>
    <w:p>
      <w:pPr>
        <w:spacing w:after="0" w:line="21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b w:val="1"/>
          <w:bCs w:val="1"/>
          <w:color w:val="auto"/>
        </w:rPr>
        <w:t>ITEM 2(a).</w:t>
        <w:tab/>
        <w:t>NAME OF PERSON FILING:</w:t>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Division of Investment, Department of the Treasury, State of New Jersey</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2(b).  ADDRESS OF PRINCIPAL BUSINESS OFFICE OR, IF NONE, RESIDENCE:</w:t>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50 West State Street, 9th Floor</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PO Box 290</w:t>
      </w:r>
    </w:p>
    <w:p>
      <w:pPr>
        <w:spacing w:after="0" w:line="10"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Trenton, NJ 08625-0290</w:t>
      </w:r>
    </w:p>
    <w:p>
      <w:pPr>
        <w:spacing w:after="0" w:line="219"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b w:val="1"/>
          <w:bCs w:val="1"/>
          <w:color w:val="auto"/>
        </w:rPr>
        <w:t>ITEM 2(c).</w:t>
        <w:tab/>
        <w:t>CITIZENSHIP:</w:t>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U.S.A.</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2(d).  TITLE OF CLASS OF SECURITIES:</w:t>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Common Stock, $0.01 par value</w:t>
      </w:r>
    </w:p>
    <w:p>
      <w:pPr>
        <w:spacing w:after="0" w:line="232"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b w:val="1"/>
          <w:bCs w:val="1"/>
          <w:color w:val="auto"/>
        </w:rPr>
        <w:t>ITEM 2(e).</w:t>
      </w:r>
      <w:r>
        <w:rPr>
          <w:sz w:val="20"/>
          <w:szCs w:val="20"/>
          <w:color w:val="auto"/>
        </w:rPr>
        <w:tab/>
      </w:r>
      <w:r>
        <w:rPr>
          <w:rFonts w:ascii="Arial" w:cs="Arial" w:eastAsia="Arial" w:hAnsi="Arial"/>
          <w:sz w:val="18"/>
          <w:szCs w:val="18"/>
          <w:b w:val="1"/>
          <w:bCs w:val="1"/>
          <w:color w:val="auto"/>
        </w:rPr>
        <w:t>CUSIP NUMBER:</w:t>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87265K102</w:t>
      </w:r>
    </w:p>
    <w:p>
      <w:pPr>
        <w:spacing w:after="0" w:line="232" w:lineRule="exact"/>
        <w:rPr>
          <w:sz w:val="20"/>
          <w:szCs w:val="20"/>
          <w:color w:val="auto"/>
        </w:rPr>
      </w:pPr>
    </w:p>
    <w:p>
      <w:pPr>
        <w:ind w:left="1100" w:hanging="1083"/>
        <w:spacing w:after="0" w:line="282" w:lineRule="auto"/>
        <w:tabs>
          <w:tab w:leader="none" w:pos="108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SECTION 240.13d-1(b), or 13d-2(b) or (c) CHECK WHETHER THE PERSON FILING IS A:</w:t>
      </w:r>
    </w:p>
    <w:p>
      <w:pPr>
        <w:spacing w:after="0" w:line="92" w:lineRule="exact"/>
        <w:rPr>
          <w:sz w:val="20"/>
          <w:szCs w:val="20"/>
          <w:color w:val="auto"/>
        </w:rPr>
      </w:pPr>
    </w:p>
    <w:p>
      <w:pPr>
        <w:ind w:left="1560" w:hanging="469"/>
        <w:spacing w:after="0"/>
        <w:tabs>
          <w:tab w:leader="none" w:pos="1560" w:val="left"/>
        </w:tabs>
        <w:numPr>
          <w:ilvl w:val="0"/>
          <w:numId w:val="8"/>
        </w:numPr>
        <w:rPr>
          <w:rFonts w:ascii="Arial" w:cs="Arial" w:eastAsia="Arial" w:hAnsi="Arial"/>
          <w:sz w:val="19"/>
          <w:szCs w:val="19"/>
          <w:color w:val="auto"/>
        </w:rPr>
      </w:pPr>
      <w:r>
        <w:rPr>
          <w:rFonts w:ascii="Arial" w:cs="Arial" w:eastAsia="Arial" w:hAnsi="Arial"/>
          <w:sz w:val="19"/>
          <w:szCs w:val="19"/>
          <w:color w:val="auto"/>
        </w:rPr>
        <w:t>[ ]</w:t>
      </w:r>
      <w:r>
        <w:rPr>
          <w:rFonts w:ascii="Arial" w:cs="Arial" w:eastAsia="Arial" w:hAnsi="Arial"/>
          <w:sz w:val="17"/>
          <w:szCs w:val="17"/>
          <w:color w:val="auto"/>
        </w:rPr>
        <w:t>Broker or dealer registered under Section 15 of the Act (15 U.S.C. 78c);</w:t>
      </w:r>
    </w:p>
    <w:p>
      <w:pPr>
        <w:spacing w:after="0" w:line="152" w:lineRule="exact"/>
        <w:rPr>
          <w:rFonts w:ascii="Arial" w:cs="Arial" w:eastAsia="Arial" w:hAnsi="Arial"/>
          <w:sz w:val="19"/>
          <w:szCs w:val="19"/>
          <w:color w:val="auto"/>
        </w:rPr>
      </w:pPr>
    </w:p>
    <w:p>
      <w:pPr>
        <w:ind w:left="1560" w:hanging="469"/>
        <w:spacing w:after="0"/>
        <w:tabs>
          <w:tab w:leader="none" w:pos="1560" w:val="left"/>
        </w:tabs>
        <w:numPr>
          <w:ilvl w:val="0"/>
          <w:numId w:val="8"/>
        </w:numPr>
        <w:rPr>
          <w:rFonts w:ascii="Arial" w:cs="Arial" w:eastAsia="Arial" w:hAnsi="Arial"/>
          <w:sz w:val="19"/>
          <w:szCs w:val="19"/>
          <w:color w:val="auto"/>
        </w:rPr>
      </w:pPr>
      <w:r>
        <w:rPr>
          <w:rFonts w:ascii="Arial" w:cs="Arial" w:eastAsia="Arial" w:hAnsi="Arial"/>
          <w:sz w:val="19"/>
          <w:szCs w:val="19"/>
          <w:color w:val="auto"/>
        </w:rPr>
        <w:t>[ ]</w:t>
      </w:r>
      <w:r>
        <w:rPr>
          <w:rFonts w:ascii="Arial" w:cs="Arial" w:eastAsia="Arial" w:hAnsi="Arial"/>
          <w:sz w:val="17"/>
          <w:szCs w:val="17"/>
          <w:color w:val="auto"/>
        </w:rPr>
        <w:t>Bank as defined in Section 3(a)(6) of the Act (15 U.S.C. 78c);</w:t>
      </w:r>
    </w:p>
    <w:p>
      <w:pPr>
        <w:spacing w:after="0" w:line="152" w:lineRule="exact"/>
        <w:rPr>
          <w:rFonts w:ascii="Arial" w:cs="Arial" w:eastAsia="Arial" w:hAnsi="Arial"/>
          <w:sz w:val="19"/>
          <w:szCs w:val="19"/>
          <w:color w:val="auto"/>
        </w:rPr>
      </w:pPr>
    </w:p>
    <w:p>
      <w:pPr>
        <w:ind w:left="1560" w:hanging="469"/>
        <w:spacing w:after="0"/>
        <w:tabs>
          <w:tab w:leader="none" w:pos="1560" w:val="left"/>
        </w:tabs>
        <w:numPr>
          <w:ilvl w:val="0"/>
          <w:numId w:val="8"/>
        </w:numPr>
        <w:rPr>
          <w:rFonts w:ascii="Arial" w:cs="Arial" w:eastAsia="Arial" w:hAnsi="Arial"/>
          <w:sz w:val="19"/>
          <w:szCs w:val="19"/>
          <w:color w:val="auto"/>
        </w:rPr>
      </w:pPr>
      <w:r>
        <w:rPr>
          <w:rFonts w:ascii="Arial" w:cs="Arial" w:eastAsia="Arial" w:hAnsi="Arial"/>
          <w:sz w:val="19"/>
          <w:szCs w:val="19"/>
          <w:color w:val="auto"/>
        </w:rPr>
        <w:t>[ ]</w:t>
      </w:r>
      <w:r>
        <w:rPr>
          <w:rFonts w:ascii="Arial" w:cs="Arial" w:eastAsia="Arial" w:hAnsi="Arial"/>
          <w:sz w:val="17"/>
          <w:szCs w:val="17"/>
          <w:color w:val="auto"/>
        </w:rPr>
        <w:t>Insurance company as defined in Section 3(a)(19) of the Act (15 U.S.C. 78c);</w:t>
      </w:r>
    </w:p>
    <w:p>
      <w:pPr>
        <w:spacing w:after="0" w:line="152" w:lineRule="exact"/>
        <w:rPr>
          <w:rFonts w:ascii="Arial" w:cs="Arial" w:eastAsia="Arial" w:hAnsi="Arial"/>
          <w:sz w:val="19"/>
          <w:szCs w:val="19"/>
          <w:color w:val="auto"/>
        </w:rPr>
      </w:pPr>
    </w:p>
    <w:p>
      <w:pPr>
        <w:ind w:left="1560" w:hanging="469"/>
        <w:spacing w:after="0"/>
        <w:tabs>
          <w:tab w:leader="none" w:pos="1560" w:val="left"/>
        </w:tabs>
        <w:numPr>
          <w:ilvl w:val="0"/>
          <w:numId w:val="8"/>
        </w:numPr>
        <w:rPr>
          <w:rFonts w:ascii="Arial" w:cs="Arial" w:eastAsia="Arial" w:hAnsi="Arial"/>
          <w:sz w:val="19"/>
          <w:szCs w:val="19"/>
          <w:color w:val="auto"/>
        </w:rPr>
      </w:pPr>
      <w:r>
        <w:rPr>
          <w:rFonts w:ascii="Arial" w:cs="Arial" w:eastAsia="Arial" w:hAnsi="Arial"/>
          <w:sz w:val="19"/>
          <w:szCs w:val="19"/>
          <w:color w:val="auto"/>
        </w:rPr>
        <w:t>[ ]</w:t>
      </w:r>
      <w:r>
        <w:rPr>
          <w:rFonts w:ascii="Arial" w:cs="Arial" w:eastAsia="Arial" w:hAnsi="Arial"/>
          <w:sz w:val="17"/>
          <w:szCs w:val="17"/>
          <w:color w:val="auto"/>
        </w:rPr>
        <w:t>Investment company registered under Section 8 of the Investment Company Act of 1940 (15 U.S.C 80a-8);</w:t>
      </w:r>
    </w:p>
    <w:p>
      <w:pPr>
        <w:spacing w:after="0" w:line="152" w:lineRule="exact"/>
        <w:rPr>
          <w:rFonts w:ascii="Arial" w:cs="Arial" w:eastAsia="Arial" w:hAnsi="Arial"/>
          <w:sz w:val="19"/>
          <w:szCs w:val="19"/>
          <w:color w:val="auto"/>
        </w:rPr>
      </w:pPr>
    </w:p>
    <w:p>
      <w:pPr>
        <w:ind w:left="1560" w:hanging="469"/>
        <w:spacing w:after="0"/>
        <w:tabs>
          <w:tab w:leader="none" w:pos="1560" w:val="left"/>
        </w:tabs>
        <w:numPr>
          <w:ilvl w:val="0"/>
          <w:numId w:val="8"/>
        </w:numPr>
        <w:rPr>
          <w:rFonts w:ascii="Arial" w:cs="Arial" w:eastAsia="Arial" w:hAnsi="Arial"/>
          <w:sz w:val="19"/>
          <w:szCs w:val="19"/>
          <w:color w:val="auto"/>
        </w:rPr>
      </w:pPr>
      <w:r>
        <w:rPr>
          <w:rFonts w:ascii="Arial" w:cs="Arial" w:eastAsia="Arial" w:hAnsi="Arial"/>
          <w:sz w:val="19"/>
          <w:szCs w:val="19"/>
          <w:color w:val="auto"/>
        </w:rPr>
        <w:t>[ ]</w:t>
      </w:r>
      <w:r>
        <w:rPr>
          <w:rFonts w:ascii="Arial" w:cs="Arial" w:eastAsia="Arial" w:hAnsi="Arial"/>
          <w:sz w:val="17"/>
          <w:szCs w:val="17"/>
          <w:color w:val="auto"/>
        </w:rPr>
        <w:t>An investment adviser in accordance with 240.13d-1(b)(1)(ii)(E);</w:t>
      </w:r>
    </w:p>
    <w:p>
      <w:pPr>
        <w:spacing w:after="0" w:line="152" w:lineRule="exact"/>
        <w:rPr>
          <w:rFonts w:ascii="Arial" w:cs="Arial" w:eastAsia="Arial" w:hAnsi="Arial"/>
          <w:sz w:val="19"/>
          <w:szCs w:val="19"/>
          <w:color w:val="auto"/>
        </w:rPr>
      </w:pPr>
    </w:p>
    <w:p>
      <w:pPr>
        <w:ind w:left="1560" w:hanging="469"/>
        <w:spacing w:after="0"/>
        <w:tabs>
          <w:tab w:leader="none" w:pos="1560" w:val="left"/>
        </w:tabs>
        <w:numPr>
          <w:ilvl w:val="0"/>
          <w:numId w:val="8"/>
        </w:numPr>
        <w:rPr>
          <w:rFonts w:ascii="Arial" w:cs="Arial" w:eastAsia="Arial" w:hAnsi="Arial"/>
          <w:sz w:val="19"/>
          <w:szCs w:val="19"/>
          <w:color w:val="auto"/>
        </w:rPr>
      </w:pPr>
      <w:r>
        <w:rPr>
          <w:rFonts w:ascii="Arial" w:cs="Arial" w:eastAsia="Arial" w:hAnsi="Arial"/>
          <w:sz w:val="19"/>
          <w:szCs w:val="19"/>
          <w:color w:val="auto"/>
        </w:rPr>
        <w:t>[X]</w:t>
      </w:r>
      <w:r>
        <w:rPr>
          <w:rFonts w:ascii="Arial" w:cs="Arial" w:eastAsia="Arial" w:hAnsi="Arial"/>
          <w:sz w:val="17"/>
          <w:szCs w:val="17"/>
          <w:color w:val="auto"/>
        </w:rPr>
        <w:t>An employee benefit plan or endowment fund in accordance with 240.13d-1(b)(1)(ii)(F);</w:t>
      </w:r>
    </w:p>
    <w:p>
      <w:pPr>
        <w:spacing w:after="0" w:line="152" w:lineRule="exact"/>
        <w:rPr>
          <w:rFonts w:ascii="Arial" w:cs="Arial" w:eastAsia="Arial" w:hAnsi="Arial"/>
          <w:sz w:val="19"/>
          <w:szCs w:val="19"/>
          <w:color w:val="auto"/>
        </w:rPr>
      </w:pPr>
    </w:p>
    <w:p>
      <w:pPr>
        <w:ind w:left="1560" w:hanging="469"/>
        <w:spacing w:after="0"/>
        <w:tabs>
          <w:tab w:leader="none" w:pos="1560" w:val="left"/>
        </w:tabs>
        <w:numPr>
          <w:ilvl w:val="0"/>
          <w:numId w:val="8"/>
        </w:numPr>
        <w:rPr>
          <w:rFonts w:ascii="Arial" w:cs="Arial" w:eastAsia="Arial" w:hAnsi="Arial"/>
          <w:sz w:val="19"/>
          <w:szCs w:val="19"/>
          <w:color w:val="auto"/>
        </w:rPr>
      </w:pPr>
      <w:r>
        <w:rPr>
          <w:rFonts w:ascii="Arial" w:cs="Arial" w:eastAsia="Arial" w:hAnsi="Arial"/>
          <w:sz w:val="19"/>
          <w:szCs w:val="19"/>
          <w:color w:val="auto"/>
        </w:rPr>
        <w:t>[ ]</w:t>
      </w:r>
      <w:r>
        <w:rPr>
          <w:rFonts w:ascii="Arial" w:cs="Arial" w:eastAsia="Arial" w:hAnsi="Arial"/>
          <w:sz w:val="17"/>
          <w:szCs w:val="17"/>
          <w:color w:val="auto"/>
        </w:rPr>
        <w:t>A parent holding company or control person in accordance with 240.13d-1(b)(1)(ii)(G);</w:t>
      </w:r>
    </w:p>
    <w:p>
      <w:pPr>
        <w:spacing w:after="0" w:line="152" w:lineRule="exact"/>
        <w:rPr>
          <w:rFonts w:ascii="Arial" w:cs="Arial" w:eastAsia="Arial" w:hAnsi="Arial"/>
          <w:sz w:val="19"/>
          <w:szCs w:val="19"/>
          <w:color w:val="auto"/>
        </w:rPr>
      </w:pPr>
    </w:p>
    <w:p>
      <w:pPr>
        <w:ind w:left="1560" w:hanging="469"/>
        <w:spacing w:after="0"/>
        <w:tabs>
          <w:tab w:leader="none" w:pos="1560" w:val="left"/>
        </w:tabs>
        <w:numPr>
          <w:ilvl w:val="0"/>
          <w:numId w:val="8"/>
        </w:numPr>
        <w:rPr>
          <w:rFonts w:ascii="Arial" w:cs="Arial" w:eastAsia="Arial" w:hAnsi="Arial"/>
          <w:sz w:val="19"/>
          <w:szCs w:val="19"/>
          <w:color w:val="auto"/>
        </w:rPr>
      </w:pPr>
      <w:r>
        <w:rPr>
          <w:rFonts w:ascii="Arial" w:cs="Arial" w:eastAsia="Arial" w:hAnsi="Arial"/>
          <w:sz w:val="19"/>
          <w:szCs w:val="19"/>
          <w:color w:val="auto"/>
        </w:rPr>
        <w:t>[ ]</w:t>
      </w:r>
      <w:r>
        <w:rPr>
          <w:rFonts w:ascii="Arial" w:cs="Arial" w:eastAsia="Arial" w:hAnsi="Arial"/>
          <w:sz w:val="17"/>
          <w:szCs w:val="17"/>
          <w:color w:val="auto"/>
        </w:rPr>
        <w:t>A savings associations as defined in Section 3(b) of the Federal Deposit Insurance Act (12 U.S.C. 1813);</w:t>
      </w:r>
    </w:p>
    <w:p>
      <w:pPr>
        <w:spacing w:after="0" w:line="152" w:lineRule="exact"/>
        <w:rPr>
          <w:rFonts w:ascii="Arial" w:cs="Arial" w:eastAsia="Arial" w:hAnsi="Arial"/>
          <w:sz w:val="19"/>
          <w:szCs w:val="19"/>
          <w:color w:val="auto"/>
        </w:rPr>
      </w:pPr>
    </w:p>
    <w:p>
      <w:pPr>
        <w:ind w:left="2320" w:right="540" w:hanging="1229"/>
        <w:spacing w:after="0" w:line="275" w:lineRule="auto"/>
        <w:tabs>
          <w:tab w:leader="none" w:pos="1569" w:val="left"/>
        </w:tabs>
        <w:numPr>
          <w:ilvl w:val="0"/>
          <w:numId w:val="8"/>
        </w:numPr>
        <w:rPr>
          <w:rFonts w:ascii="Arial" w:cs="Arial" w:eastAsia="Arial" w:hAnsi="Arial"/>
          <w:sz w:val="19"/>
          <w:szCs w:val="19"/>
          <w:color w:val="auto"/>
        </w:rPr>
      </w:pPr>
      <w:r>
        <w:rPr>
          <w:rFonts w:ascii="Arial" w:cs="Arial" w:eastAsia="Arial" w:hAnsi="Arial"/>
          <w:sz w:val="19"/>
          <w:szCs w:val="19"/>
          <w:color w:val="auto"/>
        </w:rPr>
        <w:t>[ ]A church plan that is excluded from the definition of an investment company under Section 3(c)(14) of the Investment Company Act of 1940 (15 U.S.C. 80a-3);</w:t>
      </w:r>
    </w:p>
    <w:p>
      <w:pPr>
        <w:spacing w:after="0" w:line="98" w:lineRule="exact"/>
        <w:rPr>
          <w:rFonts w:ascii="Arial" w:cs="Arial" w:eastAsia="Arial" w:hAnsi="Arial"/>
          <w:sz w:val="19"/>
          <w:szCs w:val="19"/>
          <w:color w:val="auto"/>
        </w:rPr>
      </w:pPr>
    </w:p>
    <w:p>
      <w:pPr>
        <w:ind w:left="1560" w:hanging="469"/>
        <w:spacing w:after="0"/>
        <w:tabs>
          <w:tab w:leader="none" w:pos="1560" w:val="left"/>
        </w:tabs>
        <w:numPr>
          <w:ilvl w:val="0"/>
          <w:numId w:val="8"/>
        </w:numPr>
        <w:rPr>
          <w:rFonts w:ascii="Arial" w:cs="Arial" w:eastAsia="Arial" w:hAnsi="Arial"/>
          <w:sz w:val="19"/>
          <w:szCs w:val="19"/>
          <w:color w:val="auto"/>
        </w:rPr>
      </w:pPr>
      <w:r>
        <w:rPr>
          <w:rFonts w:ascii="Arial" w:cs="Arial" w:eastAsia="Arial" w:hAnsi="Arial"/>
          <w:sz w:val="19"/>
          <w:szCs w:val="19"/>
          <w:color w:val="auto"/>
        </w:rPr>
        <w:t>[ ]</w:t>
      </w:r>
      <w:r>
        <w:rPr>
          <w:rFonts w:ascii="Arial" w:cs="Arial" w:eastAsia="Arial" w:hAnsi="Arial"/>
          <w:sz w:val="17"/>
          <w:szCs w:val="17"/>
          <w:color w:val="auto"/>
        </w:rPr>
        <w:t>A non-U.S. institution in accordance with 240.13d-1(b)(1)(ii)(J);</w:t>
      </w:r>
    </w:p>
    <w:p>
      <w:pPr>
        <w:spacing w:after="0" w:line="152" w:lineRule="exact"/>
        <w:rPr>
          <w:rFonts w:ascii="Arial" w:cs="Arial" w:eastAsia="Arial" w:hAnsi="Arial"/>
          <w:sz w:val="19"/>
          <w:szCs w:val="19"/>
          <w:color w:val="auto"/>
        </w:rPr>
      </w:pPr>
    </w:p>
    <w:p>
      <w:pPr>
        <w:ind w:left="1560" w:hanging="469"/>
        <w:spacing w:after="0"/>
        <w:tabs>
          <w:tab w:leader="none" w:pos="1560" w:val="left"/>
        </w:tabs>
        <w:numPr>
          <w:ilvl w:val="0"/>
          <w:numId w:val="8"/>
        </w:numPr>
        <w:rPr>
          <w:rFonts w:ascii="Arial" w:cs="Arial" w:eastAsia="Arial" w:hAnsi="Arial"/>
          <w:sz w:val="19"/>
          <w:szCs w:val="19"/>
          <w:color w:val="auto"/>
        </w:rPr>
      </w:pPr>
      <w:r>
        <w:rPr>
          <w:rFonts w:ascii="Arial" w:cs="Arial" w:eastAsia="Arial" w:hAnsi="Arial"/>
          <w:sz w:val="19"/>
          <w:szCs w:val="19"/>
          <w:color w:val="auto"/>
        </w:rPr>
        <w:t>[ ]</w:t>
      </w:r>
      <w:r>
        <w:rPr>
          <w:rFonts w:ascii="Arial" w:cs="Arial" w:eastAsia="Arial" w:hAnsi="Arial"/>
          <w:sz w:val="17"/>
          <w:szCs w:val="17"/>
          <w:color w:val="auto"/>
        </w:rPr>
        <w:t>Group, in accordance with 240.13d-1(b)(1)(ii)(K). If filing as a non-U.S. institution in accordance with</w:t>
      </w:r>
    </w:p>
    <w:p>
      <w:pPr>
        <w:spacing w:after="0" w:line="22" w:lineRule="exact"/>
        <w:rPr>
          <w:rFonts w:ascii="Arial" w:cs="Arial" w:eastAsia="Arial" w:hAnsi="Arial"/>
          <w:sz w:val="19"/>
          <w:szCs w:val="19"/>
          <w:color w:val="auto"/>
        </w:rPr>
      </w:pPr>
    </w:p>
    <w:p>
      <w:pPr>
        <w:ind w:left="2320"/>
        <w:spacing w:after="0"/>
        <w:rPr>
          <w:rFonts w:ascii="Arial" w:cs="Arial" w:eastAsia="Arial" w:hAnsi="Arial"/>
          <w:sz w:val="19"/>
          <w:szCs w:val="19"/>
          <w:color w:val="auto"/>
        </w:rPr>
      </w:pPr>
      <w:r>
        <w:rPr>
          <w:rFonts w:ascii="Arial" w:cs="Arial" w:eastAsia="Arial" w:hAnsi="Arial"/>
          <w:sz w:val="19"/>
          <w:szCs w:val="19"/>
          <w:color w:val="auto"/>
        </w:rPr>
        <w:t>240.13d1(b)(1)(ii)(J), please specify the type of institution:</w:t>
      </w:r>
    </w:p>
    <w:p>
      <w:pPr>
        <w:spacing w:after="0" w:line="200" w:lineRule="exact"/>
        <w:rPr>
          <w:sz w:val="20"/>
          <w:szCs w:val="20"/>
          <w:color w:val="auto"/>
        </w:rPr>
      </w:pPr>
    </w:p>
    <w:p>
      <w:pPr>
        <w:spacing w:after="0" w:line="261"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52" w:lineRule="exact"/>
        <w:rPr>
          <w:sz w:val="20"/>
          <w:szCs w:val="20"/>
          <w:color w:val="auto"/>
        </w:rPr>
      </w:pPr>
    </w:p>
    <w:p>
      <w:pPr>
        <w:ind w:left="1100"/>
        <w:spacing w:after="0"/>
        <w:rPr>
          <w:sz w:val="20"/>
          <w:szCs w:val="20"/>
          <w:color w:val="auto"/>
        </w:rPr>
      </w:pPr>
      <w:r>
        <w:rPr>
          <w:rFonts w:ascii="Arial" w:cs="Arial" w:eastAsia="Arial" w:hAnsi="Arial"/>
          <w:sz w:val="19"/>
          <w:szCs w:val="19"/>
          <w:b w:val="1"/>
          <w:bCs w:val="1"/>
          <w:color w:val="auto"/>
        </w:rPr>
        <w:t>(a) Amount beneficially owned:</w:t>
      </w:r>
    </w:p>
    <w:p>
      <w:pPr>
        <w:spacing w:after="0" w:line="158"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4,300,000</w:t>
      </w:r>
    </w:p>
    <w:p>
      <w:pPr>
        <w:spacing w:after="0" w:line="146" w:lineRule="exact"/>
        <w:rPr>
          <w:sz w:val="20"/>
          <w:szCs w:val="20"/>
          <w:color w:val="auto"/>
        </w:rPr>
      </w:pPr>
    </w:p>
    <w:p>
      <w:pPr>
        <w:ind w:left="1100"/>
        <w:spacing w:after="0"/>
        <w:rPr>
          <w:sz w:val="20"/>
          <w:szCs w:val="20"/>
          <w:color w:val="auto"/>
        </w:rPr>
      </w:pPr>
      <w:r>
        <w:rPr>
          <w:rFonts w:ascii="Arial" w:cs="Arial" w:eastAsia="Arial" w:hAnsi="Arial"/>
          <w:sz w:val="19"/>
          <w:szCs w:val="19"/>
          <w:b w:val="1"/>
          <w:bCs w:val="1"/>
          <w:color w:val="auto"/>
        </w:rPr>
        <w:t>(b) Percent of class:</w:t>
      </w:r>
    </w:p>
    <w:p>
      <w:pPr>
        <w:spacing w:after="0" w:line="158"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6.58%</w:t>
      </w:r>
    </w:p>
    <w:p>
      <w:pPr>
        <w:spacing w:after="0" w:line="146" w:lineRule="exact"/>
        <w:rPr>
          <w:sz w:val="20"/>
          <w:szCs w:val="20"/>
          <w:color w:val="auto"/>
        </w:rPr>
      </w:pPr>
    </w:p>
    <w:p>
      <w:pPr>
        <w:ind w:left="1100"/>
        <w:spacing w:after="0"/>
        <w:rPr>
          <w:sz w:val="20"/>
          <w:szCs w:val="20"/>
          <w:color w:val="auto"/>
        </w:rPr>
      </w:pPr>
      <w:r>
        <w:rPr>
          <w:rFonts w:ascii="Arial" w:cs="Arial" w:eastAsia="Arial" w:hAnsi="Arial"/>
          <w:sz w:val="19"/>
          <w:szCs w:val="19"/>
          <w:b w:val="1"/>
          <w:bCs w:val="1"/>
          <w:color w:val="auto"/>
        </w:rPr>
        <w:t>(c) Number of shares as to which the person has:</w:t>
      </w:r>
    </w:p>
    <w:p>
      <w:pPr>
        <w:sectPr>
          <w:pgSz w:w="12240" w:h="15886" w:orient="portrait"/>
          <w:cols w:equalWidth="0" w:num="1">
            <w:col w:w="10960"/>
          </w:cols>
          <w:pgMar w:left="180" w:top="835" w:right="1100" w:bottom="0" w:gutter="0" w:footer="0" w:header="0"/>
        </w:sectPr>
      </w:pPr>
    </w:p>
    <w:bookmarkStart w:id="3" w:name="page4"/>
    <w:bookmarkEnd w:id="3"/>
    <w:p>
      <w:pPr>
        <w:ind w:left="1420" w:right="6400" w:hanging="1"/>
        <w:spacing w:after="0" w:line="407" w:lineRule="auto"/>
        <w:tabs>
          <w:tab w:leader="none" w:pos="1647" w:val="left"/>
        </w:tabs>
        <w:numPr>
          <w:ilvl w:val="0"/>
          <w:numId w:val="9"/>
        </w:numPr>
        <w:rPr>
          <w:rFonts w:ascii="Arial" w:cs="Arial" w:eastAsia="Arial" w:hAnsi="Arial"/>
          <w:sz w:val="19"/>
          <w:szCs w:val="19"/>
          <w:color w:val="auto"/>
        </w:rPr>
      </w:pPr>
      <w:r>
        <w:rPr>
          <w:rFonts w:ascii="Arial" w:cs="Arial" w:eastAsia="Arial" w:hAnsi="Arial"/>
          <w:sz w:val="19"/>
          <w:szCs w:val="19"/>
          <w:color w:val="auto"/>
        </w:rPr>
        <w:t>sole power to vote or to direct the vote: 4,300,000</w:t>
      </w:r>
    </w:p>
    <w:p>
      <w:pPr>
        <w:ind w:left="1700" w:hanging="281"/>
        <w:spacing w:after="0"/>
        <w:tabs>
          <w:tab w:leader="none" w:pos="1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shared power to vote or to direct the vote:</w:t>
      </w:r>
    </w:p>
    <w:p>
      <w:pPr>
        <w:spacing w:after="0" w:line="152" w:lineRule="exact"/>
        <w:rPr>
          <w:rFonts w:ascii="Arial" w:cs="Arial" w:eastAsia="Arial" w:hAnsi="Arial"/>
          <w:sz w:val="19"/>
          <w:szCs w:val="19"/>
          <w:color w:val="auto"/>
        </w:rPr>
      </w:pPr>
    </w:p>
    <w:p>
      <w:pPr>
        <w:ind w:left="1420"/>
        <w:spacing w:after="0"/>
        <w:rPr>
          <w:rFonts w:ascii="Arial" w:cs="Arial" w:eastAsia="Arial" w:hAnsi="Arial"/>
          <w:sz w:val="19"/>
          <w:szCs w:val="19"/>
          <w:color w:val="auto"/>
        </w:rPr>
      </w:pPr>
      <w:r>
        <w:rPr>
          <w:rFonts w:ascii="Arial" w:cs="Arial" w:eastAsia="Arial" w:hAnsi="Arial"/>
          <w:sz w:val="19"/>
          <w:szCs w:val="19"/>
          <w:color w:val="auto"/>
        </w:rPr>
        <w:t>0</w:t>
      </w:r>
    </w:p>
    <w:p>
      <w:pPr>
        <w:spacing w:after="0" w:line="152" w:lineRule="exact"/>
        <w:rPr>
          <w:rFonts w:ascii="Arial" w:cs="Arial" w:eastAsia="Arial" w:hAnsi="Arial"/>
          <w:sz w:val="19"/>
          <w:szCs w:val="19"/>
          <w:color w:val="auto"/>
        </w:rPr>
      </w:pPr>
    </w:p>
    <w:p>
      <w:pPr>
        <w:ind w:left="1420" w:right="5540" w:hanging="1"/>
        <w:spacing w:after="0" w:line="407" w:lineRule="auto"/>
        <w:tabs>
          <w:tab w:leader="none" w:pos="1753" w:val="left"/>
        </w:tabs>
        <w:numPr>
          <w:ilvl w:val="0"/>
          <w:numId w:val="9"/>
        </w:numPr>
        <w:rPr>
          <w:rFonts w:ascii="Arial" w:cs="Arial" w:eastAsia="Arial" w:hAnsi="Arial"/>
          <w:sz w:val="19"/>
          <w:szCs w:val="19"/>
          <w:color w:val="auto"/>
        </w:rPr>
      </w:pPr>
      <w:r>
        <w:rPr>
          <w:rFonts w:ascii="Arial" w:cs="Arial" w:eastAsia="Arial" w:hAnsi="Arial"/>
          <w:sz w:val="19"/>
          <w:szCs w:val="19"/>
          <w:color w:val="auto"/>
        </w:rPr>
        <w:t>sole power to dispose or direct the disposition of: 4,300,000</w:t>
      </w:r>
    </w:p>
    <w:p>
      <w:pPr>
        <w:ind w:left="1740" w:hanging="321"/>
        <w:spacing w:after="0"/>
        <w:tabs>
          <w:tab w:leader="none" w:pos="1740" w:val="left"/>
        </w:tabs>
        <w:numPr>
          <w:ilvl w:val="0"/>
          <w:numId w:val="9"/>
        </w:numPr>
        <w:rPr>
          <w:rFonts w:ascii="Arial" w:cs="Arial" w:eastAsia="Arial" w:hAnsi="Arial"/>
          <w:sz w:val="19"/>
          <w:szCs w:val="19"/>
          <w:color w:val="auto"/>
        </w:rPr>
      </w:pPr>
      <w:r>
        <w:rPr>
          <w:rFonts w:ascii="Arial" w:cs="Arial" w:eastAsia="Arial" w:hAnsi="Arial"/>
          <w:sz w:val="19"/>
          <w:szCs w:val="19"/>
          <w:color w:val="auto"/>
        </w:rPr>
        <w:t>shared power to dispose or to direct the disposition of:</w:t>
      </w:r>
    </w:p>
    <w:p>
      <w:pPr>
        <w:spacing w:after="0" w:line="152" w:lineRule="exact"/>
        <w:rPr>
          <w:rFonts w:ascii="Arial" w:cs="Arial" w:eastAsia="Arial" w:hAnsi="Arial"/>
          <w:sz w:val="19"/>
          <w:szCs w:val="19"/>
          <w:color w:val="auto"/>
        </w:rPr>
      </w:pPr>
    </w:p>
    <w:p>
      <w:pPr>
        <w:ind w:left="1420"/>
        <w:spacing w:after="0"/>
        <w:rPr>
          <w:rFonts w:ascii="Arial" w:cs="Arial" w:eastAsia="Arial" w:hAnsi="Arial"/>
          <w:sz w:val="19"/>
          <w:szCs w:val="19"/>
          <w:color w:val="auto"/>
        </w:rPr>
      </w:pPr>
      <w:r>
        <w:rPr>
          <w:rFonts w:ascii="Arial" w:cs="Arial" w:eastAsia="Arial" w:hAnsi="Arial"/>
          <w:sz w:val="19"/>
          <w:szCs w:val="19"/>
          <w:color w:val="auto"/>
        </w:rPr>
        <w:t>0</w:t>
      </w:r>
    </w:p>
    <w:p>
      <w:pPr>
        <w:spacing w:after="0" w:line="146"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b w:val="1"/>
          <w:bCs w:val="1"/>
          <w:color w:val="auto"/>
        </w:rPr>
        <w:t>ITEM 5.</w:t>
      </w:r>
      <w:r>
        <w:rPr>
          <w:sz w:val="20"/>
          <w:szCs w:val="20"/>
          <w:color w:val="auto"/>
        </w:rPr>
        <w:tab/>
      </w:r>
      <w:r>
        <w:rPr>
          <w:rFonts w:ascii="Arial" w:cs="Arial" w:eastAsia="Arial" w:hAnsi="Arial"/>
          <w:sz w:val="18"/>
          <w:szCs w:val="18"/>
          <w:b w:val="1"/>
          <w:bCs w:val="1"/>
          <w:color w:val="auto"/>
        </w:rPr>
        <w:t>OWNERSHIP OF FIVE PERCENT OR LESS OF A CLASS:</w:t>
      </w:r>
    </w:p>
    <w:p>
      <w:pPr>
        <w:spacing w:after="0" w:line="101" w:lineRule="exact"/>
        <w:rPr>
          <w:sz w:val="20"/>
          <w:szCs w:val="20"/>
          <w:color w:val="auto"/>
        </w:rPr>
      </w:pPr>
    </w:p>
    <w:p>
      <w:pPr>
        <w:ind w:left="1100"/>
        <w:spacing w:after="0" w:line="275"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 [ ].</w:t>
      </w:r>
    </w:p>
    <w:p>
      <w:pPr>
        <w:spacing w:after="0" w:line="178"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ind w:left="1100" w:right="260" w:hanging="1083"/>
        <w:spacing w:after="0" w:line="282" w:lineRule="auto"/>
        <w:tabs>
          <w:tab w:leader="none" w:pos="1080" w:val="left"/>
        </w:tabs>
        <w:rPr>
          <w:sz w:val="20"/>
          <w:szCs w:val="20"/>
          <w:color w:val="auto"/>
        </w:rPr>
      </w:pPr>
      <w:r>
        <w:rPr>
          <w:rFonts w:ascii="Arial" w:cs="Arial" w:eastAsia="Arial" w:hAnsi="Arial"/>
          <w:sz w:val="19"/>
          <w:szCs w:val="19"/>
          <w:b w:val="1"/>
          <w:bCs w:val="1"/>
          <w:color w:val="auto"/>
        </w:rPr>
        <w:t>ITEM 7.</w:t>
      </w:r>
      <w:r>
        <w:rPr>
          <w:sz w:val="20"/>
          <w:szCs w:val="20"/>
          <w:color w:val="auto"/>
        </w:rPr>
        <w:tab/>
      </w:r>
      <w:r>
        <w:rPr>
          <w:rFonts w:ascii="Arial" w:cs="Arial" w:eastAsia="Arial" w:hAnsi="Arial"/>
          <w:sz w:val="19"/>
          <w:szCs w:val="19"/>
          <w:b w:val="1"/>
          <w:bCs w:val="1"/>
          <w:color w:val="auto"/>
        </w:rPr>
        <w:t>IDENTIFICATION AND CLASSIFICATION OF THE SUBSIDIARY WHICH ACQUIRED THE SECURITY BEING REPORTED ON BY THE PARENT HOLDING COMPANY:</w:t>
      </w:r>
    </w:p>
    <w:p>
      <w:pPr>
        <w:spacing w:after="0" w:line="34"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spacing w:after="0"/>
        <w:tabs>
          <w:tab w:leader="none" w:pos="1080" w:val="left"/>
        </w:tabs>
        <w:rPr>
          <w:sz w:val="20"/>
          <w:szCs w:val="20"/>
          <w:color w:val="auto"/>
        </w:rPr>
      </w:pPr>
      <w:r>
        <w:rPr>
          <w:rFonts w:ascii="Arial" w:cs="Arial" w:eastAsia="Arial" w:hAnsi="Arial"/>
          <w:sz w:val="19"/>
          <w:szCs w:val="19"/>
          <w:b w:val="1"/>
          <w:bCs w:val="1"/>
          <w:color w:val="auto"/>
        </w:rPr>
        <w:t>ITEM 10.</w:t>
        <w:tab/>
        <w:t>CERTIFICATION:</w:t>
      </w:r>
    </w:p>
    <w:p>
      <w:pPr>
        <w:spacing w:after="0" w:line="101" w:lineRule="exact"/>
        <w:rPr>
          <w:sz w:val="20"/>
          <w:szCs w:val="20"/>
          <w:color w:val="auto"/>
        </w:rPr>
      </w:pPr>
    </w:p>
    <w:p>
      <w:pPr>
        <w:ind w:left="1100" w:right="40"/>
        <w:spacing w:after="0" w:line="259"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2240" w:h="15840" w:orient="portrait"/>
          <w:cols w:equalWidth="0" w:num="1">
            <w:col w:w="11040"/>
          </w:cols>
          <w:pgMar w:left="180" w:top="28" w:right="1020" w:bottom="1440" w:gutter="0" w:footer="0" w:header="0"/>
        </w:sectPr>
      </w:pPr>
    </w:p>
    <w:bookmarkStart w:id="4" w:name="page5"/>
    <w:bookmarkEnd w:id="4"/>
    <w:p>
      <w:pPr>
        <w:ind w:left="38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70485</wp:posOffset>
            </wp:positionH>
            <wp:positionV relativeFrom="page">
              <wp:posOffset>478155</wp:posOffset>
            </wp:positionV>
            <wp:extent cx="2195195" cy="284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5195" cy="284480"/>
                    </a:xfrm>
                    <a:prstGeom prst="rect">
                      <a:avLst/>
                    </a:prstGeom>
                    <a:noFill/>
                  </pic:spPr>
                </pic:pic>
              </a:graphicData>
            </a:graphic>
          </wp:anchor>
        </w:drawing>
        <w:t>CUSIP No.: 87265K102</w:t>
      </w:r>
    </w:p>
    <w:p>
      <w:pPr>
        <w:spacing w:after="0" w:line="200" w:lineRule="exact"/>
        <w:rPr>
          <w:sz w:val="20"/>
          <w:szCs w:val="20"/>
          <w:color w:val="auto"/>
        </w:rPr>
      </w:pPr>
    </w:p>
    <w:p>
      <w:pPr>
        <w:spacing w:after="0" w:line="228" w:lineRule="exact"/>
        <w:rPr>
          <w:sz w:val="20"/>
          <w:szCs w:val="20"/>
          <w:color w:val="auto"/>
        </w:rPr>
      </w:pPr>
    </w:p>
    <w:p>
      <w:pPr>
        <w:ind w:left="4940"/>
        <w:spacing w:after="0"/>
        <w:rPr>
          <w:sz w:val="20"/>
          <w:szCs w:val="20"/>
          <w:color w:val="auto"/>
        </w:rPr>
      </w:pPr>
      <w:r>
        <w:rPr>
          <w:rFonts w:ascii="Arial" w:cs="Arial" w:eastAsia="Arial" w:hAnsi="Arial"/>
          <w:sz w:val="23"/>
          <w:szCs w:val="23"/>
          <w:b w:val="1"/>
          <w:bCs w:val="1"/>
          <w:color w:val="auto"/>
        </w:rPr>
        <w:t>SIGNATURE</w:t>
      </w:r>
    </w:p>
    <w:p>
      <w:pPr>
        <w:spacing w:after="0" w:line="374" w:lineRule="exact"/>
        <w:rPr>
          <w:sz w:val="20"/>
          <w:szCs w:val="20"/>
          <w:color w:val="auto"/>
        </w:rPr>
      </w:pPr>
    </w:p>
    <w:p>
      <w:pPr>
        <w:ind w:left="94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7"/>
                <w:szCs w:val="17"/>
                <w:color w:val="auto"/>
              </w:rPr>
              <w:t>January 31 2019</w:t>
            </w:r>
          </w:p>
        </w:tc>
        <w:tc>
          <w:tcPr>
            <w:tcW w:w="6560" w:type="dxa"/>
            <w:vAlign w:val="bottom"/>
            <w:gridSpan w:val="2"/>
          </w:tcPr>
          <w:p>
            <w:pPr>
              <w:ind w:left="1120"/>
              <w:spacing w:after="0"/>
              <w:rPr>
                <w:sz w:val="20"/>
                <w:szCs w:val="20"/>
                <w:color w:val="auto"/>
              </w:rPr>
            </w:pPr>
            <w:r>
              <w:rPr>
                <w:rFonts w:ascii="Arial" w:cs="Arial" w:eastAsia="Arial" w:hAnsi="Arial"/>
                <w:sz w:val="17"/>
                <w:szCs w:val="17"/>
                <w:color w:val="auto"/>
                <w:w w:val="99"/>
              </w:rPr>
              <w:t>Division of Investment, Department of the Treasury, State of New Jersey</w:t>
            </w:r>
          </w:p>
        </w:tc>
      </w:tr>
      <w:tr>
        <w:trPr>
          <w:trHeight w:val="301"/>
        </w:trPr>
        <w:tc>
          <w:tcPr>
            <w:tcW w:w="2240" w:type="dxa"/>
            <w:vAlign w:val="bottom"/>
          </w:tcPr>
          <w:p>
            <w:pPr>
              <w:spacing w:after="0"/>
              <w:rPr>
                <w:sz w:val="24"/>
                <w:szCs w:val="24"/>
                <w:color w:val="auto"/>
              </w:rPr>
            </w:pPr>
          </w:p>
        </w:tc>
        <w:tc>
          <w:tcPr>
            <w:tcW w:w="1820" w:type="dxa"/>
            <w:vAlign w:val="bottom"/>
          </w:tcPr>
          <w:p>
            <w:pPr>
              <w:ind w:left="1120"/>
              <w:spacing w:after="0"/>
              <w:rPr>
                <w:sz w:val="20"/>
                <w:szCs w:val="20"/>
                <w:color w:val="auto"/>
              </w:rPr>
            </w:pPr>
            <w:r>
              <w:rPr>
                <w:rFonts w:ascii="Arial" w:cs="Arial" w:eastAsia="Arial" w:hAnsi="Arial"/>
                <w:sz w:val="17"/>
                <w:szCs w:val="17"/>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Corey Amon</w:t>
            </w:r>
          </w:p>
        </w:tc>
      </w:tr>
      <w:tr>
        <w:trPr>
          <w:trHeight w:val="292"/>
        </w:trPr>
        <w:tc>
          <w:tcPr>
            <w:tcW w:w="2240" w:type="dxa"/>
            <w:vAlign w:val="bottom"/>
          </w:tcPr>
          <w:p>
            <w:pPr>
              <w:spacing w:after="0"/>
              <w:rPr>
                <w:sz w:val="24"/>
                <w:szCs w:val="24"/>
                <w:color w:val="auto"/>
              </w:rPr>
            </w:pPr>
          </w:p>
        </w:tc>
        <w:tc>
          <w:tcPr>
            <w:tcW w:w="1820" w:type="dxa"/>
            <w:vAlign w:val="bottom"/>
          </w:tcPr>
          <w:p>
            <w:pPr>
              <w:ind w:left="1120"/>
              <w:spacing w:after="0"/>
              <w:rPr>
                <w:sz w:val="20"/>
                <w:szCs w:val="20"/>
                <w:color w:val="auto"/>
              </w:rPr>
            </w:pPr>
            <w:r>
              <w:rPr>
                <w:rFonts w:ascii="Arial" w:cs="Arial" w:eastAsia="Arial" w:hAnsi="Arial"/>
                <w:sz w:val="17"/>
                <w:szCs w:val="17"/>
                <w:color w:val="auto"/>
              </w:rPr>
              <w:t>Name:</w:t>
            </w:r>
          </w:p>
        </w:tc>
        <w:tc>
          <w:tcPr>
            <w:tcW w:w="4740" w:type="dxa"/>
            <w:vAlign w:val="bottom"/>
          </w:tcPr>
          <w:p>
            <w:pPr>
              <w:spacing w:after="0"/>
              <w:rPr>
                <w:sz w:val="20"/>
                <w:szCs w:val="20"/>
                <w:color w:val="auto"/>
              </w:rPr>
            </w:pPr>
            <w:r>
              <w:rPr>
                <w:rFonts w:ascii="Arial" w:cs="Arial" w:eastAsia="Arial" w:hAnsi="Arial"/>
                <w:sz w:val="17"/>
                <w:szCs w:val="17"/>
                <w:color w:val="auto"/>
              </w:rPr>
              <w:t>Corey Amon</w:t>
            </w:r>
          </w:p>
        </w:tc>
      </w:tr>
      <w:tr>
        <w:trPr>
          <w:trHeight w:val="285"/>
        </w:trPr>
        <w:tc>
          <w:tcPr>
            <w:tcW w:w="2240" w:type="dxa"/>
            <w:vAlign w:val="bottom"/>
          </w:tcPr>
          <w:p>
            <w:pPr>
              <w:spacing w:after="0"/>
              <w:rPr>
                <w:sz w:val="24"/>
                <w:szCs w:val="24"/>
                <w:color w:val="auto"/>
              </w:rPr>
            </w:pPr>
          </w:p>
        </w:tc>
        <w:tc>
          <w:tcPr>
            <w:tcW w:w="1820" w:type="dxa"/>
            <w:vAlign w:val="bottom"/>
          </w:tcPr>
          <w:p>
            <w:pPr>
              <w:ind w:left="1120"/>
              <w:spacing w:after="0"/>
              <w:rPr>
                <w:sz w:val="20"/>
                <w:szCs w:val="20"/>
                <w:color w:val="auto"/>
              </w:rPr>
            </w:pPr>
            <w:r>
              <w:rPr>
                <w:rFonts w:ascii="Arial" w:cs="Arial" w:eastAsia="Arial" w:hAnsi="Arial"/>
                <w:sz w:val="17"/>
                <w:szCs w:val="17"/>
                <w:color w:val="auto"/>
              </w:rPr>
              <w:t>Title:</w:t>
            </w:r>
          </w:p>
        </w:tc>
        <w:tc>
          <w:tcPr>
            <w:tcW w:w="4740" w:type="dxa"/>
            <w:vAlign w:val="bottom"/>
          </w:tcPr>
          <w:p>
            <w:pPr>
              <w:spacing w:after="0"/>
              <w:rPr>
                <w:sz w:val="20"/>
                <w:szCs w:val="20"/>
                <w:color w:val="auto"/>
              </w:rPr>
            </w:pPr>
            <w:r>
              <w:rPr>
                <w:rFonts w:ascii="Arial" w:cs="Arial" w:eastAsia="Arial" w:hAnsi="Arial"/>
                <w:sz w:val="17"/>
                <w:szCs w:val="17"/>
                <w:color w:val="auto"/>
              </w:rPr>
              <w:t>Acting Director</w:t>
            </w: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Attention — Intentional misstatements or omissions of fact constitute Federal criminal violations (See 18 U.S.C. 1001).</w:t>
      </w:r>
    </w:p>
    <w:sectPr>
      <w:pgSz w:w="12240" w:h="15840" w:orient="portrait"/>
      <w:cols w:equalWidth="0" w:num="1">
        <w:col w:w="10680"/>
      </w:cols>
      <w:pgMar w:left="120" w:top="8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upperLetter"/>
      <w:start w:val="24"/>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lvl w:ilvl="1">
      <w:lvlJc w:val="left"/>
      <w:lvlText w:val="(%2)"/>
      <w:numFmt w:val="lowerLetter"/>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9"/>
      <w:numFmt w:val="bullet"/>
      <w:start w:val="1"/>
    </w:lvl>
  </w:abstractNum>
  <w:abstractNum w:abstractNumId="6">
    <w:nsid w:val="7545E146"/>
    <w:multiLevelType w:val="hybridMultilevel"/>
    <w:lvl w:ilvl="0">
      <w:lvlJc w:val="left"/>
      <w:lvlText w:val="%1"/>
      <w:numFmt w:val="decimal"/>
      <w:start w:val="10"/>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2019-12-15T14:46:01Z</dcterms:created>
  <dcterms:modified xsi:type="dcterms:W3CDTF">2019-12-15T14:46:01Z</dcterms:modified>
</cp:coreProperties>
</file>