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tbl>
      <w:tblPr>
        <w:tblLayout w:type="fixed"/>
        <w:tblInd w:w="120" w:type="dxa"/>
        <w:tblCellMar>
          <w:top w:w="0" w:type="dxa"/>
          <w:left w:w="0" w:type="dxa"/>
          <w:bottom w:w="0" w:type="dxa"/>
          <w:right w:w="0" w:type="dxa"/>
        </w:tblCellMar>
      </w:tblPr>
      <w:tr>
        <w:trPr>
          <w:trHeight w:val="378"/>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22"/>
                <w:szCs w:val="22"/>
                <w:b w:val="1"/>
                <w:bCs w:val="1"/>
                <w:color w:val="auto"/>
                <w:w w:val="94"/>
              </w:rPr>
              <w:t>(RULE 14a-101)</w:t>
            </w:r>
          </w:p>
        </w:tc>
      </w:tr>
      <w:tr>
        <w:trPr>
          <w:trHeight w:val="219"/>
        </w:trPr>
        <w:tc>
          <w:tcPr>
            <w:tcW w:w="2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r>
      <w:tr>
        <w:trPr>
          <w:trHeight w:val="317"/>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2300" w:type="dxa"/>
            <w:vAlign w:val="bottom"/>
          </w:tcPr>
          <w:p>
            <w:pPr>
              <w:spacing w:after="0"/>
              <w:rPr>
                <w:sz w:val="24"/>
                <w:szCs w:val="24"/>
                <w:color w:val="auto"/>
              </w:rPr>
            </w:pPr>
          </w:p>
        </w:tc>
        <w:tc>
          <w:tcPr>
            <w:tcW w:w="5460" w:type="dxa"/>
            <w:vAlign w:val="bottom"/>
            <w:gridSpan w:val="3"/>
          </w:tcPr>
          <w:p>
            <w:pPr>
              <w:jc w:val="center"/>
              <w:ind w:left="823"/>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334"/>
        </w:trPr>
        <w:tc>
          <w:tcPr>
            <w:tcW w:w="230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460" w:type="dxa"/>
            <w:vAlign w:val="bottom"/>
            <w:gridSpan w:val="3"/>
          </w:tcPr>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30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2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07" w:lineRule="exact"/>
        <w:rPr>
          <w:sz w:val="24"/>
          <w:szCs w:val="24"/>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279"/>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560" w:hanging="904"/>
        <w:spacing w:after="0" w:line="277"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60" w:right="160" w:hanging="544"/>
        <w:spacing w:after="0" w:line="306"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990600</wp:posOffset>
            </wp:positionH>
            <wp:positionV relativeFrom="paragraph">
              <wp:posOffset>-2787650</wp:posOffset>
            </wp:positionV>
            <wp:extent cx="6077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-2487930</wp:posOffset>
            </wp:positionV>
            <wp:extent cx="6077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-2050415</wp:posOffset>
            </wp:positionV>
            <wp:extent cx="6077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-1750695</wp:posOffset>
            </wp:positionV>
            <wp:extent cx="6077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-1450340</wp:posOffset>
            </wp:positionV>
            <wp:extent cx="6077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-653415</wp:posOffset>
            </wp:positionV>
            <wp:extent cx="6077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-396240</wp:posOffset>
            </wp:positionV>
            <wp:extent cx="6077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-139065</wp:posOffset>
            </wp:positionV>
            <wp:extent cx="6077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117475</wp:posOffset>
            </wp:positionV>
            <wp:extent cx="60775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194945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320" w:top="230" w:right="5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5445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 75201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13,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are pleased to invite you to attend the 2021 Annual Meeting of Stockholders of Sixth Street Specialty Lending, Inc. to be held on May 26, 2021, at 1:00 p.m., Eastern Time, on the internet via live webcast at www.virtualshareholdermeeting.com/TSLX2021. In response to continued public health concerns related to the COVID-19 pandemic, and to support the health and well-being of our shareholders and other meeting participants, the 2021 Annual Meeting of Stockholders will be a completely virtual meeting, and stockholders will not be able to attend in person.</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pages include a formal notice of the meeting and our proxy statement. The Notice of Internet Availability of Proxy Materials you received in the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virtually. Please vote your shares as soon as possible through any of the voting options available to you as described in the Notice of Internet Availability of Proxy Materials and this proxy statement.</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You will also receive separate proxy materials for a Special Meeting of Stockholders, which will be held virtually and on the same date stated above, but not at the same time. Please be certain to vote separately each proxy card that you receive from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behalf of management and our Board of Directors, we thank you for your continued support of Sixth Street Specialty Lending, Inc.</w:t>
      </w:r>
    </w:p>
    <w:p>
      <w:pPr>
        <w:spacing w:after="0" w:line="26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13, 2021</w:t>
      </w:r>
    </w:p>
    <w:p>
      <w:pPr>
        <w:sectPr>
          <w:pgSz w:w="11900" w:h="16838" w:orient="portrait"/>
          <w:cols w:equalWidth="0" w:num="1">
            <w:col w:w="10960"/>
          </w:cols>
          <w:pgMar w:left="320" w:top="459" w:right="6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Important Notice Regarding the Availability of Proxy Material for the Annual Meeting of Stockholders to Be Held on May 26, 2021.</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proxy statement and annual report on Form 10-K for the year ended December 31, 2020 are available online at www.proxyvote.com.</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information applicable to the Annual Meeting of Stockholders may be found in the proxy statement and accompanying proxy card:</w:t>
      </w:r>
    </w:p>
    <w:p>
      <w:pPr>
        <w:spacing w:after="0" w:line="154"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control/identification numbers that you need to access proxy material online and to attend and vote at the virtual meeting;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virtually.</w:t>
      </w:r>
    </w:p>
    <w:p>
      <w:pPr>
        <w:spacing w:after="0" w:line="221"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Please keep any control/identification number located on your proxy card in a safe place so it is available for the meeting, as you will need to attend and vote at the virtual meeting.</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54455"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the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NOTICE IS HEREBY GIVEN that the 2021 Annual Meeting of Stockholders of Sixth Street Specialty Lending, Inc. will be held on the internet via live webcast at www.virtualshareholdermeeting.com/TSLX2021 on May 26, 2021, at 1:00 p.m., Eastern Time. In response to continued public health concerns related to the COVID-19 pandemic, and to support the health and well-being of our shareholders and other meeting participants, the 2021 Annual Meeting of Stockholders will be a completely virtual meeting, and stockholders will not be able to attend in person. The 2021 Annual Meeting of Stockholders is being held for the following purposes:</w:t>
      </w:r>
    </w:p>
    <w:p>
      <w:pPr>
        <w:spacing w:after="0" w:line="80" w:lineRule="exact"/>
        <w:rPr>
          <w:sz w:val="20"/>
          <w:szCs w:val="20"/>
          <w:color w:val="auto"/>
        </w:rPr>
      </w:pPr>
    </w:p>
    <w:p>
      <w:pPr>
        <w:ind w:left="560" w:right="260" w:firstLine="419"/>
        <w:spacing w:after="0" w:line="277" w:lineRule="auto"/>
        <w:tabs>
          <w:tab w:leader="none" w:pos="11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Class I directors, each to serve for a three-year term and until a successor has been duly elected and qualified or until the director’s earlier resignation or removal.</w:t>
      </w:r>
    </w:p>
    <w:p>
      <w:pPr>
        <w:spacing w:after="0" w:line="62" w:lineRule="exact"/>
        <w:rPr>
          <w:rFonts w:ascii="Arial" w:cs="Arial" w:eastAsia="Arial" w:hAnsi="Arial"/>
          <w:sz w:val="18"/>
          <w:szCs w:val="18"/>
          <w:color w:val="auto"/>
        </w:rPr>
      </w:pPr>
    </w:p>
    <w:p>
      <w:pPr>
        <w:ind w:left="560" w:right="740" w:firstLine="419"/>
        <w:spacing w:after="0" w:line="277" w:lineRule="auto"/>
        <w:tabs>
          <w:tab w:leader="none" w:pos="11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KPMG LLP as the Company’s independent registered public accounting firm for the fiscal year ending December 31, 2021.</w:t>
      </w:r>
    </w:p>
    <w:p>
      <w:pPr>
        <w:spacing w:after="0" w:line="62" w:lineRule="exact"/>
        <w:rPr>
          <w:rFonts w:ascii="Arial" w:cs="Arial" w:eastAsia="Arial" w:hAnsi="Arial"/>
          <w:sz w:val="18"/>
          <w:szCs w:val="18"/>
          <w:color w:val="auto"/>
        </w:rPr>
      </w:pPr>
    </w:p>
    <w:p>
      <w:pPr>
        <w:ind w:left="560" w:right="760" w:firstLine="419"/>
        <w:spacing w:after="0" w:line="277" w:lineRule="auto"/>
        <w:tabs>
          <w:tab w:leader="none" w:pos="11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2021 Annual Meeting of Stockholders or any postponement or adjournment thereof.</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Only stockholders of record at the close of business on March 31, 2021, are entitled to notice of and to vote at the 2021 Annual Meeting of Stockholders or any postponement or adjournment thereof.</w:t>
      </w:r>
    </w:p>
    <w:p>
      <w:pPr>
        <w:spacing w:after="0" w:line="170"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w:t>
      </w:r>
    </w:p>
    <w:p>
      <w:pPr>
        <w:spacing w:after="0" w:line="17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Your vote is extremely important to us. Whether or not you plan to attend the 2021 Annual Meeting of Stockholders virtually,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Further, from time to time we may repurchase shares of our common stock and are notifying you of this ability as required by applicable securities law. See “Stock Repurchases” in the proxy statement.</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Chief Financial Officer, Chief Compliance Officer and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13, 2021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VIRTUALLY.</w:t>
      </w:r>
    </w:p>
    <w:p>
      <w:pPr>
        <w:sectPr>
          <w:pgSz w:w="11900" w:h="16838" w:orient="portrait"/>
          <w:cols w:equalWidth="0" w:num="1">
            <w:col w:w="10960"/>
          </w:cols>
          <w:pgMar w:left="32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gridSpan w:val="8"/>
            <w:vMerge w:val="restart"/>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Proxy Statement for the 2021 Annual Meeting of Stockholders</w:t>
              </w:r>
            </w:hyperlink>
          </w:p>
        </w:tc>
        <w:tc>
          <w:tcPr>
            <w:tcW w:w="6140" w:type="dxa"/>
            <w:vAlign w:val="bottom"/>
            <w:gridSpan w:val="4"/>
            <w:vMerge w:val="restart"/>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4520" w:type="dxa"/>
            <w:vAlign w:val="bottom"/>
            <w:tcBorders>
              <w:bottom w:val="single" w:sz="8" w:color="0000EE"/>
            </w:tcBorders>
            <w:gridSpan w:val="8"/>
            <w:vMerge w:val="continue"/>
          </w:tcPr>
          <w:p>
            <w:pPr>
              <w:spacing w:after="0"/>
              <w:rPr>
                <w:sz w:val="14"/>
                <w:szCs w:val="14"/>
                <w:color w:val="auto"/>
              </w:rPr>
            </w:pPr>
          </w:p>
        </w:tc>
        <w:tc>
          <w:tcPr>
            <w:tcW w:w="6140" w:type="dxa"/>
            <w:vAlign w:val="bottom"/>
            <w:gridSpan w:val="4"/>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Security Ownership of Certain Beneficial Owners and Management</w:t>
              </w:r>
            </w:hyperlink>
          </w:p>
        </w:tc>
        <w:tc>
          <w:tcPr>
            <w:tcW w:w="57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Proposal No. 1—Election of Directors</w:t>
              </w:r>
            </w:hyperlink>
          </w:p>
        </w:tc>
        <w:tc>
          <w:tcPr>
            <w:tcW w:w="79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Corporate Governance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Proposal No. 2—Ratification of Selection of Independent Registered Public Accounting Firm</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67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Audit Committee Report</w:t>
              </w:r>
            </w:hyperlink>
          </w:p>
        </w:tc>
        <w:tc>
          <w:tcPr>
            <w:tcW w:w="38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Other Business</w:t>
              </w:r>
            </w:hyperlink>
          </w:p>
        </w:tc>
        <w:tc>
          <w:tcPr>
            <w:tcW w:w="680" w:type="dxa"/>
            <w:vAlign w:val="bottom"/>
            <w:tcBorders>
              <w:top w:val="single" w:sz="8" w:color="0000EE"/>
            </w:tcBorders>
            <w:gridSpan w:val="3"/>
          </w:tcPr>
          <w:p>
            <w:pPr>
              <w:spacing w:after="0"/>
              <w:rPr>
                <w:sz w:val="17"/>
                <w:szCs w:val="17"/>
                <w:color w:val="auto"/>
              </w:rPr>
            </w:pPr>
          </w:p>
        </w:tc>
        <w:tc>
          <w:tcPr>
            <w:tcW w:w="88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Stock Repurchases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Stockholder Proposals and Nominations for the 2022 Annual Meeting of Stockholders</w:t>
              </w:r>
            </w:hyperlink>
          </w:p>
        </w:tc>
        <w:tc>
          <w:tcPr>
            <w:tcW w:w="44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Annual Report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2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Householding of Proxy Materials</w:t>
              </w:r>
            </w:hyperlink>
          </w:p>
        </w:tc>
        <w:tc>
          <w:tcPr>
            <w:tcW w:w="82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Privacy Principles</w:t>
              </w:r>
            </w:hyperlink>
          </w:p>
        </w:tc>
        <w:tc>
          <w:tcPr>
            <w:tcW w:w="93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54455"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accompanying proxy is solicited on behalf of the Board of Directors (the “Board”) of Sixth Street Specialty Lending, Inc., which is sometimes referred to in this proxy statement as “TSLX,” “we,” “us,” “our,” or the “Company,” for use at the 2021 Annual Meeting of Stockholders (the “Meeting”) to be held on the internet via live webcast at www.virtualshareholdermeeting.com/TSLX2021 on May 26, 2021, at 1:00 p.m., Eastern Time. In response to continued public health concerns related to the COVID-19 pandemic, and to support the health and well-being of our shareholders and other meeting participants, the Meeting will be a completely virtual meeting, and stockholders will not be able to attend in person. Only holders of record of our common stock at the close of business on March 31, 2021, which is the record date, will be entitled to vote at the Meeting. At the close of business on the record date, we had 72,266,042 shares of common stock outstanding and entitled to vote.</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 April 13, 2021. This proxy statement, including the accompanying form of proxy (collectively, the “Proxy Statement”), and the Company’s Annual Report for the fiscal year ended December 31, 2020 will first be made available to stockholders on or about April 13, 2021. The Annual Report and Proxy Statement can both be accessed online at www.proxyvote.com.</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Class I director candidates nominated by the Board and (2)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selection of KPMG LLP as the Company’s independent registered public accounting firm for the fiscal year ending December 31, 2021. Should any matter not described above be properly presented at the Meeting, the named proxies will vote in accordance with their judgment as permitted.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2021 Annual Meeting of Stockholders is being held for the following purposes:</w:t>
      </w:r>
    </w:p>
    <w:p>
      <w:pPr>
        <w:spacing w:after="0" w:line="225" w:lineRule="exact"/>
        <w:rPr>
          <w:sz w:val="20"/>
          <w:szCs w:val="20"/>
          <w:color w:val="auto"/>
        </w:rPr>
      </w:pPr>
    </w:p>
    <w:p>
      <w:pPr>
        <w:ind w:left="120" w:right="680" w:firstLine="436"/>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three Class I directors, each to serve for a three-year term and until a successor has been duly elected and qualified or until the director’s earlier resignation or removal.</w:t>
      </w:r>
    </w:p>
    <w:p>
      <w:pPr>
        <w:spacing w:after="0" w:line="170" w:lineRule="exact"/>
        <w:rPr>
          <w:rFonts w:ascii="Arial" w:cs="Arial" w:eastAsia="Arial" w:hAnsi="Arial"/>
          <w:sz w:val="18"/>
          <w:szCs w:val="18"/>
          <w:color w:val="auto"/>
        </w:rPr>
      </w:pPr>
    </w:p>
    <w:p>
      <w:pPr>
        <w:ind w:left="740" w:hanging="184"/>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KPMG LLP as the Company’s independent registered public accounting firm for the fiscal year ending December 31,</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2021.</w:t>
      </w:r>
    </w:p>
    <w:p>
      <w:pPr>
        <w:spacing w:after="0" w:line="210" w:lineRule="exact"/>
        <w:rPr>
          <w:rFonts w:ascii="Arial" w:cs="Arial" w:eastAsia="Arial" w:hAnsi="Arial"/>
          <w:sz w:val="16"/>
          <w:szCs w:val="16"/>
          <w:color w:val="auto"/>
        </w:rPr>
      </w:pPr>
    </w:p>
    <w:p>
      <w:pPr>
        <w:ind w:left="740" w:hanging="184"/>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2021 Annual Meeting of Stockholders or any postponement or adjournment</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majority of the outstanding shares of common stock must be present or represented by proxy at the Meeting in order to have a quorum. If you have properly voted by proxy online, by phone, or via mail, you will</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8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ratification of the independent registered public accounting firm. For each of these proposals, “abstain” votes and broker non-votes, if any, though counted for purposes of establishing a quorum, will have no effect on the outcome of the vote.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inspector of elections appointed for the Meeting will separately tabulate affirmative votes, “against” votes or “withhold” votes, as applicable, “abstain” votes and broker non-votes.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or to approve or ratify any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named proxies for the Meeting are Ian Simmonds and Jennifer Gordon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The Company will pay the expenses of soliciting proxies to be voted at the Meeting. The Company has retained Broadridge Investor Communications Solutions, Inc. to assist with the distribution and collection of proxies for a fee of approximately $75,000, plus reimbursement of expenses.</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virtually. However, the mere presence of the stockholder at the Meeting does not revoke the proxy.</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You can contact us by mail sent to the attention of the Secretary of the Company, Ian Simmonds, Sixth Street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or by email at ISimmonds@sixthstreet.com. You can call us by dialing (212) 601-4753. You can access our proxy materials online at www.proxyvote.com.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Attendance and Participation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Company’s Meeting will be conducted virtually on the internet via live webcast at www.virtualshareholdermeeting.com/TSLX2021. Stockholders will not be able to attend the Meeting in person. Stockholders as of the close of business on March 31, 2021, the record date, are entitled to participate in and vote at the Meeting by logging into the webcast. If you have a question pertaining to the business of the Meeting, please submit it in accordance with the procedures described below.</w:t>
      </w:r>
    </w:p>
    <w:p>
      <w:pPr>
        <w:spacing w:after="0" w:line="18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To participate in the virtual Meeting, you will need the 16-digit control number included on your proxy card, your voting instruction form, or the Notice of Internet Availability of Proxy Materials previously mailed or made available to stockholders entitled to vote at the Meeting. If your shares are held for your account by a broker, bank or other institution or nominee, you should follow the instructions provided by your institution or nominee to be able to participate in the Meeting.</w:t>
      </w:r>
    </w:p>
    <w:p>
      <w:pPr>
        <w:spacing w:after="0" w:line="18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Annual Meeting of Stockholders webcast will begin promptly at 1:00 p.m., Eastern Time, and the Special Meeting of Stockholders webcast will begin promptly at 1:30 p.m., Eastern Time. Participants should allow plenty of time to log in prior to the start of the meetings. Online access and check-in will begin at 12:45 p.m., Eastern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part of the virtual Meeting, we will hold a live Q&amp;A session, during which we intend to answer questions as time permits. Questions must comply with the Meeting procedures and be pertinent to the Company, our shareholders and the Meeting matters.</w:t>
      </w:r>
    </w:p>
    <w:p>
      <w:pPr>
        <w:spacing w:after="0" w:line="72" w:lineRule="exact"/>
        <w:rPr>
          <w:sz w:val="20"/>
          <w:szCs w:val="20"/>
          <w:color w:val="auto"/>
        </w:rPr>
      </w:pPr>
    </w:p>
    <w:p>
      <w:pPr>
        <w:ind w:left="1080" w:right="200" w:hanging="424"/>
        <w:spacing w:after="0" w:line="26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If you wish to submit a question in advance of the virtual Meeting, </w:t>
      </w:r>
      <w:r>
        <w:rPr>
          <w:rFonts w:ascii="Arial" w:cs="Arial" w:eastAsia="Arial" w:hAnsi="Arial"/>
          <w:sz w:val="18"/>
          <w:szCs w:val="18"/>
          <w:color w:val="auto"/>
        </w:rPr>
        <w:t>you may do so by visiting www.proxyvote.com. You should have</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card, voting instruction form or Notice of Internet Availability of Proxy Materials in hand when you access the website and follow the instructions. Questions may be submitted beginning on April 13, 2021.</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360" w:hanging="424"/>
        <w:spacing w:after="0" w:line="282"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If you wish to ask a question during the virtual Meeting, </w:t>
      </w:r>
      <w:r>
        <w:rPr>
          <w:rFonts w:ascii="Arial" w:cs="Arial" w:eastAsia="Arial" w:hAnsi="Arial"/>
          <w:sz w:val="18"/>
          <w:szCs w:val="18"/>
          <w:color w:val="auto"/>
        </w:rPr>
        <w:t>log in to the virtual Meeting website using your 16-digit control number</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on your proxy card and follow the instructions on the website.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Questions pertinent to the business of the Meeting will be read aloud and answered during the virtual Meeting, subject to time constraints.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List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list of our stockholders of record entitled to vote at the Meeting will be made available for viewing by stockholders for any purpose germane to the Meeting. Beginning 15 minutes prior to, and during, the Meeting, the stockholder list will be viewable at www.virtualshareholdermeeting.com/TSLX2021.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Technical Difficulties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Technical support will be available on the virtual meeting platform at www.virtualshareholdermeeting.com/TSLX2021 beginning at 12:45 p.m., Eastern Time on May 26, 2021 through the conclusion of the Meeting. You may also contact technical service (toll-free) at 844-986-0822 (US) or 303-562-9302 (International).</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320" w:top="459" w:right="5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2021,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percentage ownership is based on 72,266,042 shares of common stock outstanding as of March 31, 2021.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7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of Individual or Identity of Group</w:t>
            </w:r>
          </w:p>
        </w:tc>
        <w:tc>
          <w:tcPr>
            <w:tcW w:w="5660" w:type="dxa"/>
            <w:vAlign w:val="bottom"/>
            <w:vMerge w:val="restart"/>
          </w:tcPr>
          <w:p>
            <w:pPr>
              <w:spacing w:after="0"/>
              <w:rPr>
                <w:sz w:val="12"/>
                <w:szCs w:val="12"/>
                <w:color w:val="auto"/>
              </w:rPr>
            </w:pP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78"/>
        </w:trPr>
        <w:tc>
          <w:tcPr>
            <w:tcW w:w="248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172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89"/>
        </w:trPr>
        <w:tc>
          <w:tcPr>
            <w:tcW w:w="8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w:t>
            </w:r>
            <w:r>
              <w:rPr>
                <w:rFonts w:ascii="Arial" w:cs="Arial" w:eastAsia="Arial" w:hAnsi="Arial"/>
                <w:sz w:val="15"/>
                <w:szCs w:val="15"/>
                <w:color w:val="auto"/>
              </w:rPr>
              <w:t>(2)</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50,207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Michael Fishman</w:t>
            </w:r>
            <w:r>
              <w:rPr>
                <w:rFonts w:ascii="Arial" w:cs="Arial" w:eastAsia="Arial" w:hAnsi="Arial"/>
                <w:sz w:val="15"/>
                <w:szCs w:val="15"/>
                <w:color w:val="auto"/>
              </w:rPr>
              <w:t>(3)</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36,366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Jennifer Gordon</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David Stiepleman (Director Nominee)</w:t>
            </w:r>
            <w:r>
              <w:rPr>
                <w:rFonts w:ascii="Arial" w:cs="Arial" w:eastAsia="Arial" w:hAnsi="Arial"/>
                <w:sz w:val="15"/>
                <w:szCs w:val="15"/>
                <w:color w:val="auto"/>
              </w:rPr>
              <w:t>(4)</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11,079</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Hurley Doddy</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12,577</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Richard Higginbotham (Director Nominee)</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John Ross</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35,000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Judy Slotkin</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7,500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Ronald Tanemura (Director Nominee)</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86,516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3,235</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Robert (Bo) Stanley</w:t>
            </w:r>
            <w:r>
              <w:rPr>
                <w:rFonts w:ascii="Arial" w:cs="Arial" w:eastAsia="Arial" w:hAnsi="Arial"/>
                <w:sz w:val="15"/>
                <w:szCs w:val="15"/>
                <w:color w:val="auto"/>
              </w:rPr>
              <w:t>(5)</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14,907</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(15 persons)</w:t>
            </w:r>
            <w:r>
              <w:rPr>
                <w:rFonts w:ascii="Arial" w:cs="Arial" w:eastAsia="Arial" w:hAnsi="Arial"/>
                <w:sz w:val="15"/>
                <w:szCs w:val="15"/>
                <w:color w:val="auto"/>
              </w:rPr>
              <w:t>(6)(7)</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2,958,256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State Teachers Retirement Board of Ohio</w:t>
            </w:r>
            <w:r>
              <w:rPr>
                <w:rFonts w:ascii="Arial" w:cs="Arial" w:eastAsia="Arial" w:hAnsi="Arial"/>
                <w:sz w:val="15"/>
                <w:szCs w:val="15"/>
                <w:color w:val="auto"/>
              </w:rPr>
              <w:t>(8)</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6,193,363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540" w:right="20" w:hanging="424"/>
        <w:spacing w:after="0" w:line="268"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5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18,792 shares of common stock beneficially owned by Mr. Easterly have been pledged as security in connection with a line of credit with a third party financial institution unaffiliated with the Company.</w:t>
      </w:r>
    </w:p>
    <w:p>
      <w:pPr>
        <w:spacing w:after="0" w:line="1"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36,366 shares of common stock beneficially owned by Mr. Fishman have been pledged as security in connection with a line of credit with a third party financial institution unaffiliated with the Company.</w:t>
      </w:r>
    </w:p>
    <w:p>
      <w:pPr>
        <w:ind w:left="54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5,544 shares of common stock beneficially owned by Mr. Stiepleman have been pledged as security in connection with a line of credit with a third party financial institution unaffiliated with the Company.</w:t>
      </w:r>
    </w:p>
    <w:p>
      <w:pPr>
        <w:ind w:left="540" w:right="26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3,907 shares of common stock beneficially owned by Mr. Stanley have been pledged as security in connection with a line of credit with a third party financial institution unaffiliated with the Company.</w:t>
      </w:r>
    </w:p>
    <w:p>
      <w:pPr>
        <w:ind w:left="540" w:right="14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64,609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Sixth Street Specialty Lending Advisers, LLC holds 2,716,977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Lending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TSSP Holdco Management, he may be deemed to beneficially own the Sixth Street Specialty Lending Advisers Shares. Mr. Waxman disclaims beneficial ownership of the Sixth Street Specialty Lending Advisers Shares except to the extent of his pecuniary interest therein.</w:t>
      </w:r>
    </w:p>
    <w:p>
      <w:pPr>
        <w:spacing w:after="0" w:line="3" w:lineRule="exact"/>
        <w:rPr>
          <w:rFonts w:ascii="Arial" w:cs="Arial" w:eastAsia="Arial" w:hAnsi="Arial"/>
          <w:sz w:val="18"/>
          <w:szCs w:val="18"/>
          <w:color w:val="auto"/>
        </w:rPr>
      </w:pPr>
    </w:p>
    <w:p>
      <w:pPr>
        <w:ind w:left="540" w:right="40" w:hanging="424"/>
        <w:spacing w:after="0" w:line="290"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upon a Schedule 13G filed with the SEC on January 12, 2021 by OTR—Nominee Name for The State Teachers Retirement Board of Ohio, 31640-1810. The address of the State Teachers Retirement Board of Ohio is 275 East Broad Street, Columbus, OH 43215.</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Pursuant to our certificate of incorporation, our Board consists of nine members. The Board is divided into three classes, with the members of each class each serving staggered, three-year terms. The terms of our Class I directors will expire at the Meeting; the terms of our Class II directors will expire at the 2022 annual meeting of stockholders; and the terms of our Class III directors will expire at the 2023 annual meeting of stockholders.</w:t>
      </w:r>
    </w:p>
    <w:p>
      <w:pPr>
        <w:spacing w:after="0" w:line="149"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Board has nominated Richard Higginbotham, David Stiepleman and Ronald Tanemura, each to serve until his successor is duly elected and qualified at the annual meeting of stockholders held in 2024 or until his earlier death, resignation or removal. Messrs. Higginbotham, Stiepleman and Tanemura are currently directors of TSLX.</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Messrs. Higginbotham, Stiepleman and Tanemura have consented to being named in this proxy statement and to serving as directors if elected at the Meeting. If, for any reason, any of them become unable or unwilling to serve at the time of the Meeting, the persons named as proxies in the proxy will have the authority to vote for a substitute nominee or nominees. We do not anticipate that Messrs. Higginbotham, Stiepleman and Tanemura will be unable or unwilling to serve.</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Board has determined that Messrs. Higginbotham and Tanemura are not “interested persons” of the Company, of the Adviser, or of any of their respective affiliates as defined in Section 2(a)(19) of the 1940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recommends that stockholders vote “FOR” the Company’s nominees for Class I Director.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Set forth below are brief biographies of Messrs. Higginbotham, Stiepleman and Tanemura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Nominees for Election as Class I Director</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Age</w:t>
            </w:r>
          </w:p>
        </w:tc>
        <w:tc>
          <w:tcPr>
            <w:tcW w:w="4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Position</w:t>
            </w: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Expiration of Term</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Director Since</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360" w:type="dxa"/>
            <w:vAlign w:val="bottom"/>
            <w:tcBorders>
              <w:top w:val="single" w:sz="8" w:color="CCEEFF"/>
            </w:tcBorders>
            <w:shd w:val="clear" w:color="auto" w:fill="CCEEFF"/>
          </w:tcPr>
          <w:p>
            <w:pPr>
              <w:spacing w:after="0"/>
              <w:rPr>
                <w:sz w:val="18"/>
                <w:szCs w:val="18"/>
                <w:color w:val="auto"/>
              </w:rPr>
            </w:pPr>
          </w:p>
        </w:tc>
        <w:tc>
          <w:tcPr>
            <w:tcW w:w="4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Director (Independent)</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4"/>
              </w:rPr>
              <w:t>2021</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David Stiepleman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360" w:type="dxa"/>
            <w:vAlign w:val="bottom"/>
          </w:tcPr>
          <w:p>
            <w:pPr>
              <w:spacing w:after="0"/>
              <w:rPr>
                <w:sz w:val="18"/>
                <w:szCs w:val="18"/>
                <w:color w:val="auto"/>
              </w:rPr>
            </w:pPr>
          </w:p>
        </w:tc>
        <w:tc>
          <w:tcPr>
            <w:tcW w:w="46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Director (Interested) and Vice President</w:t>
            </w: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2021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2019</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36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Director (Independent)</w:t>
            </w:r>
          </w:p>
        </w:tc>
        <w:tc>
          <w:tcPr>
            <w:tcW w:w="16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r>
    </w:tbl>
    <w:p>
      <w:pPr>
        <w:spacing w:after="0" w:line="198"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TSLX in March 2011. From September 2010, he was a director of Healthcare Finance Group</w:t>
      </w:r>
      <w:r>
        <w:rPr>
          <w:rFonts w:ascii="Arial" w:cs="Arial" w:eastAsia="Arial" w:hAnsi="Arial"/>
          <w:sz w:val="16"/>
          <w:szCs w:val="16"/>
          <w:b w:val="1"/>
          <w:bCs w:val="1"/>
          <w:color w:val="auto"/>
        </w:rPr>
        <w:t xml:space="preserve"> </w:t>
      </w:r>
      <w:r>
        <w:rPr>
          <w:rFonts w:ascii="Arial" w:cs="Arial" w:eastAsia="Arial" w:hAnsi="Arial"/>
          <w:sz w:val="16"/>
          <w:szCs w:val="16"/>
          <w:color w:val="auto"/>
        </w:rPr>
        <w:t>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60"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was elected a director of TSLX in September 2019. Mr. Stiepleman is a Vice President of TSLX. He is a Co-Founding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Co-President and Chief Operating Officer of Sixth Street.</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Mr. Stiepleman has been a cross-border corporate lawyer, senior executive and business builder for over 20 years, starting and running businesses, and representing clients, in the U.S., Europe and Asia. From 2007 to 2010, Mr. Stiepleman was a Managing Director and the Deputy General Counsel of Fortress Investment Group LLC, where he was the lead lawyer responsible for that firm’s new business initiatives. Prior to that, from 2003 to 2007, Mr. Stiepleman was lead counsel to the Americas Special Situations Group and the Mortgages Department at Goldman, Sachs &amp; Co. Prior to Goldman Sachs, Mr. Stiepleman was a lawyer at Cleary Gottlieb Steen &amp; Hamilton LLP where he represented corporates, funds and sovereigns in mergers and acquisitions and fund formation in the United States and Europe. Mr. Stiepleman is a strategic advisor to Concrete Rose, an early stage investment platform deploying financial and social capital to underrepresented founders of color. He also serves on the Advisory Council for Mt. Tamalpais College (f/k/a Prison University Project), a college-degree awarding program at San Quentin Prison. He is a member of the Alumni Trustee Nominating Committee for the Amherst College Board of Trustees. Mr. Stiepleman received a B.A. in French and Political Science from Amherst College and a J.D. from Columbia University. Mr. Stiepleman’s legal, regulatory and operational experience provides the Board with valuable knowledge and guidance.</w:t>
      </w:r>
    </w:p>
    <w:p>
      <w:pPr>
        <w:spacing w:after="0" w:line="16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color w:val="auto"/>
        </w:rPr>
        <w:t xml:space="preserve">Ronald Tanemura </w:t>
      </w:r>
      <w:r>
        <w:rPr>
          <w:rFonts w:ascii="Arial" w:cs="Arial" w:eastAsia="Arial" w:hAnsi="Arial"/>
          <w:sz w:val="17"/>
          <w:szCs w:val="17"/>
          <w:color w:val="auto"/>
        </w:rPr>
        <w:t>was elected a director of TSLX in March 2011. Since 2012, Mr. Tanemura has served as a director of post-reorganization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Lehman Brothers Holdings Inc. in New York. Also, from 2012 to 2019, he served as a non-executive director of ICE Clear Credit in Chicago and, from 2009 to 2019, he served as a non-executive director of ICE Clear Europe in London, both wholly owned subsidiaries of Intercontinental 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Incumbent Class II Directors: Term Expiring 2023</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060" w:type="dxa"/>
            <w:vAlign w:val="bottom"/>
          </w:tcPr>
          <w:p>
            <w:pPr>
              <w:spacing w:after="0"/>
              <w:rPr>
                <w:sz w:val="16"/>
                <w:szCs w:val="16"/>
                <w:color w:val="auto"/>
              </w:rPr>
            </w:pPr>
          </w:p>
        </w:tc>
        <w:tc>
          <w:tcPr>
            <w:tcW w:w="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Age</w:t>
            </w:r>
          </w:p>
        </w:tc>
        <w:tc>
          <w:tcPr>
            <w:tcW w:w="4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Position</w:t>
            </w: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Expiration of Term</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Director Since</w:t>
            </w: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Hurley Doddy</w:t>
            </w: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36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Director (Independent)</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4"/>
              </w:rPr>
              <w:t>2023</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Joshua Easterly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360" w:type="dxa"/>
            <w:vAlign w:val="bottom"/>
          </w:tcPr>
          <w:p>
            <w:pPr>
              <w:spacing w:after="0"/>
              <w:rPr>
                <w:sz w:val="18"/>
                <w:szCs w:val="18"/>
                <w:color w:val="auto"/>
              </w:rPr>
            </w:pPr>
          </w:p>
        </w:tc>
        <w:tc>
          <w:tcPr>
            <w:tcW w:w="48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Chairman, Director (Interested) and Chief Executive Officer</w:t>
            </w: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2023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36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Director (Interested) and Vice President</w:t>
            </w:r>
          </w:p>
        </w:tc>
        <w:tc>
          <w:tcPr>
            <w:tcW w:w="16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2023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r>
    </w:tbl>
    <w:p>
      <w:pPr>
        <w:spacing w:after="0" w:line="198"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b w:val="1"/>
          <w:bCs w:val="1"/>
          <w:color w:val="auto"/>
        </w:rPr>
        <w:t xml:space="preserve">Hurley Doddy </w:t>
      </w:r>
      <w:r>
        <w:rPr>
          <w:rFonts w:ascii="Arial" w:cs="Arial" w:eastAsia="Arial" w:hAnsi="Arial"/>
          <w:sz w:val="17"/>
          <w:szCs w:val="17"/>
          <w:color w:val="auto"/>
        </w:rPr>
        <w:t>was elected a director of TSLX in January 2019. Mr. Doddy is a Managing Director, Founding Partner and Co-Chief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Emerging Capital Partners, a private equity fund manager focused on Africa. Prior to founding Emerging Capital Partners in 1999, Mr. Doddy was an Executive Director at Sumitomo Finance International in London. Mr. Doddy’s career in finance began at Salomon Brothers in 1984, lasting over 14 years with assignments in New York, Tokyo, and Sao Paulo.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173"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Chief Executive Officer of TSLX in January 2018 and elected a director and Chairman of TSLX in March 2011.</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his appointment, Mr. Easterly served as a Vice President of TSLX since March 2011 and as the Co-Chief Executive Officer of TSLX since December 2013, along with Michael Fishman. Mr. Easterly is a Co-Founding Partner and Co-President of Sixth Street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17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 xml:space="preserve">Michael Fishman </w:t>
      </w:r>
      <w:r>
        <w:rPr>
          <w:rFonts w:ascii="Arial" w:cs="Arial" w:eastAsia="Arial" w:hAnsi="Arial"/>
          <w:sz w:val="17"/>
          <w:szCs w:val="17"/>
          <w:color w:val="auto"/>
        </w:rPr>
        <w:t>was elected a director of TSLX in April 2011. From April 2011 to December 2013, he served as Chief Executive Officer,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from December 2013 to December 2017, he served as Co-Chief Executive Officer with Joshua Easterly. Mr. Fishman is a Vice President of TSLX and is a Sixth Street Partner. He has been an executive in corporate lending for more than 30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Incumbent Class II Directors: Term Expiring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Age</w:t>
            </w:r>
          </w:p>
        </w:tc>
        <w:tc>
          <w:tcPr>
            <w:tcW w:w="4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Position</w:t>
            </w: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Expiration of Term</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Director Since</w:t>
            </w: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Jennifer Gordon</w:t>
            </w: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Director (Interested) and Vice President</w:t>
            </w:r>
          </w:p>
        </w:tc>
        <w:tc>
          <w:tcPr>
            <w:tcW w:w="3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John Ross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380" w:type="dxa"/>
            <w:vAlign w:val="bottom"/>
          </w:tcPr>
          <w:p>
            <w:pPr>
              <w:spacing w:after="0"/>
              <w:rPr>
                <w:sz w:val="18"/>
                <w:szCs w:val="18"/>
                <w:color w:val="auto"/>
              </w:rPr>
            </w:pPr>
          </w:p>
        </w:tc>
        <w:tc>
          <w:tcPr>
            <w:tcW w:w="46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Director (Independent)</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2022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Judy Slotkin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38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Director (Independent)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2019</w:t>
            </w:r>
          </w:p>
        </w:tc>
      </w:tr>
    </w:tbl>
    <w:p>
      <w:pPr>
        <w:spacing w:after="0" w:line="19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color w:val="auto"/>
        </w:rPr>
        <w:t xml:space="preserve">Jennifer Gordon </w:t>
      </w:r>
      <w:r>
        <w:rPr>
          <w:rFonts w:ascii="Arial" w:cs="Arial" w:eastAsia="Arial" w:hAnsi="Arial"/>
          <w:sz w:val="17"/>
          <w:szCs w:val="17"/>
          <w:color w:val="auto"/>
        </w:rPr>
        <w:t>was elected a director of TSLX in January 2019. Ms. Gordon is a Vice President of TSLX and is a Partner, Deputy Chief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Officer and Chief Compliance Officer of Sixth Street. Until Ms. Gordon’s election to the Company’s Board, she also served as the Chief Compliance Officer and Secretary of the Company since 2015. Prior to joining Sixth Street, from 2004 to 2014, she held various positions at Goldman, Sachs &amp; Co., including most recently as a Managing Director co-heading Americas Securities Division Compliance, and was a member of the Securities Division Risk Committee, the Securities Division Client and Business Standards Committee and the Global Special Situations Group Investment Committee.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w:t>
      </w:r>
    </w:p>
    <w:p>
      <w:pPr>
        <w:spacing w:after="0" w:line="17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John Ross </w:t>
      </w:r>
      <w:r>
        <w:rPr>
          <w:rFonts w:ascii="Arial" w:cs="Arial" w:eastAsia="Arial" w:hAnsi="Arial"/>
          <w:sz w:val="17"/>
          <w:szCs w:val="17"/>
          <w:color w:val="auto"/>
        </w:rPr>
        <w:t>was elected a director of TSLX in March 2011. From 2003 to 2011, Mr. Ross was a director and member of the board risk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Judy Slotkin was elected a director of TSLX in September 2019. Ms. Slotkin retired as a Managing Director from Bank of America in 2015, where 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with valuable knowledge and insight in the financial services sector.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Owned by Directors and Nominees in the Company</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sets forth the dollar range of equity securities of the Company beneficially owned by each director or director nominee as of March 31, 2021. The Company is not part of a “family of investment companies,” as that term is defined in the 1940 Act.</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Dollar Range of our Common Stock</w:t>
            </w:r>
          </w:p>
        </w:tc>
      </w:tr>
      <w:tr>
        <w:trPr>
          <w:trHeight w:val="171"/>
        </w:trPr>
        <w:tc>
          <w:tcPr>
            <w:tcW w:w="6100" w:type="dxa"/>
            <w:vAlign w:val="bottom"/>
          </w:tcPr>
          <w:p>
            <w:pPr>
              <w:spacing w:after="0"/>
              <w:rPr>
                <w:sz w:val="14"/>
                <w:szCs w:val="14"/>
                <w:color w:val="auto"/>
              </w:rPr>
            </w:pPr>
          </w:p>
        </w:tc>
        <w:tc>
          <w:tcPr>
            <w:tcW w:w="2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 xml:space="preserve">Beneficially Owned </w:t>
            </w:r>
            <w:r>
              <w:rPr>
                <w:rFonts w:ascii="Arial" w:cs="Arial" w:eastAsia="Arial" w:hAnsi="Arial"/>
                <w:sz w:val="12"/>
                <w:szCs w:val="12"/>
                <w:b w:val="1"/>
                <w:bCs w:val="1"/>
                <w:color w:val="auto"/>
                <w:w w:val="93"/>
              </w:rPr>
              <w:t>(1) (2)</w:t>
            </w: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Joshua Easterly</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Michael Fishman</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Jennifer Gordon</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David Stiepleman (Director Nominee)</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Hurley Doddy</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Richard Higginbotham (Director Nominee)</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John Ross</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Judy Slotkin</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Ronald Tanemura (Director Nominee)</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540" w:right="180" w:hanging="424"/>
        <w:spacing w:after="0" w:line="26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March 31, 2021, multiplied by the closing sale price of the Company’s common stock as reported on the New York Stock Exchange (“NYSE”) as of March 31,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Litigation Involving Directors and Nominees Adverse to the Company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Executive Officers Who Are Not Directors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420" w:type="dxa"/>
            <w:vAlign w:val="bottom"/>
            <w:gridSpan w:val="2"/>
          </w:tcPr>
          <w:p>
            <w:pPr>
              <w:ind w:left="920"/>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Position</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Officer Since</w:t>
            </w:r>
          </w:p>
        </w:tc>
      </w:t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Graf</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22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Vice President and Principal Accounting Officer</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Craig Hamrah</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7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Vice President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2016</w:t>
            </w: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Vice President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2014</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Ian Simmonds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7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Chief Financial Officer, Chief Compliance Officer and Secretary</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2015</w:t>
            </w: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(Bo) Stanley</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President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2016</w:t>
            </w: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20"/>
                <w:szCs w:val="20"/>
                <w:color w:val="auto"/>
              </w:rPr>
            </w:pPr>
          </w:p>
        </w:tc>
        <w:tc>
          <w:tcPr>
            <w:tcW w:w="7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Vice President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r>
    </w:tbl>
    <w:p>
      <w:pPr>
        <w:spacing w:after="0" w:line="183" w:lineRule="exact"/>
        <w:rPr>
          <w:sz w:val="20"/>
          <w:szCs w:val="20"/>
          <w:color w:val="auto"/>
        </w:rPr>
      </w:pPr>
    </w:p>
    <w:p>
      <w:pPr>
        <w:ind w:left="120" w:right="20" w:firstLine="440"/>
        <w:spacing w:after="0" w:line="258" w:lineRule="auto"/>
        <w:rPr>
          <w:sz w:val="20"/>
          <w:szCs w:val="20"/>
          <w:color w:val="auto"/>
        </w:rPr>
      </w:pPr>
      <w:r>
        <w:rPr>
          <w:rFonts w:ascii="Arial" w:cs="Arial" w:eastAsia="Arial" w:hAnsi="Arial"/>
          <w:sz w:val="18"/>
          <w:szCs w:val="18"/>
          <w:b w:val="1"/>
          <w:bCs w:val="1"/>
          <w:color w:val="auto"/>
        </w:rPr>
        <w:t xml:space="preserve">Michael Graf </w:t>
      </w:r>
      <w:r>
        <w:rPr>
          <w:rFonts w:ascii="Arial" w:cs="Arial" w:eastAsia="Arial" w:hAnsi="Arial"/>
          <w:sz w:val="18"/>
          <w:szCs w:val="18"/>
          <w:color w:val="auto"/>
        </w:rPr>
        <w:t>is a Vice President and Principal Accounting Officer of TSLX. Mr. Graf has been TSLX’s Controller since 2013. From 2010 to</w:t>
      </w:r>
      <w:r>
        <w:rPr>
          <w:rFonts w:ascii="Arial" w:cs="Arial" w:eastAsia="Arial" w:hAnsi="Arial"/>
          <w:sz w:val="18"/>
          <w:szCs w:val="18"/>
          <w:b w:val="1"/>
          <w:bCs w:val="1"/>
          <w:color w:val="auto"/>
        </w:rPr>
        <w:t xml:space="preserve"> </w:t>
      </w:r>
      <w:r>
        <w:rPr>
          <w:rFonts w:ascii="Arial" w:cs="Arial" w:eastAsia="Arial" w:hAnsi="Arial"/>
          <w:sz w:val="18"/>
          <w:szCs w:val="18"/>
          <w:color w:val="auto"/>
        </w:rPr>
        <w:t>2013, 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183"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b w:val="1"/>
          <w:bCs w:val="1"/>
          <w:color w:val="auto"/>
        </w:rPr>
        <w:t xml:space="preserve">Craig Hamrah </w:t>
      </w:r>
      <w:r>
        <w:rPr>
          <w:rFonts w:ascii="Arial" w:cs="Arial" w:eastAsia="Arial" w:hAnsi="Arial"/>
          <w:sz w:val="18"/>
          <w:szCs w:val="18"/>
          <w:color w:val="auto"/>
        </w:rPr>
        <w:t>is a Vice President of TSLX, Senior Credit Underwriter of the Adviser and Managing Director of Sixth Street. Mr. Hamrah was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with Silver Point Capital, where he was a senior deal underwriter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83" w:lineRule="exact"/>
        <w:rPr>
          <w:sz w:val="20"/>
          <w:szCs w:val="20"/>
          <w:color w:val="auto"/>
        </w:rPr>
      </w:pPr>
    </w:p>
    <w:p>
      <w:pPr>
        <w:ind w:left="120" w:right="200" w:firstLine="440"/>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 Co-Founding Partner of Sixth Street and has also been the Chief Risk Officer since 2013,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the 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83"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b w:val="1"/>
          <w:bCs w:val="1"/>
          <w:color w:val="auto"/>
        </w:rPr>
        <w:t xml:space="preserve">Ian Simmonds </w:t>
      </w:r>
      <w:r>
        <w:rPr>
          <w:rFonts w:ascii="Arial" w:cs="Arial" w:eastAsia="Arial" w:hAnsi="Arial"/>
          <w:sz w:val="17"/>
          <w:szCs w:val="17"/>
          <w:color w:val="auto"/>
        </w:rPr>
        <w:t>is the Chief Financial Officer, Chief Compliance Officer and Secretary of TSLX and a Managing Director of Sixth Street. From</w:t>
      </w:r>
      <w:r>
        <w:rPr>
          <w:rFonts w:ascii="Arial" w:cs="Arial" w:eastAsia="Arial" w:hAnsi="Arial"/>
          <w:sz w:val="17"/>
          <w:szCs w:val="17"/>
          <w:b w:val="1"/>
          <w:bCs w:val="1"/>
          <w:color w:val="auto"/>
        </w:rPr>
        <w:t xml:space="preserve"> </w:t>
      </w:r>
      <w:r>
        <w:rPr>
          <w:rFonts w:ascii="Arial" w:cs="Arial" w:eastAsia="Arial" w:hAnsi="Arial"/>
          <w:sz w:val="17"/>
          <w:szCs w:val="17"/>
          <w:color w:val="auto"/>
        </w:rPr>
        <w:t>2005 to 2015, Mr. Simmonds was a member of 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72"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b w:val="1"/>
          <w:bCs w:val="1"/>
          <w:color w:val="auto"/>
        </w:rPr>
        <w:t xml:space="preserve">Robert (“Bo”) Stanley </w:t>
      </w:r>
      <w:r>
        <w:rPr>
          <w:rFonts w:ascii="Arial" w:cs="Arial" w:eastAsia="Arial" w:hAnsi="Arial"/>
          <w:sz w:val="18"/>
          <w:szCs w:val="18"/>
          <w:color w:val="auto"/>
        </w:rPr>
        <w:t>is President of TSLX, a Partner of Sixth Street, and co-head of Sixth Street Growth. Mr. Stanley focuses on originating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in the software, payment systems, data infrastructure and business services sectors. Mr. Stanley was previously with Wells Fargo Capital Finance, a provider of 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 xml:space="preserve">Alan Waxman </w:t>
      </w:r>
      <w:r>
        <w:rPr>
          <w:rFonts w:ascii="Arial" w:cs="Arial" w:eastAsia="Arial" w:hAnsi="Arial"/>
          <w:sz w:val="16"/>
          <w:szCs w:val="16"/>
          <w:color w:val="auto"/>
        </w:rPr>
        <w:t>is a Vice President of TSLX. Mr. Waxman is a Co-Founding Partner, Chief Executive Officer and Chief Investment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Sixth Street. He has served as Managing Partner and Chief Investment Officer of Sixth Street and Co-Chief Investment Officer of the Adviser since inception. Prior to 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Concrete Rose, an early stage investment platform deploying financial and social capital to underrepresented founders of color. He and other Sixth Street team members began advising Concrete Rose leadership on the firm’s formation in 2018 and Sixth Street is a Founding Strategic Partner. He holds a B.A. in International Relations from the University of Pennsylvania and currently serves on the Board of Overseers for the University of Pennsylvania College of Arts and Sciences. He also serves on the Board of Directors for The Tipping Point Community and the Advisory Council for the Boys and Girls Club of the Peninsula, which are both focused on fighting poverty and inequality of opportunity in the San Francisco Bay Area.</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Pursuant to our certificate of incorporation and our bylaws, our Board consists of nine members. Pursuant to our bylaws, the Board may increase or decrease the number of directors to no fewer than four and no greater than nine. The Board is divided into three classes, with the members of each class each serving staggered, three-year terms. The terms of our Class I directors will expire at the Meeting; the terms of our Class II directors will expire at the 2022 annual meeting of stockholders; and the terms of our Class III directors will expire at the 2023 annual meeting of stockholders.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w:t>
      </w:r>
    </w:p>
    <w:p>
      <w:pPr>
        <w:spacing w:after="0" w:line="18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Doddy, Higginbotham, Ross,</w:t>
      </w:r>
    </w:p>
    <w:p>
      <w:pPr>
        <w:ind w:left="120" w:right="80"/>
        <w:spacing w:after="0" w:line="295" w:lineRule="auto"/>
        <w:rPr>
          <w:sz w:val="20"/>
          <w:szCs w:val="20"/>
          <w:color w:val="auto"/>
        </w:rPr>
      </w:pPr>
      <w:r>
        <w:rPr>
          <w:rFonts w:ascii="Arial" w:cs="Arial" w:eastAsia="Arial" w:hAnsi="Arial"/>
          <w:sz w:val="16"/>
          <w:szCs w:val="16"/>
          <w:color w:val="auto"/>
        </w:rPr>
        <w:t>Ms. Slotkin and Mr. Tanemura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 A majority of the voting members of the Risk Management Committee are Independent Directors.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Messrs. Easterly, Fishman, Ms. Gordon and Mr. Stiepleman are considered “interested persons” (as defined in the 1940 Act) of the Company since both of them are employed by the Adviser. See “Proposal No. 1 Election of Directors – Biographical Information.”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Board met four times in 2020 and acted on various occasions by written consent. Our Board also holds informal periodic telephonic update meetings. No incumbent director attended fewer than 75% of the aggregate of the total number of meetings of the Board (held during the period for which he or she has been a director) and the total number of meetings held by all committees of the Board on which he or she served (during the periods that he or she served).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Mr. Easterly attended the 2020 annual meeting of stockholders virtually, as the meeting was held completely virtually.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cybersecurity and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We also have a Risk Management Committee, a majority of the voting members of which are Independent Directors.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8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as described below under “—Board Committees—Risk Management Committee,” the Risk Management Committee assists the Board in its oversight of our overall risk tolerance and management of capital, liquidity, and funding planning and strategy. In performing its responsibilities, the Risk Management Committee liaises with the Chair of the Audit Committee to assist that committee in its review of our risk assessment and risk management matters.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9" w:lineRule="exact"/>
        <w:rPr>
          <w:sz w:val="20"/>
          <w:szCs w:val="20"/>
          <w:color w:val="auto"/>
        </w:rPr>
      </w:pPr>
    </w:p>
    <w:p>
      <w:pPr>
        <w:ind w:left="5540" w:right="1900" w:hanging="4884"/>
        <w:spacing w:after="0" w:line="449" w:lineRule="auto"/>
        <w:tabs>
          <w:tab w:leader="none" w:pos="10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 14</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compliance matter that has occurred about which the Board would reasonably need to know to oversee our compliance activities and risks.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7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4"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We believe that the Board’s role in risk oversight must be evaluated on a case-by-case basis and that its existing role in risk oversight is appropriate.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Ian Simmonds, Sixth Street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In addition, information on how to report issues related to financial statement disclosures, accounting, internal accounting controls or auditing matters to our Board or the Independent Directors via email is available on our website at http://www.sixthstreetspecialtylending.com.</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We currently have four standing committees: the Audit Committee, the Nominating and Corporate Governance Committee, the Compensation Committee and the Risk Management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7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Audit Committee has the sole authority to approve the engagement, and review the performance of, our independent registered public accounting firm.</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Messrs. Doddy, Higginbotham, Ross, Ms. Slotkin and Mr. Tanemura are members of the Audit Committee and Mr. Ross serves as Chairman. The Audit Committee held eight meetings in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members of the Nominating and Corporate Governance Committee are Messrs. Doddy (elected February 2020), Higginbotham, Ross,</w:t>
      </w:r>
    </w:p>
    <w:p>
      <w:pPr>
        <w:spacing w:after="0" w:line="23" w:lineRule="exact"/>
        <w:rPr>
          <w:sz w:val="20"/>
          <w:szCs w:val="20"/>
          <w:color w:val="auto"/>
        </w:rPr>
      </w:pPr>
    </w:p>
    <w:p>
      <w:pPr>
        <w:jc w:val="both"/>
        <w:ind w:left="120"/>
        <w:spacing w:after="0" w:line="277" w:lineRule="auto"/>
        <w:rPr>
          <w:sz w:val="20"/>
          <w:szCs w:val="20"/>
          <w:color w:val="auto"/>
        </w:rPr>
      </w:pPr>
      <w:r>
        <w:rPr>
          <w:rFonts w:ascii="Arial" w:cs="Arial" w:eastAsia="Arial" w:hAnsi="Arial"/>
          <w:sz w:val="17"/>
          <w:szCs w:val="17"/>
          <w:color w:val="auto"/>
        </w:rPr>
        <w:t>Ms. Slotkin (elected February 2020) and Mr. Tanemura, each of whom is independent for purposes of the NYSE corporate governance rules, and each of whom is not an “interested person” of the Company, of the Adviser, or of any of their respective affiliates as defined in Section 2(a)(19) of the 1940 Act. Mr. Higginbotham serves as Chairman. The Nominating and Corporate Governance Committee held one meeting in 2020.</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1080" w:right="220" w:hanging="424"/>
        <w:spacing w:after="0" w:line="31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and approving the reimbursement by us of compensation paid by the Adviser or its affiliates pursuant to the terms of the investment advisory agreement entered into by and between the Company and the Adviser, as amended (the “Investment Advisory Agreement”) and the administration agreement entered into between us and the Adviser, as amended (the “Administration Agreement”);</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members of the Compensation Committee are Messrs. Doddy, Higginbotham, Ross, Ms. Slotkin and Mr. Tanemura, each of whom is independent for purposes of the NYSE corporate governance rules. Mr. Ross serves as Chairman. The Compensation Committee held one meeting in 2020 and acted on one occasion by written consent.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 Management Committee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Risk Management Committee operates pursuant to the Risk Management Committee Charter. The Risk Management Committee Charter sets forth the responsibilities of the Risk Management Committee. The Risk Management Committee is responsible for assisting the Board in its oversight of the Company’s overall risk tolerance and management of capital, liquidity, and fund planning and strategy. Risk assessment and risk management are the primary responsibility of the Company’s management. The Risk Management Committee’s responsibility is one of oversight and review, in furtherance of the Board’s oversight role.</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voting members of the Risk Management Committee are Messrs. Easterly, Ross and Tanemura, and the non-voting members of the committee are Messrs. Simmonds and Pluss. Messrs. Ross and Tanemura are independent for purposes of the NYSE corporate governance rules. Mr. Easterly serves as Chairman. The Risk Management Committee held four meetings in 2020, which were held jointly with a meeting of the full board, and acted on one occasion by written consent.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http://www.sixthstreetspecialtylending.com in the “Investor Resources” section of our website. The corporate governance section contains the following documents:</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Management Committee Charter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Ian Simmonds, Sixth Street Specialty Lending, Inc., 2100 McKinney Avenue, Suite 1500, Dallas, TX 75201. Please refer to the text of our bylaws (including Article II, paragraph (K)), which are on file with the SEC, and “Bylaw Requirements for Stockholder Submission of Nominations and Proposals” in this proxy statement for additional information.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evaluating director nominees, the Nominating and Corporate Governance Committee considers, among others, the following factors:</w:t>
      </w:r>
    </w:p>
    <w:p>
      <w:pPr>
        <w:spacing w:after="0" w:line="142"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desire to balance the considerable benefit of continuity with the periodic injection of the fresh perspective provided by new members;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70"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or if there are otherwise any vacancies on the Board,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6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and ethnicity,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have adopted a SOX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Chief Executive Officers or Chief Financial Officer. Our SOX Code of Business Conduct and Ethics and our Corporate Governance Guidelines can be accessed on our website at http://www.sixthstreetspecialtylending.com in the “Investor Resources” section. We intend to disclose any substantive amendments to or waivers of required provisions of the SOX Code of Business Conduct and Ethics on our website or on a current report on Form 8-K.</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Election of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elects our officers and our officers serve until their resignation or termination or until their successors are duly elected and qualified.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$110,000 annual retainer;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$1,500 for each monthly telephonic update meeting attended;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additional fee of $10,000 per year for the chairman of the Audit Committee and the Nominating and Corporate Governance Committee. Starting in fiscal year ended December 31, 2021, the additional fee for the chairman of the Audit Committee will be $15,000 per year.</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year ended December 31, 2020, we also reimbursed directors for certain out-of-pocket expenses each Independent Director incurred in connection with the fulfillment of his duties as an Independent Director.</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2020:</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340" w:type="dxa"/>
            <w:vAlign w:val="bottom"/>
          </w:tcPr>
          <w:p>
            <w:pPr>
              <w:spacing w:after="0"/>
              <w:rPr>
                <w:sz w:val="14"/>
                <w:szCs w:val="14"/>
                <w:color w:val="auto"/>
              </w:rPr>
            </w:pP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9"/>
              </w:rPr>
              <w:t>Paid in Cash</w:t>
            </w:r>
          </w:p>
        </w:tc>
        <w:tc>
          <w:tcPr>
            <w:tcW w:w="3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Hurley Doddy</w:t>
            </w:r>
          </w:p>
        </w:tc>
        <w:tc>
          <w:tcPr>
            <w:tcW w:w="2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$160,000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Richard Higginbotham</w:t>
            </w:r>
          </w:p>
        </w:tc>
        <w:tc>
          <w:tcPr>
            <w:tcW w:w="238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170,000</w:t>
            </w:r>
          </w:p>
        </w:tc>
        <w:tc>
          <w:tcPr>
            <w:tcW w:w="108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$170,000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John Ross</w:t>
            </w:r>
          </w:p>
        </w:tc>
        <w:tc>
          <w:tcPr>
            <w:tcW w:w="23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168,500</w:t>
            </w:r>
          </w:p>
        </w:tc>
        <w:tc>
          <w:tcPr>
            <w:tcW w:w="108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3"/>
              </w:rPr>
              <w:t>$168,500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Judy Slotkin</w:t>
            </w:r>
          </w:p>
        </w:tc>
        <w:tc>
          <w:tcPr>
            <w:tcW w:w="238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165,753</w:t>
            </w:r>
          </w:p>
        </w:tc>
        <w:tc>
          <w:tcPr>
            <w:tcW w:w="108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$165,753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3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160,000</w:t>
            </w:r>
          </w:p>
        </w:tc>
        <w:tc>
          <w:tcPr>
            <w:tcW w:w="108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3"/>
              </w:rPr>
              <w:t>$160,000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 Certain of our executive officers and other members of our Investment Team, through their ownership interest in or management positions with the Adviser or its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Policy on Hedging and Speculative Transactions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consider it improper and inappropriate for our directors and officers, as well as employees of the Adviser, to engage in short-term or speculative transactions in our securities. Pursuant to the insider trading policy applicable to our directors and officers and employees of the Adviser, all trades in our securities by such parties must be pre-cleared with Sixth Street Legal and Compliance. The insider trading policy prohibits those directors, officers and employees from engaging in certain transactions that can allow the offset of downside risk associated with investment in our securities. This prohibition applies to short sales and transactions in publicly traded options, such as puts, calls or other derivative securities. We strongly discourage, but do not prohibit, those directors, officers, and employees from engaging in other types of hedging transactions, such as exchange funds. Any such proposed transaction must be approved by Sixth Street Legal and Compliance. Our directors and officers and employees of the Adviser may not hold our securities in a margin account or pledge our securities as collateral for a loan or other transaction. Exceptions may be granted by Sixth Street Legal and Compliance in certain situations, including if our securities are pledged as collateral for a loan and the person clearly demonstrates the financial capacity to repay the loan without resort to the pledged securities.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Sixth Street Specialty Lending Advisers, LLC is our external manager. 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an investment review committee (the “Investment Review Committee”), which includes senior personnel of our Adviser and Sixth Street. The members of the Investment Review Committee are Joshua Easterly, Michael Fishman, Bo Stanley, David Stiepleman and Alan Waxman.</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Sixth Street is a global investment business with over $50 billion of assets under management. Sixth Street operates nine diversified, collaborative investment platforms: TAO, Growth, Specialty Lending, Fundamental Strategies, Infrastructure, Opportunities, Insurance, Agriculture, and Credit Market Strategies.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320 investment and operating professionals. As of December 31, 2020, thirty two (32) of these personnel are dedicated to our business, including twenty four (24) investment professionals.</w:t>
      </w:r>
    </w:p>
    <w:p>
      <w:pPr>
        <w:spacing w:after="0" w:line="16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Adviser’s address is 2100 McKinney Avenue, Suite 1500, Dallas, TX 75201.</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Relationship with Sixth Street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monitoring our portfolio companies and providing operating, managerial and administrative assistance to us and to our portfolio companies as required.</w:t>
      </w:r>
    </w:p>
    <w:p>
      <w:pPr>
        <w:spacing w:after="0" w:line="234"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The Adviser is registered under the Advisers Act and is an affiliate of Sixth Street. Other affiliates of Sixth Street are also registered investment advisers and provide investment advisory services to a number of private investment funds. In addition, Sixth Street and its affiliates engage in a broad range of other investment activities, including pursuing investments for their own account and for the account of associated funds and providing other services to these funds and their portfolio companies. The Adviser held 2,716,977 shares, or 3.8%, of our common stock as of March 31, 2021.</w:t>
      </w:r>
    </w:p>
    <w:p>
      <w:pPr>
        <w:spacing w:after="0" w:line="15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believe we benefit from the Adviser’s relationships with Sixth Street. The Adviser has access to the contacts and industry knowledge of Sixth Street’s investment professionals, and is also able to consult with Sixth Street investment professionals on specific industry issues, trends and other matters to complement our investment process. However, the Adviser and members of the Investment Review Committee are expected to face a number of actual and potential conflicts of interest involving us, Sixth Street and other private investment funds affiliated with Sixth Street, including conflicts in the allocation of investment opportunities among us and other Sixth Street vehicles, as well as in their time and attention requirements as to these other vehicles. Additionally, various potential and actual conflicts of interest may arise from the overall advisory, investment and other activities of the Adviser, its affiliates, including Sixth Street and its clients.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Allocations of Loan Origination Investment Opportunities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members of the Adviser’s senior management and the Investment Review Committee are and will continue to be active in other investment funds affiliated with Sixth Street that pursue investment opportunities that could overlap with those pursued by us. However, the Adviser and its affiliates intend to allocate investment opportunities in a fair and equitable manner in accordance with their allocation principles. In particular, Sixth Street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Exemptive Order</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Adviser has independently determined is appropriate for us to invest, with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76"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1080" w:right="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investment will not benefit any affiliate other than the affiliate participating in the investment, and as otherwise permitted by the order.</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11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6"/>
          <w:szCs w:val="16"/>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w:t>
      </w:r>
    </w:p>
    <w:p>
      <w:pPr>
        <w:spacing w:after="0" w:line="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$250 million or more, certain high yield bonds and other instruments or assets (including consumer and commercial loans). Many of these opportunities may be required to be offered to, or may be otherwise suitable for, other Sixth Street funds and investment vehicles. In the event that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9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ability to pursue investment opportunities other than those for middle-market loan originations for companies domiciled in the United States is subject to the allocation decisions by Sixth Street senior professionals. Such non-loan origination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For example, Sixth Street has organized a separate investment vehicle, Sixth Street Specialty Lending Europe, aimed specifically at European middle-market loan originations and may in the future organize vehicles aimed at other loan origination opportunities outside our primary focus.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the Adviser were to determine that an investment that is not a middle-market loan origination for a company domiciled in the United States is appropriate both for us and for one or more other Sixth Street vehicles, we would only be able to make the investment in conjunction with another such vehicle to the extent the exemptive order granted to us by the SEC permits us to do so or the investment is otherwise permitted under relevant SEC guidance.</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Sixth Street will refer to us all middle-market loan origination activities for companies domiciled in the United States. In addition, we have disclosed how allocation determinations are made among Sixth Street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Administrator</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Adviser also serves as our administrator. The administrator, on behalf of us and at our expense, may retain one or more service providers that may also be affiliates of Sixth Street to serve as sub-administrator, custodian, accounting agent, investor services agent, transfer agent or other service provider for us. Any fees we pay, or indemnification obligations we undertake, in respect of the administrator and those other service providers that are Sixth Street affiliates, will be set at arm’s length and approved by the Independent Directors.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Business Relationships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Certain of our current directors and officers are directors or officers of the Adviser or its affiliates. See “Proposal No. 1 Election of Directors – Biographical Information.”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1080" w:right="2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those changes;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closes, monitors and administers the investments we make, including the exercise of any rights in our capacity as a lender or equity holder;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08"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4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or the “Management Fee,” and may also pay certain incentive fees, or “Incentive Fees”.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For the year ended December 31, 2020, Management Fees were $32.1 million. The Adviser did not waive any Management Fees for the year ended December 31, 2020.</w:t>
      </w:r>
    </w:p>
    <w:p>
      <w:pPr>
        <w:spacing w:after="0" w:line="170"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December 31, 2020, no Management Fees have been waived pursuant to the Leverage Waiver. Any waived Managed Fees are not subject to recoupment by the Adviser.</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1080" w:hanging="532"/>
        <w:spacing w:after="0" w:line="271"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0" w:lineRule="exact"/>
        <w:rPr>
          <w:rFonts w:ascii="Arial" w:cs="Arial" w:eastAsia="Arial" w:hAnsi="Arial"/>
          <w:sz w:val="17"/>
          <w:szCs w:val="17"/>
          <w:color w:val="auto"/>
        </w:rPr>
      </w:pPr>
    </w:p>
    <w:p>
      <w:pPr>
        <w:ind w:left="1100" w:right="120"/>
        <w:spacing w:after="0" w:line="254" w:lineRule="auto"/>
        <w:rPr>
          <w:rFonts w:ascii="Arial" w:cs="Arial" w:eastAsia="Arial" w:hAnsi="Arial"/>
          <w:sz w:val="17"/>
          <w:szCs w:val="17"/>
          <w:color w:val="auto"/>
        </w:rPr>
      </w:pPr>
      <w:r>
        <w:rPr>
          <w:rFonts w:ascii="Arial" w:cs="Arial" w:eastAsia="Arial" w:hAnsi="Arial"/>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100" w:lineRule="exact"/>
        <w:rPr>
          <w:rFonts w:ascii="Arial" w:cs="Arial" w:eastAsia="Arial" w:hAnsi="Arial"/>
          <w:sz w:val="17"/>
          <w:szCs w:val="17"/>
          <w:color w:val="auto"/>
        </w:rPr>
      </w:pPr>
    </w:p>
    <w:p>
      <w:pPr>
        <w:ind w:left="1080" w:right="18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0" w:lineRule="auto"/>
        <w:rPr>
          <w:sz w:val="20"/>
          <w:szCs w:val="20"/>
          <w:color w:val="auto"/>
        </w:rPr>
      </w:pPr>
      <w:r>
        <w:rPr>
          <w:rFonts w:ascii="Arial" w:cs="Arial" w:eastAsia="Arial" w:hAnsi="Arial"/>
          <w:sz w:val="17"/>
          <w:szCs w:val="17"/>
          <w:color w:val="auto"/>
        </w:rPr>
        <w:t>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gains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8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6"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 For the year ended December 31, 2020, Incentive Fees were $32.9 million, all of which was realized and payable to the Adviser. The Adviser did not waive any Incentive Fees for the year ended December 31, 2020.</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Since our IPO, with the exception of its waiver of Management Fees and certain Incentive Fees attributable to our ownership of certain portfolio companies, the Adviser has not waived its right to receive any Management Fees or Incentive Fees payable pursuant to the Investment Advisory Agreement.</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November 2020, the Board renewed the Investment Advisory Agreement. Unless earlier terminated as described below, the Investment Advisory Agreement will remain in effect until November 2021,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administrative and professional services rendered by others. Certain of these services are reimbursable to the Adviser under the terms of the Administration Agreement. See “—</w:t>
      </w:r>
      <w:r>
        <w:rPr>
          <w:rFonts w:ascii="Arial" w:cs="Arial" w:eastAsia="Arial" w:hAnsi="Arial"/>
          <w:sz w:val="18"/>
          <w:szCs w:val="18"/>
          <w:i w:val="1"/>
          <w:iCs w:val="1"/>
          <w:color w:val="auto"/>
        </w:rPr>
        <w:t>Payment of Our Expenses</w:t>
      </w:r>
      <w:r>
        <w:rPr>
          <w:rFonts w:ascii="Arial" w:cs="Arial" w:eastAsia="Arial" w:hAnsi="Arial"/>
          <w:sz w:val="18"/>
          <w:szCs w:val="18"/>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2020, we incurred expenses of $3.8 million for administrative services payable under the terms of the Administration Agreement.</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4"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November 2020, the Board renewed the Administration Agreement. Unless earlier terminated as described below, the Administration Agreement will remain in effect until November 2021,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6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calculating individual asset values and our net asset value (including the cost and expenses of any independent valuation firms);</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1080" w:right="160" w:hanging="424"/>
        <w:spacing w:after="0" w:line="25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93"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Amounts payable to the Adviser are settled in the normal course of business without formal payment terms. We also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Compliance Officer, Chief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Financial Officer, and other professionals who spend time on those related activities,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such individuals devote, on an estimated basis, to our business and affairs and in acting on behalf of the Company. We may also reimburse the Adviser or its affiliates for the allocable portion of overhead expenses (including rent, office equipment and utilities) attributable thereto.</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2021,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ind w:left="120" w:right="500" w:firstLine="440"/>
        <w:spacing w:after="0" w:line="259"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2020. A discussion regarding the basis for our Board’s approval and renewal of the Investment Advisory Agreement is available in our Annual Report on Form 10-K for the fiscal year ended December 31,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S-K).</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Audit Committee has selected KPMG LLP to serve as our independent registered public accounting firm to audit our consolidated financial statements for the year ending December 31, 2021.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9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66"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The Board recommends that our stockholders vote “FOR” ratification of the selection of KPMG LLP as the Company’s independent registered public accounting firm for the fiscal year ending December 31, 2021.</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Paid to KPMG LLP</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For the year ended December 31, 2020, the aggregate fees billed by KPMG LLP for the audit of our consolidated financial statements, review of our interim financial statements and other professional services related to SEC registration statements were $812,000. In addition, we reimbursed KPMG LLP $3,873 for out-of-pocket expenses incurred in the performance of audit services.</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For the year ended December 31, 2019, the aggregate fees billed by KPMG LLP for the audit of our consolidated financial statements, review of our interim financial statements and other professional services related to SEC registration statements were $777,000. In addition, we reimbursed KPMG LLP $32,960 for out-of-pocket expenses incurred in the performance of audit services.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Audit-Related Fees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the year ended December 31, 2020, the aggregate fees billed by KPMG LLP for audit-related services, which consist of assurance and related services that are reasonably related to the performance of the audit or review of our consolidated financial statements, but which are not reportable as Audit Fees, were $70,000.</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the year ended December 31, 2019, the aggregate fees billed by KPMG LLP for audit-related services, which consist of assurance and related services that are reasonably related to the performance of the audit or review of our consolidated financial statements, but which are not reportable as Audit Fees, were $135,000.</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our financial statements and that are traditionally performed by the independent auditor.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 Fees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the year ended December 31, 2020, the aggregate fees billed by KPMG LLP for tax compliance, tax advice and tax planning services were $213,200.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the year ended December 31, 2019, the aggregate fees billed by KPMG LLP for tax compliance, tax advice and tax planning services were $153,775.</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services include tax compliance, tax planning and tax advice.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 Other Fees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each of the years ended December 31, 2020 and 2019, there were no fees billed for services rendered by KPMG LLP not reportable as Audit Fees, Audit-Related Fees or Tax Fees.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Audit Committee of our Board operates under a written charter adopted by the Board. The Audit Committee is currently composed of Messrs.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Ross, Doddy, Higginbotham, Ms. Slotkin and Mr. Tanemura.</w:t>
      </w:r>
    </w:p>
    <w:p>
      <w:pPr>
        <w:spacing w:after="0" w:line="21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Pre-Approval Policy</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4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Review with Management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Review and Discussion with Independent Registered Public Accounting Firm</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Audit Committee also has discussed with KPMG matters relating to KPMG’s judgments about the quality, as well as the acceptability, of the Company’s accounting principles as applied in its financial reporting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 xml:space="preserve">as required by Public Company Accounting Oversight Board Auditing Standard No. 16,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In addition, the Audit Committee has discussed with KPMG their independence from management and the Company, as well as the matters in the written disclosures received from KPMG and required by Public Company Accounting Oversight Board Rule 3526, </w:t>
      </w:r>
      <w:r>
        <w:rPr>
          <w:rFonts w:ascii="Arial" w:cs="Arial" w:eastAsia="Arial" w:hAnsi="Arial"/>
          <w:sz w:val="17"/>
          <w:szCs w:val="17"/>
          <w:i w:val="1"/>
          <w:iCs w:val="1"/>
          <w:color w:val="auto"/>
        </w:rPr>
        <w:t>Communication with Audit Committees Concerning</w:t>
      </w:r>
      <w:r>
        <w:rPr>
          <w:rFonts w:ascii="Arial" w:cs="Arial" w:eastAsia="Arial" w:hAnsi="Arial"/>
          <w:sz w:val="17"/>
          <w:szCs w:val="17"/>
          <w:color w:val="auto"/>
        </w:rPr>
        <w:t xml:space="preserve"> </w:t>
      </w:r>
      <w:r>
        <w:rPr>
          <w:rFonts w:ascii="Arial" w:cs="Arial" w:eastAsia="Arial" w:hAnsi="Arial"/>
          <w:sz w:val="17"/>
          <w:szCs w:val="17"/>
          <w:i w:val="1"/>
          <w:iCs w:val="1"/>
          <w:color w:val="auto"/>
        </w:rPr>
        <w:t>Independence</w:t>
      </w:r>
      <w:r>
        <w:rPr>
          <w:rFonts w:ascii="Arial" w:cs="Arial" w:eastAsia="Arial" w:hAnsi="Arial"/>
          <w:sz w:val="17"/>
          <w:szCs w:val="17"/>
          <w:color w:val="auto"/>
        </w:rPr>
        <w:t>. The Audit Committee received a written communication from KPMG confirming their independence and discussed it with them.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2020 for filing with the Securities and Exchange Commission. The Audit Committee also recommended the selection of KPMG LLP to serve as the independent registered public accounting firm for the year ending December 31, 2021.</w:t>
      </w:r>
    </w:p>
    <w:p>
      <w:pPr>
        <w:spacing w:after="0" w:line="280"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Respectfully Submitted,</w:t>
      </w:r>
    </w:p>
    <w:p>
      <w:pPr>
        <w:spacing w:after="0" w:line="22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John Ross, Chairman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Hurley Doddy</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Richard Higginbotham</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Judy Slotkin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Ronald Tanemura</w:t>
      </w:r>
    </w:p>
    <w:p>
      <w:pPr>
        <w:spacing w:after="0" w:line="207" w:lineRule="exact"/>
        <w:rPr>
          <w:sz w:val="20"/>
          <w:szCs w:val="20"/>
          <w:color w:val="auto"/>
        </w:rPr>
      </w:pPr>
    </w:p>
    <w:p>
      <w:pPr>
        <w:ind w:left="120" w:right="500"/>
        <w:spacing w:after="0" w:line="347" w:lineRule="auto"/>
        <w:rPr>
          <w:sz w:val="20"/>
          <w:szCs w:val="20"/>
          <w:color w:val="auto"/>
        </w:rPr>
      </w:pPr>
      <w:r>
        <w:rPr>
          <w:rFonts w:ascii="Arial" w:cs="Arial" w:eastAsia="Arial" w:hAnsi="Arial"/>
          <w:sz w:val="16"/>
          <w:szCs w:val="16"/>
          <w:b w:val="1"/>
          <w:bCs w:val="1"/>
          <w:color w:val="auto"/>
        </w:rPr>
        <w:t>Unless marked to the contrary, the shares represented by the enclosed proxy card will be voted “FOR” ratification of the appointment of KPMG LLP as the Company’s independent registered public accounting firm for the fiscal year ending December 31, 2021.</w:t>
      </w:r>
    </w:p>
    <w:p>
      <w:pPr>
        <w:spacing w:after="0" w:line="116"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Board is not aware of any other matter to be submitted at the Meeting. If any other matter properly comes before the Meeting, the persons named in this proxy generally will have discretionary authority to vote the shares thereby represented in accordance with their judgment.</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accordance with Section 23(c)(1) under the 1940 Act, the Company hereby advises you that it may repurchase shares of its common stock from time to time.</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 PROPOSALS AND NOMINATIONS FOR THE 2022 ANNUAL MEETING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2022 annual meeting of stockholders pursuant to Rule 14a-8 of the SEC’s rules must be received by us at our principal executive offices no later than December 14, 2021.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Ian Simmonds, Sixth Street Specialty Lending, Inc., 2100 McKinney Avenue, Suite 1500, Dallas, TX 75201.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2021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Our Bylaws require that the proposal or recommendation for nomination must be received by our Secretary at our principal executive offices at the above address no later than February 25, 2022, unless the date of our 2022 annual meeting is more than 30 days before or more than 60 days after May 26, 2022, the anniversary of our 2021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 copy of our Annual Report on Form 10-K for the fiscal year ended December 31, 2020, which includes financial statements, is being furnished with this proxy statement.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888 7th Avenue, 35th Floor, New York, NY 10106, Attention: TSLX Investor Relations, by email at IRTSLX@sixthstreet.com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81"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WHETHER OR NOT YOU PLAN TO ATTEND THE MEETING VIRTUALLY,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7857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Chief Financial Officer, Chief Compliance Officer and</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Secretary</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9"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1900"/>
        <w:spacing w:after="0" w:line="232" w:lineRule="auto"/>
        <w:rPr>
          <w:sz w:val="20"/>
          <w:szCs w:val="20"/>
          <w:color w:val="auto"/>
        </w:rPr>
      </w:pPr>
      <w:r>
        <w:rPr>
          <w:rFonts w:ascii="Arial" w:cs="Arial" w:eastAsia="Arial" w:hAnsi="Arial"/>
          <w:sz w:val="13"/>
          <w:szCs w:val="13"/>
          <w:i w:val="1"/>
          <w:iCs w:val="1"/>
          <w:color w:val="auto"/>
        </w:rPr>
        <w:t>SIXTH STREET SPECIALTY LENDING, INC. 2100 MCKINNEY AVENUE, SUITE 1500 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-915035</wp:posOffset>
            </wp:positionV>
            <wp:extent cx="1722755" cy="600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227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 — — — — — — — — — — — — — — —</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VOTE BY INTERNET</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www.proxyvote.com</w:t>
      </w:r>
    </w:p>
    <w:p>
      <w:pPr>
        <w:spacing w:after="0" w:line="134" w:lineRule="exact"/>
        <w:rPr>
          <w:sz w:val="20"/>
          <w:szCs w:val="20"/>
          <w:color w:val="auto"/>
        </w:rPr>
      </w:pPr>
    </w:p>
    <w:p>
      <w:pPr>
        <w:jc w:val="both"/>
        <w:ind w:left="1080"/>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May 25, 2021. Have your proxy card in hand when you access the web site and follow the instructions to obtain your records and to create an electronic voting instruction form.</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www.virtualshareholdermeeting.com/TSLX2021</w:t>
      </w:r>
    </w:p>
    <w:p>
      <w:pPr>
        <w:spacing w:after="0" w:line="137" w:lineRule="exact"/>
        <w:rPr>
          <w:sz w:val="20"/>
          <w:szCs w:val="20"/>
          <w:color w:val="auto"/>
        </w:rPr>
      </w:pPr>
    </w:p>
    <w:p>
      <w:pPr>
        <w:jc w:val="both"/>
        <w:ind w:left="1080" w:right="20"/>
        <w:spacing w:after="0" w:line="259" w:lineRule="auto"/>
        <w:rPr>
          <w:sz w:val="20"/>
          <w:szCs w:val="20"/>
          <w:color w:val="auto"/>
        </w:rPr>
      </w:pPr>
      <w:r>
        <w:rPr>
          <w:rFonts w:ascii="Arial" w:cs="Arial" w:eastAsia="Arial" w:hAnsi="Arial"/>
          <w:sz w:val="12"/>
          <w:szCs w:val="12"/>
          <w:color w:val="auto"/>
        </w:rPr>
        <w:t>You may attend the meeting via the Internet and vote during the meeting. Have the information that is printed in the box marked by the arrow available and follow the instructions.</w:t>
      </w:r>
    </w:p>
    <w:p>
      <w:pPr>
        <w:spacing w:after="0" w:line="10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left="1080" w:right="20"/>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on May 25, 2021. Have your proxy card in hand when you call and then follow the instructions.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VOTE BY MAIL</w:t>
      </w:r>
    </w:p>
    <w:p>
      <w:pPr>
        <w:ind w:left="1080"/>
        <w:spacing w:after="0" w:line="237" w:lineRule="auto"/>
        <w:rPr>
          <w:sz w:val="20"/>
          <w:szCs w:val="20"/>
          <w:color w:val="auto"/>
        </w:rPr>
      </w:pPr>
      <w:r>
        <w:rPr>
          <w:rFonts w:ascii="Arial" w:cs="Arial" w:eastAsia="Arial" w:hAnsi="Arial"/>
          <w:sz w:val="12"/>
          <w:szCs w:val="12"/>
          <w:color w:val="auto"/>
        </w:rPr>
        <w:t>Mark, sign and date your proxy card and return it in the postage-paid envelope we have provided</w:t>
      </w:r>
    </w:p>
    <w:p>
      <w:pPr>
        <w:ind w:left="1080"/>
        <w:spacing w:after="0" w:line="217" w:lineRule="auto"/>
        <w:rPr>
          <w:sz w:val="20"/>
          <w:szCs w:val="20"/>
          <w:color w:val="auto"/>
        </w:rPr>
      </w:pPr>
      <w:r>
        <w:rPr>
          <w:rFonts w:ascii="Arial" w:cs="Arial" w:eastAsia="Arial" w:hAnsi="Arial"/>
          <w:sz w:val="13"/>
          <w:szCs w:val="13"/>
          <w:color w:val="auto"/>
        </w:rPr>
        <w:t>or return it to Vote Processing, c/o Broadridge,</w:t>
      </w:r>
    </w:p>
    <w:p>
      <w:pPr>
        <w:ind w:left="1080"/>
        <w:spacing w:after="0"/>
        <w:rPr>
          <w:sz w:val="20"/>
          <w:szCs w:val="20"/>
          <w:color w:val="auto"/>
        </w:rPr>
      </w:pPr>
      <w:r>
        <w:rPr>
          <w:rFonts w:ascii="Arial" w:cs="Arial" w:eastAsia="Arial" w:hAnsi="Arial"/>
          <w:sz w:val="13"/>
          <w:szCs w:val="13"/>
          <w:color w:val="auto"/>
        </w:rPr>
        <w:t>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tabs>
          <w:tab w:leader="none" w:pos="2600" w:val="left"/>
        </w:tabs>
        <w:rPr>
          <w:sz w:val="20"/>
          <w:szCs w:val="20"/>
          <w:color w:val="auto"/>
        </w:rPr>
      </w:pPr>
      <w:r>
        <w:rPr>
          <w:rFonts w:ascii="Arial" w:cs="Arial" w:eastAsia="Arial" w:hAnsi="Arial"/>
          <w:sz w:val="13"/>
          <w:szCs w:val="13"/>
          <w:color w:val="auto"/>
        </w:rPr>
        <w:t>D43123-P49603</w:t>
      </w:r>
      <w:r>
        <w:rPr>
          <w:sz w:val="20"/>
          <w:szCs w:val="20"/>
          <w:color w:val="auto"/>
        </w:rPr>
        <w:tab/>
      </w:r>
      <w:r>
        <w:rPr>
          <w:rFonts w:ascii="Arial" w:cs="Arial" w:eastAsia="Arial" w:hAnsi="Arial"/>
          <w:sz w:val="12"/>
          <w:szCs w:val="12"/>
          <w:color w:val="auto"/>
        </w:rPr>
        <w:t>KEEP THIS PORTION FOR YOUR RECORDS</w:t>
      </w:r>
    </w:p>
    <w:p>
      <w:pPr>
        <w:jc w:val="right"/>
        <w:ind w:right="40"/>
        <w:spacing w:after="0" w:line="234" w:lineRule="auto"/>
        <w:rPr>
          <w:sz w:val="20"/>
          <w:szCs w:val="20"/>
          <w:color w:val="auto"/>
        </w:rPr>
      </w:pPr>
      <w:r>
        <w:rPr>
          <w:rFonts w:ascii="Arial" w:cs="Arial" w:eastAsia="Arial" w:hAnsi="Arial"/>
          <w:sz w:val="12"/>
          <w:szCs w:val="12"/>
          <w:color w:val="auto"/>
        </w:rPr>
        <w:t>— — — — — — — — — — — — — — — — — — — — — — — — — — — — — — — — — — — — — — — —</w:t>
      </w:r>
    </w:p>
    <w:p>
      <w:pPr>
        <w:jc w:val="right"/>
        <w:ind w:right="40"/>
        <w:spacing w:after="0" w:line="217" w:lineRule="auto"/>
        <w:rPr>
          <w:sz w:val="20"/>
          <w:szCs w:val="20"/>
          <w:color w:val="auto"/>
        </w:rPr>
      </w:pPr>
      <w:r>
        <w:rPr>
          <w:rFonts w:ascii="Arial" w:cs="Arial" w:eastAsia="Arial" w:hAnsi="Arial"/>
          <w:sz w:val="13"/>
          <w:szCs w:val="13"/>
          <w:color w:val="auto"/>
        </w:rPr>
        <w:t>— — — — — — — — — — — —</w:t>
      </w:r>
    </w:p>
    <w:p>
      <w:pPr>
        <w:jc w:val="right"/>
        <w:spacing w:after="0" w:line="234" w:lineRule="auto"/>
        <w:rPr>
          <w:sz w:val="20"/>
          <w:szCs w:val="20"/>
          <w:color w:val="auto"/>
        </w:rPr>
      </w:pPr>
      <w:r>
        <w:rPr>
          <w:rFonts w:ascii="Arial" w:cs="Arial" w:eastAsia="Arial" w:hAnsi="Arial"/>
          <w:sz w:val="13"/>
          <w:szCs w:val="13"/>
          <w:color w:val="auto"/>
        </w:rPr>
        <w:t>DETACH AND RETURN THIS PORTION ONLY</w:t>
      </w:r>
    </w:p>
    <w:p>
      <w:pPr>
        <w:spacing w:after="0" w:line="1" w:lineRule="exact"/>
        <w:rPr>
          <w:sz w:val="20"/>
          <w:szCs w:val="20"/>
          <w:color w:val="auto"/>
        </w:rPr>
      </w:pPr>
    </w:p>
    <w:p>
      <w:pPr>
        <w:sectPr>
          <w:pgSz w:w="11900" w:h="16838" w:orient="portrait"/>
          <w:cols w:equalWidth="0" w:num="2">
            <w:col w:w="4560" w:space="100"/>
            <w:col w:w="648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4525" cy="3745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4525" cy="3745865"/>
                    </a:xfrm>
                    <a:prstGeom prst="rect">
                      <a:avLst/>
                    </a:prstGeom>
                    <a:noFill/>
                  </pic:spPr>
                </pic:pic>
              </a:graphicData>
            </a:graphic>
          </wp:anchor>
        </w:drawing>
      </w:r>
    </w:p>
    <w:p>
      <w:pPr>
        <w:spacing w:after="0" w:line="26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Arial" w:cs="Arial" w:eastAsia="Arial" w:hAnsi="Arial"/>
                <w:sz w:val="14"/>
                <w:szCs w:val="14"/>
                <w:b w:val="1"/>
                <w:bCs w:val="1"/>
                <w:color w:val="auto"/>
              </w:rPr>
              <w:t>SIXTH STREET SPECIALTY LENDING, INC.</w:t>
            </w:r>
          </w:p>
        </w:tc>
        <w:tc>
          <w:tcPr>
            <w:tcW w:w="800" w:type="dxa"/>
            <w:vAlign w:val="bottom"/>
          </w:tcPr>
          <w:p>
            <w:pPr>
              <w:ind w:left="480"/>
              <w:spacing w:after="0"/>
              <w:rPr>
                <w:sz w:val="20"/>
                <w:szCs w:val="20"/>
                <w:color w:val="auto"/>
              </w:rPr>
            </w:pPr>
            <w:r>
              <w:rPr>
                <w:rFonts w:ascii="Arial" w:cs="Arial" w:eastAsia="Arial" w:hAnsi="Arial"/>
                <w:sz w:val="13"/>
                <w:szCs w:val="13"/>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560" w:type="dxa"/>
            <w:vAlign w:val="bottom"/>
          </w:tcPr>
          <w:p>
            <w:pPr>
              <w:ind w:left="60"/>
              <w:spacing w:after="0"/>
              <w:rPr>
                <w:sz w:val="20"/>
                <w:szCs w:val="20"/>
                <w:color w:val="auto"/>
              </w:rPr>
            </w:pPr>
            <w:r>
              <w:rPr>
                <w:rFonts w:ascii="Arial" w:cs="Arial" w:eastAsia="Arial" w:hAnsi="Arial"/>
                <w:sz w:val="13"/>
                <w:szCs w:val="13"/>
                <w:b w:val="1"/>
                <w:bCs w:val="1"/>
                <w:color w:val="auto"/>
              </w:rPr>
              <w:t>For All</w:t>
            </w:r>
          </w:p>
        </w:tc>
        <w:tc>
          <w:tcPr>
            <w:tcW w:w="2340" w:type="dxa"/>
            <w:vAlign w:val="bottom"/>
          </w:tcPr>
          <w:p>
            <w:pPr>
              <w:ind w:left="100"/>
              <w:spacing w:after="0"/>
              <w:rPr>
                <w:sz w:val="20"/>
                <w:szCs w:val="20"/>
                <w:color w:val="auto"/>
              </w:rPr>
            </w:pPr>
            <w:r>
              <w:rPr>
                <w:rFonts w:ascii="Arial" w:cs="Arial" w:eastAsia="Arial" w:hAnsi="Arial"/>
                <w:sz w:val="13"/>
                <w:szCs w:val="13"/>
                <w:color w:val="auto"/>
              </w:rPr>
              <w:t>To  withhold  authority  to  vote  for</w:t>
            </w:r>
          </w:p>
        </w:tc>
        <w:tc>
          <w:tcPr>
            <w:tcW w:w="320" w:type="dxa"/>
            <w:vAlign w:val="bottom"/>
          </w:tcPr>
          <w:p>
            <w:pPr>
              <w:ind w:left="60"/>
              <w:spacing w:after="0"/>
              <w:rPr>
                <w:sz w:val="20"/>
                <w:szCs w:val="20"/>
                <w:color w:val="auto"/>
              </w:rPr>
            </w:pPr>
            <w:r>
              <w:rPr>
                <w:rFonts w:ascii="Arial" w:cs="Arial" w:eastAsia="Arial" w:hAnsi="Arial"/>
                <w:sz w:val="13"/>
                <w:szCs w:val="13"/>
                <w:color w:val="auto"/>
              </w:rPr>
              <w:t>any</w:t>
            </w:r>
          </w:p>
        </w:tc>
        <w:tc>
          <w:tcPr>
            <w:tcW w:w="600" w:type="dxa"/>
            <w:vAlign w:val="bottom"/>
          </w:tcPr>
          <w:p>
            <w:pPr>
              <w:jc w:val="right"/>
              <w:spacing w:after="0"/>
              <w:rPr>
                <w:sz w:val="20"/>
                <w:szCs w:val="20"/>
                <w:color w:val="auto"/>
              </w:rPr>
            </w:pPr>
            <w:r>
              <w:rPr>
                <w:rFonts w:ascii="Arial" w:cs="Arial" w:eastAsia="Arial" w:hAnsi="Arial"/>
                <w:sz w:val="13"/>
                <w:szCs w:val="13"/>
                <w:color w:val="auto"/>
              </w:rPr>
              <w:t>individual</w:t>
            </w:r>
          </w:p>
        </w:tc>
      </w:tr>
      <w:tr>
        <w:trPr>
          <w:trHeight w:val="129"/>
        </w:trPr>
        <w:tc>
          <w:tcPr>
            <w:tcW w:w="3380" w:type="dxa"/>
            <w:vAlign w:val="bottom"/>
          </w:tcPr>
          <w:p>
            <w:pPr>
              <w:spacing w:after="0"/>
              <w:rPr>
                <w:sz w:val="11"/>
                <w:szCs w:val="11"/>
                <w:color w:val="auto"/>
              </w:rPr>
            </w:pPr>
          </w:p>
        </w:tc>
        <w:tc>
          <w:tcPr>
            <w:tcW w:w="800" w:type="dxa"/>
            <w:vAlign w:val="bottom"/>
          </w:tcPr>
          <w:p>
            <w:pPr>
              <w:ind w:left="480"/>
              <w:spacing w:after="0" w:line="129" w:lineRule="exact"/>
              <w:rPr>
                <w:sz w:val="20"/>
                <w:szCs w:val="20"/>
                <w:color w:val="auto"/>
              </w:rPr>
            </w:pPr>
            <w:r>
              <w:rPr>
                <w:rFonts w:ascii="Arial" w:cs="Arial" w:eastAsia="Arial" w:hAnsi="Arial"/>
                <w:sz w:val="13"/>
                <w:szCs w:val="13"/>
                <w:b w:val="1"/>
                <w:bCs w:val="1"/>
                <w:color w:val="auto"/>
              </w:rPr>
              <w:t>All</w:t>
            </w:r>
          </w:p>
        </w:tc>
        <w:tc>
          <w:tcPr>
            <w:tcW w:w="7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All</w:t>
            </w:r>
          </w:p>
        </w:tc>
        <w:tc>
          <w:tcPr>
            <w:tcW w:w="560" w:type="dxa"/>
            <w:vAlign w:val="bottom"/>
          </w:tcPr>
          <w:p>
            <w:pPr>
              <w:ind w:left="60"/>
              <w:spacing w:after="0" w:line="129" w:lineRule="exact"/>
              <w:rPr>
                <w:sz w:val="20"/>
                <w:szCs w:val="20"/>
                <w:color w:val="auto"/>
              </w:rPr>
            </w:pPr>
            <w:r>
              <w:rPr>
                <w:rFonts w:ascii="Arial" w:cs="Arial" w:eastAsia="Arial" w:hAnsi="Arial"/>
                <w:sz w:val="13"/>
                <w:szCs w:val="13"/>
                <w:b w:val="1"/>
                <w:bCs w:val="1"/>
                <w:color w:val="auto"/>
              </w:rPr>
              <w:t>Except</w:t>
            </w:r>
          </w:p>
        </w:tc>
        <w:tc>
          <w:tcPr>
            <w:tcW w:w="2340" w:type="dxa"/>
            <w:vAlign w:val="bottom"/>
          </w:tcPr>
          <w:p>
            <w:pPr>
              <w:ind w:left="100"/>
              <w:spacing w:after="0" w:line="129" w:lineRule="exact"/>
              <w:rPr>
                <w:sz w:val="20"/>
                <w:szCs w:val="20"/>
                <w:color w:val="auto"/>
              </w:rPr>
            </w:pPr>
            <w:r>
              <w:rPr>
                <w:rFonts w:ascii="Arial" w:cs="Arial" w:eastAsia="Arial" w:hAnsi="Arial"/>
                <w:sz w:val="13"/>
                <w:szCs w:val="13"/>
                <w:color w:val="auto"/>
              </w:rPr>
              <w:t>nominee(s),  mark  “For  All  Except”</w:t>
            </w:r>
          </w:p>
        </w:tc>
        <w:tc>
          <w:tcPr>
            <w:tcW w:w="320" w:type="dxa"/>
            <w:vAlign w:val="bottom"/>
          </w:tcPr>
          <w:p>
            <w:pPr>
              <w:ind w:left="40"/>
              <w:spacing w:after="0" w:line="129" w:lineRule="exact"/>
              <w:rPr>
                <w:sz w:val="20"/>
                <w:szCs w:val="20"/>
                <w:color w:val="auto"/>
              </w:rPr>
            </w:pPr>
            <w:r>
              <w:rPr>
                <w:rFonts w:ascii="Arial" w:cs="Arial" w:eastAsia="Arial" w:hAnsi="Arial"/>
                <w:sz w:val="13"/>
                <w:szCs w:val="13"/>
                <w:color w:val="auto"/>
              </w:rPr>
              <w:t>and</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write  the</w:t>
            </w:r>
          </w:p>
        </w:tc>
      </w:tr>
    </w:tbl>
    <w:p>
      <w:pPr>
        <w:ind w:left="5780"/>
        <w:spacing w:after="0" w:line="233" w:lineRule="auto"/>
        <w:rPr>
          <w:sz w:val="20"/>
          <w:szCs w:val="20"/>
          <w:color w:val="auto"/>
        </w:rPr>
      </w:pPr>
      <w:r>
        <w:rPr>
          <w:rFonts w:ascii="Arial" w:cs="Arial" w:eastAsia="Arial" w:hAnsi="Arial"/>
          <w:sz w:val="13"/>
          <w:szCs w:val="13"/>
          <w:color w:val="auto"/>
        </w:rPr>
        <w:t>number(s) of the nominee(s) on the line below.</w:t>
      </w:r>
    </w:p>
    <w:p>
      <w:pPr>
        <w:sectPr>
          <w:pgSz w:w="11900" w:h="16838" w:orient="portrait"/>
          <w:cols w:equalWidth="0" w:num="1">
            <w:col w:w="11140"/>
          </w:cols>
          <w:pgMar w:left="320" w:top="459" w:right="439" w:bottom="1440" w:gutter="0" w:footer="0" w:header="0"/>
          <w:type w:val="continuous"/>
        </w:sectPr>
      </w:pPr>
    </w:p>
    <w:tbl>
      <w:tblPr>
        <w:tblLayout w:type="fixed"/>
        <w:tblInd w:w="580" w:type="dxa"/>
        <w:tblCellMar>
          <w:top w:w="0" w:type="dxa"/>
          <w:left w:w="0" w:type="dxa"/>
          <w:bottom w:w="0" w:type="dxa"/>
          <w:right w:w="0" w:type="dxa"/>
        </w:tblCellMar>
      </w:tblPr>
      <w:tr>
        <w:trPr>
          <w:trHeight w:val="145"/>
        </w:trPr>
        <w:tc>
          <w:tcPr>
            <w:tcW w:w="336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The Board of Directors recommends you vote</w:t>
            </w:r>
          </w:p>
        </w:tc>
        <w:tc>
          <w:tcPr>
            <w:tcW w:w="5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60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3"/>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FOR the following:</w:t>
            </w:r>
          </w:p>
        </w:tc>
        <w:tc>
          <w:tcPr>
            <w:tcW w:w="5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36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Nominees:</w:t>
            </w: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40" w:type="dxa"/>
            <w:vAlign w:val="bottom"/>
          </w:tcPr>
          <w:p>
            <w:pPr>
              <w:ind w:left="280"/>
              <w:spacing w:after="0"/>
              <w:rPr>
                <w:sz w:val="20"/>
                <w:szCs w:val="20"/>
                <w:color w:val="auto"/>
              </w:rPr>
            </w:pPr>
            <w:r>
              <w:rPr>
                <w:rFonts w:ascii="Arial" w:cs="Arial" w:eastAsia="Arial" w:hAnsi="Arial"/>
                <w:sz w:val="14"/>
                <w:szCs w:val="14"/>
                <w:color w:val="auto"/>
              </w:rPr>
              <w:t>01)</w:t>
            </w:r>
          </w:p>
        </w:tc>
        <w:tc>
          <w:tcPr>
            <w:tcW w:w="2820" w:type="dxa"/>
            <w:vAlign w:val="bottom"/>
          </w:tcPr>
          <w:p>
            <w:pPr>
              <w:ind w:left="40"/>
              <w:spacing w:after="0"/>
              <w:rPr>
                <w:sz w:val="20"/>
                <w:szCs w:val="20"/>
                <w:color w:val="auto"/>
              </w:rPr>
            </w:pPr>
            <w:r>
              <w:rPr>
                <w:rFonts w:ascii="Arial" w:cs="Arial" w:eastAsia="Arial" w:hAnsi="Arial"/>
                <w:sz w:val="14"/>
                <w:szCs w:val="14"/>
                <w:color w:val="auto"/>
              </w:rPr>
              <w:t>Richard Higginbotham</w:t>
            </w: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40" w:type="dxa"/>
            <w:vAlign w:val="bottom"/>
          </w:tcPr>
          <w:p>
            <w:pPr>
              <w:ind w:left="280"/>
              <w:spacing w:after="0"/>
              <w:rPr>
                <w:sz w:val="20"/>
                <w:szCs w:val="20"/>
                <w:color w:val="auto"/>
              </w:rPr>
            </w:pPr>
            <w:r>
              <w:rPr>
                <w:rFonts w:ascii="Arial" w:cs="Arial" w:eastAsia="Arial" w:hAnsi="Arial"/>
                <w:sz w:val="14"/>
                <w:szCs w:val="14"/>
                <w:color w:val="auto"/>
              </w:rPr>
              <w:t>02)</w:t>
            </w:r>
          </w:p>
        </w:tc>
        <w:tc>
          <w:tcPr>
            <w:tcW w:w="2820" w:type="dxa"/>
            <w:vAlign w:val="bottom"/>
          </w:tcPr>
          <w:p>
            <w:pPr>
              <w:ind w:left="40"/>
              <w:spacing w:after="0"/>
              <w:rPr>
                <w:sz w:val="20"/>
                <w:szCs w:val="20"/>
                <w:color w:val="auto"/>
              </w:rPr>
            </w:pPr>
            <w:r>
              <w:rPr>
                <w:rFonts w:ascii="Arial" w:cs="Arial" w:eastAsia="Arial" w:hAnsi="Arial"/>
                <w:sz w:val="14"/>
                <w:szCs w:val="14"/>
                <w:color w:val="auto"/>
              </w:rPr>
              <w:t>David Stiepleman</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ind w:left="280"/>
              <w:spacing w:after="0"/>
              <w:rPr>
                <w:sz w:val="20"/>
                <w:szCs w:val="20"/>
                <w:color w:val="auto"/>
              </w:rPr>
            </w:pPr>
            <w:r>
              <w:rPr>
                <w:rFonts w:ascii="Arial" w:cs="Arial" w:eastAsia="Arial" w:hAnsi="Arial"/>
                <w:sz w:val="14"/>
                <w:szCs w:val="14"/>
                <w:color w:val="auto"/>
              </w:rPr>
              <w:t>03)</w:t>
            </w:r>
          </w:p>
        </w:tc>
        <w:tc>
          <w:tcPr>
            <w:tcW w:w="2820" w:type="dxa"/>
            <w:vAlign w:val="bottom"/>
          </w:tcPr>
          <w:p>
            <w:pPr>
              <w:ind w:left="40"/>
              <w:spacing w:after="0"/>
              <w:rPr>
                <w:sz w:val="20"/>
                <w:szCs w:val="20"/>
                <w:color w:val="auto"/>
              </w:rPr>
            </w:pPr>
            <w:r>
              <w:rPr>
                <w:rFonts w:ascii="Arial" w:cs="Arial" w:eastAsia="Arial" w:hAnsi="Arial"/>
                <w:sz w:val="14"/>
                <w:szCs w:val="14"/>
                <w:color w:val="auto"/>
              </w:rPr>
              <w:t>Ronald Tanemura</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The Board of Directors recommends you vote FOR the following proposal:</w:t>
      </w:r>
    </w:p>
    <w:p>
      <w:pPr>
        <w:spacing w:after="0" w:line="141" w:lineRule="exact"/>
        <w:rPr>
          <w:sz w:val="20"/>
          <w:szCs w:val="20"/>
          <w:color w:val="auto"/>
        </w:rPr>
      </w:pPr>
    </w:p>
    <w:p>
      <w:pPr>
        <w:ind w:left="860" w:hanging="285"/>
        <w:spacing w:after="0" w:line="258" w:lineRule="auto"/>
        <w:tabs>
          <w:tab w:leader="none" w:pos="842" w:val="left"/>
        </w:tabs>
        <w:numPr>
          <w:ilvl w:val="0"/>
          <w:numId w:val="31"/>
        </w:numPr>
        <w:rPr>
          <w:rFonts w:ascii="Arial" w:cs="Arial" w:eastAsia="Arial" w:hAnsi="Arial"/>
          <w:sz w:val="14"/>
          <w:szCs w:val="14"/>
          <w:color w:val="auto"/>
        </w:rPr>
      </w:pPr>
      <w:r>
        <w:rPr>
          <w:rFonts w:ascii="Arial" w:cs="Arial" w:eastAsia="Arial" w:hAnsi="Arial"/>
          <w:sz w:val="14"/>
          <w:szCs w:val="14"/>
          <w:color w:val="auto"/>
        </w:rPr>
        <w:t>To ratify the selection of KPMG LLP as the Company’s independent registered public accounting firm for the fiscal year ending December 31, 2021.</w:t>
      </w:r>
    </w:p>
    <w:p>
      <w:pPr>
        <w:spacing w:after="0" w:line="203" w:lineRule="exact"/>
        <w:rPr>
          <w:sz w:val="20"/>
          <w:szCs w:val="20"/>
          <w:color w:val="auto"/>
        </w:rPr>
      </w:pPr>
    </w:p>
    <w:p>
      <w:pPr>
        <w:ind w:left="580"/>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named proxies are also authorized to transact such other business as may properly come before the 2021 Annual</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of Stockholders or any postponement or adjournment thereof.</w:t>
      </w:r>
    </w:p>
    <w:p>
      <w:pPr>
        <w:spacing w:after="0" w:line="135" w:lineRule="exact"/>
        <w:rPr>
          <w:sz w:val="20"/>
          <w:szCs w:val="20"/>
          <w:color w:val="auto"/>
        </w:rPr>
      </w:pPr>
    </w:p>
    <w:p>
      <w:pPr>
        <w:jc w:val="both"/>
        <w:ind w:left="580" w:right="3280"/>
        <w:spacing w:after="0" w:line="245"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80" w:val="left"/>
          <w:tab w:leader="none" w:pos="104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31" w:lineRule="exact"/>
        <w:rPr>
          <w:sz w:val="20"/>
          <w:szCs w:val="20"/>
          <w:color w:val="auto"/>
        </w:rPr>
      </w:pPr>
    </w:p>
    <w:p>
      <w:pPr>
        <w:ind w:left="20"/>
        <w:spacing w:after="0" w:line="141" w:lineRule="exact"/>
        <w:tabs>
          <w:tab w:leader="none" w:pos="540" w:val="left"/>
          <w:tab w:leader="none" w:pos="120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837" w:lineRule="exact"/>
        <w:rPr>
          <w:sz w:val="20"/>
          <w:szCs w:val="20"/>
          <w:color w:val="auto"/>
        </w:rPr>
      </w:pPr>
    </w:p>
    <w:p>
      <w:pPr>
        <w:sectPr>
          <w:pgSz w:w="11900" w:h="16838" w:orient="portrait"/>
          <w:cols w:equalWidth="0" w:num="2">
            <w:col w:w="8940" w:space="180"/>
            <w:col w:w="2020"/>
          </w:cols>
          <w:pgMar w:left="320" w:top="459" w:right="4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ind w:left="580"/>
        <w:spacing w:after="0"/>
        <w:tabs>
          <w:tab w:leader="none" w:pos="4060" w:val="left"/>
          <w:tab w:leader="none" w:pos="5760" w:val="left"/>
          <w:tab w:leader="none" w:pos="90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140"/>
          </w:cols>
          <w:pgMar w:left="32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985520</wp:posOffset>
            </wp:positionV>
            <wp:extent cx="4114800" cy="1688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1480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Notice and Proxy Statement and Annual Report on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left="1860"/>
        <w:spacing w:after="0" w:line="230" w:lineRule="auto"/>
        <w:rPr>
          <w:sz w:val="20"/>
          <w:szCs w:val="20"/>
          <w:color w:val="auto"/>
        </w:rPr>
      </w:pPr>
      <w:r>
        <w:rPr>
          <w:rFonts w:ascii="Arial" w:cs="Arial" w:eastAsia="Arial" w:hAnsi="Arial"/>
          <w:sz w:val="13"/>
          <w:szCs w:val="13"/>
          <w:color w:val="auto"/>
        </w:rPr>
        <w:t>— — — — — — — — — — — — — — — — —  — — — — — — — — — — — — — — — — — — — — — — — — — — — — — — — — — — — — — — — — — — — — — — — — — — — —</w:t>
      </w:r>
    </w:p>
    <w:p>
      <w:pPr>
        <w:spacing w:after="0" w:line="51" w:lineRule="exact"/>
        <w:rPr>
          <w:sz w:val="20"/>
          <w:szCs w:val="20"/>
          <w:color w:val="auto"/>
        </w:rPr>
      </w:pPr>
    </w:p>
    <w:p>
      <w:pPr>
        <w:ind w:left="9660"/>
        <w:spacing w:after="0"/>
        <w:rPr>
          <w:sz w:val="20"/>
          <w:szCs w:val="20"/>
          <w:color w:val="auto"/>
        </w:rPr>
      </w:pPr>
      <w:r>
        <w:rPr>
          <w:rFonts w:ascii="Arial" w:cs="Arial" w:eastAsia="Arial" w:hAnsi="Arial"/>
          <w:sz w:val="13"/>
          <w:szCs w:val="13"/>
          <w:color w:val="auto"/>
        </w:rPr>
        <w:t>D43124-P49603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6994525" cy="41484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4525" cy="414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SIXTH STREET SPECIALTY LENDING, INC.</w:t>
      </w:r>
    </w:p>
    <w:p>
      <w:pPr>
        <w:spacing w:after="0" w:line="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Annual Meeting of Stockholders</w:t>
      </w:r>
    </w:p>
    <w:p>
      <w:pPr>
        <w:jc w:val="center"/>
        <w:ind w:right="-159"/>
        <w:spacing w:after="0" w:line="230" w:lineRule="auto"/>
        <w:rPr>
          <w:sz w:val="20"/>
          <w:szCs w:val="20"/>
          <w:color w:val="auto"/>
        </w:rPr>
      </w:pPr>
      <w:r>
        <w:rPr>
          <w:rFonts w:ascii="Arial" w:cs="Arial" w:eastAsia="Arial" w:hAnsi="Arial"/>
          <w:sz w:val="22"/>
          <w:szCs w:val="22"/>
          <w:b w:val="1"/>
          <w:bCs w:val="1"/>
          <w:color w:val="auto"/>
        </w:rPr>
        <w:t>May 26, 2021 1:00 PM EDT</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239" w:lineRule="exact"/>
        <w:rPr>
          <w:sz w:val="20"/>
          <w:szCs w:val="20"/>
          <w:color w:val="auto"/>
        </w:rPr>
      </w:pPr>
    </w:p>
    <w:p>
      <w:pPr>
        <w:jc w:val="both"/>
        <w:ind w:left="500" w:right="360"/>
        <w:spacing w:after="0" w:line="238" w:lineRule="auto"/>
        <w:rPr>
          <w:sz w:val="20"/>
          <w:szCs w:val="20"/>
          <w:color w:val="auto"/>
        </w:rPr>
      </w:pPr>
      <w:r>
        <w:rPr>
          <w:rFonts w:ascii="Arial" w:cs="Arial" w:eastAsia="Arial" w:hAnsi="Arial"/>
          <w:sz w:val="18"/>
          <w:szCs w:val="18"/>
          <w:color w:val="auto"/>
        </w:rPr>
        <w:t>The stockholders hereby appoint Ian Simmonds and Jennifer Gordon, or either of them, as proxies, each with the power to appoint his or her substitute, and hereby authorize them to represent and to vote, as designated on the reverse side of this ballot, all of the shares of common stock of SIXTH STREET SPECIALTY LENDING, INC. that the stockholders are entitled to vote at the Annual Meeting of Stockholders to be held virtually at www.virtualshareholdermeeting.com/TSLX2021, at 1:00 PM EDT on May 26, 2021 and any adjournment or postponement thereof.</w:t>
      </w:r>
    </w:p>
    <w:p>
      <w:pPr>
        <w:spacing w:after="0" w:line="207" w:lineRule="exact"/>
        <w:rPr>
          <w:sz w:val="20"/>
          <w:szCs w:val="20"/>
          <w:color w:val="auto"/>
        </w:rPr>
      </w:pPr>
    </w:p>
    <w:p>
      <w:pPr>
        <w:jc w:val="both"/>
        <w:ind w:left="500" w:right="360"/>
        <w:spacing w:after="0" w:line="27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00"/>
      </w:cols>
      <w:pgMar w:left="320" w:top="4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2"/>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lowerRoman"/>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2021-04-13T15:04:22Z</dcterms:created>
  <dcterms:modified xsi:type="dcterms:W3CDTF">2021-04-13T15:04:22Z</dcterms:modified>
</cp:coreProperties>
</file>