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4360" w:right="2060" w:hanging="4352"/>
        <w:spacing w:after="0" w:line="30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2017</w:t>
      </w:r>
    </w:p>
    <w:p>
      <w:pPr>
        <w:ind w:left="5640"/>
        <w:spacing w:after="0"/>
        <w:rPr>
          <w:rFonts w:ascii="MS PGothic" w:cs="MS PGothic" w:eastAsia="MS PGothic" w:hAnsi="MS PGothic"/>
          <w:sz w:val="18"/>
          <w:szCs w:val="18"/>
          <w:color w:val="auto"/>
          <w:highlight w:val="black"/>
        </w:rPr>
      </w:pPr>
      <w:r>
        <w:rPr>
          <w:rFonts w:ascii="Arial" w:cs="Arial" w:eastAsia="Arial" w:hAnsi="Arial"/>
          <w:sz w:val="17"/>
          <w:szCs w:val="17"/>
          <w:b w:val="1"/>
          <w:bCs w:val="1"/>
          <w:color w:val="auto"/>
        </w:rPr>
        <w:t>or</w:t>
      </w:r>
    </w:p>
    <w:p>
      <w:pPr>
        <w:spacing w:after="0" w:line="67" w:lineRule="exact"/>
        <w:rPr>
          <w:sz w:val="24"/>
          <w:szCs w:val="24"/>
          <w:color w:val="auto"/>
        </w:rPr>
      </w:pPr>
    </w:p>
    <w:p>
      <w:pPr>
        <w:ind w:left="4420" w:right="1700" w:hanging="4412"/>
        <w:spacing w:after="0" w:line="324" w:lineRule="auto"/>
        <w:tabs>
          <w:tab w:leader="none" w:pos="5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1"/>
              </w:rPr>
              <w:t>Delaware</w:t>
            </w:r>
          </w:p>
        </w:tc>
        <w:tc>
          <w:tcPr>
            <w:tcW w:w="5240" w:type="dxa"/>
            <w:vAlign w:val="bottom"/>
            <w:gridSpan w:val="4"/>
          </w:tcPr>
          <w:p>
            <w:pPr>
              <w:jc w:val="right"/>
              <w:ind w:right="755"/>
              <w:spacing w:after="0"/>
              <w:rPr>
                <w:sz w:val="20"/>
                <w:szCs w:val="20"/>
                <w:color w:val="auto"/>
              </w:rPr>
            </w:pPr>
            <w:r>
              <w:rPr>
                <w:rFonts w:ascii="Arial" w:cs="Arial" w:eastAsia="Arial" w:hAnsi="Arial"/>
                <w:sz w:val="17"/>
                <w:szCs w:val="17"/>
                <w:b w:val="1"/>
                <w:bCs w:val="1"/>
                <w:color w:val="auto"/>
              </w:rPr>
              <w:t>27-3380000</w:t>
            </w:r>
          </w:p>
        </w:tc>
        <w:tc>
          <w:tcPr>
            <w:tcW w:w="0" w:type="dxa"/>
            <w:vAlign w:val="bottom"/>
          </w:tcPr>
          <w:p>
            <w:pPr>
              <w:spacing w:after="0"/>
              <w:rPr>
                <w:sz w:val="1"/>
                <w:szCs w:val="1"/>
                <w:color w:val="auto"/>
              </w:rPr>
            </w:pPr>
          </w:p>
        </w:tc>
      </w:tr>
      <w:tr>
        <w:trPr>
          <w:trHeight w:val="149"/>
        </w:trPr>
        <w:tc>
          <w:tcPr>
            <w:tcW w:w="4580" w:type="dxa"/>
            <w:vAlign w:val="bottom"/>
          </w:tcPr>
          <w:p>
            <w:pPr>
              <w:jc w:val="center"/>
              <w:ind w:left="10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tcPr>
          <w:p>
            <w:pPr>
              <w:spacing w:after="0"/>
              <w:rPr>
                <w:sz w:val="12"/>
                <w:szCs w:val="12"/>
                <w:color w:val="auto"/>
              </w:rPr>
            </w:pPr>
          </w:p>
        </w:tc>
        <w:tc>
          <w:tcPr>
            <w:tcW w:w="2960" w:type="dxa"/>
            <w:vAlign w:val="bottom"/>
            <w:gridSpan w:val="3"/>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9"/>
              </w:rPr>
              <w:t>Incorporation or Organization)</w:t>
            </w:r>
          </w:p>
        </w:tc>
        <w:tc>
          <w:tcPr>
            <w:tcW w:w="2280" w:type="dxa"/>
            <w:vAlign w:val="bottom"/>
          </w:tcPr>
          <w:p>
            <w:pPr>
              <w:spacing w:after="0"/>
              <w:rPr>
                <w:sz w:val="15"/>
                <w:szCs w:val="15"/>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33"/>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301 Commerce Street, Suite 3300,</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8"/>
              </w:rPr>
              <w:t>Fort Worth, TX</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7"/>
                <w:szCs w:val="17"/>
                <w:b w:val="1"/>
                <w:bCs w:val="1"/>
                <w:color w:val="auto"/>
              </w:rPr>
              <w:t>76102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920" w:type="dxa"/>
            <w:vAlign w:val="bottom"/>
            <w:gridSpan w:val="4"/>
          </w:tcPr>
          <w:p>
            <w:pPr>
              <w:jc w:val="center"/>
              <w:ind w:left="2440"/>
              <w:spacing w:after="0"/>
              <w:rPr>
                <w:sz w:val="20"/>
                <w:szCs w:val="20"/>
                <w:color w:val="auto"/>
              </w:rPr>
            </w:pPr>
            <w:r>
              <w:rPr>
                <w:rFonts w:ascii="Arial" w:cs="Arial" w:eastAsia="Arial" w:hAnsi="Arial"/>
                <w:sz w:val="17"/>
                <w:szCs w:val="17"/>
                <w:b w:val="1"/>
                <w:bCs w:val="1"/>
                <w:color w:val="auto"/>
                <w:w w:val="90"/>
              </w:rPr>
              <w:t>Registrant’s Telephone Number, Including Area Code: (817) 871-4000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4"/>
              </w:rPr>
              <w:t>Title of each class</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40"/>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None</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(Title of class)</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458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7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90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0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7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720" w:type="dxa"/>
            <w:vAlign w:val="bottom"/>
          </w:tcPr>
          <w:p>
            <w:pPr>
              <w:ind w:left="160"/>
              <w:spacing w:after="0" w:line="196" w:lineRule="exact"/>
              <w:rPr>
                <w:sz w:val="20"/>
                <w:szCs w:val="20"/>
                <w:color w:val="auto"/>
              </w:rPr>
            </w:pPr>
            <w:r>
              <w:rPr>
                <w:rFonts w:ascii="Arial" w:cs="Arial" w:eastAsia="Arial" w:hAnsi="Arial"/>
                <w:sz w:val="17"/>
                <w:szCs w:val="17"/>
                <w:color w:val="auto"/>
                <w:w w:val="98"/>
              </w:rPr>
              <w:t xml:space="preserve">YES </w:t>
            </w:r>
            <w:r>
              <w:rPr>
                <w:rFonts w:ascii="MS PGothic" w:cs="MS PGothic" w:eastAsia="MS PGothic" w:hAnsi="MS PGothic"/>
                <w:sz w:val="16"/>
                <w:szCs w:val="16"/>
                <w:color w:val="auto"/>
                <w:w w:val="98"/>
              </w:rPr>
              <w:t>☐</w:t>
            </w:r>
          </w:p>
        </w:tc>
        <w:tc>
          <w:tcPr>
            <w:tcW w:w="90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4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6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20"/>
        <w:spacing w:after="0" w:line="21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50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50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96" w:lineRule="exact"/>
        <w:tabs>
          <w:tab w:leader="none" w:pos="7200" w:val="left"/>
          <w:tab w:leader="none" w:pos="79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7"/>
          <w:szCs w:val="17"/>
          <w:color w:val="auto"/>
        </w:rPr>
        <w:tab/>
        <w:t xml:space="preserve">NO </w:t>
      </w:r>
      <w:r>
        <w:rPr>
          <w:rFonts w:ascii="MS PGothic" w:cs="MS PGothic" w:eastAsia="MS PGothic" w:hAnsi="MS PGothic"/>
          <w:sz w:val="16"/>
          <w:szCs w:val="16"/>
          <w:color w:val="auto"/>
        </w:rPr>
        <w:t>☒</w:t>
      </w:r>
    </w:p>
    <w:p>
      <w:pPr>
        <w:spacing w:after="0" w:line="77" w:lineRule="exact"/>
        <w:rPr>
          <w:sz w:val="24"/>
          <w:szCs w:val="24"/>
          <w:color w:val="auto"/>
        </w:rPr>
      </w:pPr>
    </w:p>
    <w:p>
      <w:pPr>
        <w:jc w:val="both"/>
        <w:ind w:right="20"/>
        <w:spacing w:after="0" w:line="261"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2017, based on the closing price on that date of $20.45 on The New York Stock Exchange, was approximately $1,167,698,099. The number of shares of the registrant’s common stock, $.01 par value per share, outstanding at February 20, 2018 was 60,400,496.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43815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3"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the 2018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80" w:type="dxa"/>
            <w:vAlign w:val="bottom"/>
            <w:gridSpan w:val="11"/>
          </w:tcPr>
          <w:p>
            <w:pPr>
              <w:jc w:val="center"/>
              <w:ind w:right="2300"/>
              <w:spacing w:after="0"/>
              <w:rPr>
                <w:sz w:val="20"/>
                <w:szCs w:val="20"/>
                <w:color w:val="auto"/>
              </w:rPr>
            </w:pPr>
            <w:r>
              <w:rPr>
                <w:rFonts w:ascii="Arial" w:cs="Arial" w:eastAsia="Arial" w:hAnsi="Arial"/>
                <w:sz w:val="22"/>
                <w:szCs w:val="22"/>
                <w:b w:val="1"/>
                <w:bCs w:val="1"/>
                <w:color w:val="auto"/>
                <w:w w:val="99"/>
              </w:rPr>
              <w:t>TPG SPECIALTY LENDING, INC.</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9"/>
          </w:tcPr>
          <w:p>
            <w:pPr>
              <w:jc w:val="center"/>
              <w:ind w:right="3380"/>
              <w:spacing w:after="0"/>
              <w:rPr>
                <w:sz w:val="20"/>
                <w:szCs w:val="20"/>
                <w:color w:val="auto"/>
              </w:rPr>
            </w:pPr>
            <w:r>
              <w:rPr>
                <w:rFonts w:ascii="Arial" w:cs="Arial" w:eastAsia="Arial" w:hAnsi="Arial"/>
                <w:sz w:val="18"/>
                <w:szCs w:val="18"/>
                <w:b w:val="1"/>
                <w:bCs w:val="1"/>
                <w:color w:val="auto"/>
                <w:w w:val="90"/>
              </w:rPr>
              <w:t>Year Ended December 31, 2017</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6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14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Unresolved Staff Comments</w:t>
              </w:r>
            </w:hyperlink>
          </w:p>
        </w:tc>
        <w:tc>
          <w:tcPr>
            <w:tcW w:w="7080" w:type="dxa"/>
            <w:vAlign w:val="bottom"/>
            <w:gridSpan w:val="1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Properties</w:t>
              </w:r>
            </w:hyperlink>
          </w:p>
        </w:tc>
        <w:tc>
          <w:tcPr>
            <w:tcW w:w="8400" w:type="dxa"/>
            <w:vAlign w:val="bottom"/>
            <w:gridSpan w:val="1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7800" w:type="dxa"/>
            <w:vAlign w:val="bottom"/>
            <w:gridSpan w:val="1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14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600" w:type="dxa"/>
            <w:vAlign w:val="bottom"/>
            <w:gridSpan w:val="3"/>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14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2680" w:type="dxa"/>
            <w:vAlign w:val="bottom"/>
            <w:gridSpan w:val="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Financial Statements and Supplementary Data</w:t>
              </w:r>
            </w:hyperlink>
          </w:p>
        </w:tc>
        <w:tc>
          <w:tcPr>
            <w:tcW w:w="4780" w:type="dxa"/>
            <w:vAlign w:val="bottom"/>
            <w:gridSpan w:val="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2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660" w:type="dxa"/>
            <w:vAlign w:val="bottom"/>
            <w:gridSpan w:val="3"/>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140" w:type="dxa"/>
            <w:vAlign w:val="bottom"/>
            <w:gridSpan w:val="2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Directors, Executive Officers and Corporate Governance</w:t>
              </w:r>
            </w:hyperlink>
          </w:p>
        </w:tc>
        <w:tc>
          <w:tcPr>
            <w:tcW w:w="5040" w:type="dxa"/>
            <w:vAlign w:val="bottom"/>
            <w:gridSpan w:val="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14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Security Ownership of Certain Beneficial Owners and Management and Related Stockholder Matters</w:t>
              </w:r>
            </w:hyperlink>
          </w:p>
        </w:tc>
        <w:tc>
          <w:tcPr>
            <w:tcW w:w="1840" w:type="dxa"/>
            <w:vAlign w:val="bottom"/>
            <w:gridSpan w:val="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Certain Relationships and Related Transactions, and Director Independence</w:t>
              </w:r>
            </w:hyperlink>
          </w:p>
        </w:tc>
        <w:tc>
          <w:tcPr>
            <w:tcW w:w="3680" w:type="dxa"/>
            <w:vAlign w:val="bottom"/>
            <w:gridSpan w:val="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14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Principal Accountant Fees and Services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15.</w:t>
            </w:r>
          </w:p>
        </w:tc>
        <w:tc>
          <w:tcPr>
            <w:tcW w:w="540" w:type="dxa"/>
            <w:vAlign w:val="bottom"/>
            <w:gridSpan w:val="2"/>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Exhibits and Financial Statement Schedules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5980" w:type="dxa"/>
            <w:vAlign w:val="bottom"/>
            <w:gridSpan w:val="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8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16"/>
          </w:tcPr>
          <w:p>
            <w:pPr>
              <w:jc w:val="center"/>
              <w:ind w:left="33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elsewhere in our filings with the SEC.</w:t>
      </w:r>
    </w:p>
    <w:p>
      <w:pPr>
        <w:spacing w:after="0" w:line="23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this Annual Report, except where the context suggests otherwise, the terms “TSL,” “TSLX,” “we,” “us,” “our,” and “the Company” refer to TPG Specialty Lending, Inc. The term “Adviser” refers to TSL Advisers, LLC, a Delaware limited liability company. The term “TSSP” refers to TPG Sixth Street Partners. The term “TPG” refers to TPG Global, LLC and its affiliates.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00" w:firstLine="259"/>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2017, we have originated more than $7.3 billion aggregate principal amount of investments and retained approximately $4.4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2017, our core portfolio companies, which exclude certain investments that fall outside of our typical borrower profile and represent 83.2% of our total investments based on fair value, had weighted average annual revenue of $130.3 million and weighted average annual EBITDA of $25.1 million.</w:t>
      </w:r>
    </w:p>
    <w:p>
      <w:pPr>
        <w:spacing w:after="0" w:line="182"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 of investments and various loan origination and other fees.</w:t>
      </w:r>
    </w:p>
    <w:p>
      <w:pPr>
        <w:spacing w:after="0" w:line="170"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have operated as a business development company, or a BDC, since we began our investment activities in July 2011, and we are currently one of the largest publicly listed BDCs by total assets. In conducting our investment activities, we believe that we benefit from the significant scale and resources of our Adviser and its affiliates.</w:t>
      </w:r>
    </w:p>
    <w:p>
      <w:pPr>
        <w:spacing w:after="0" w:line="181"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2017, based on fair value our portfolio consisted of 93.4% first-lien debt investments, 3.6% second-lien debt investments, and 3.0% equity and other investments. All of our debt investments based on fair value as of December 31, 2017 bore interest at floating rates (when including investment specific hedges), with 93.3% of these subject to interest rate floors, which we believe helps act as a portfolio-wide hedge against inflation. As of December 31, 2017 we had investments in 45 portfolio companies, with an average investment size of approximately $37.6 million based on fair value. As of December 31, 2017, the largest single investment based on fair value represented 6.7% of our total investment portfolio.</w:t>
      </w:r>
    </w:p>
    <w:p>
      <w:pPr>
        <w:spacing w:after="0" w:line="183" w:lineRule="exact"/>
        <w:rPr>
          <w:sz w:val="20"/>
          <w:szCs w:val="20"/>
          <w:color w:val="auto"/>
        </w:rPr>
      </w:pPr>
    </w:p>
    <w:p>
      <w:pPr>
        <w:ind w:right="180" w:firstLine="259"/>
        <w:spacing w:after="0" w:line="342" w:lineRule="auto"/>
        <w:rPr>
          <w:sz w:val="20"/>
          <w:szCs w:val="20"/>
          <w:color w:val="auto"/>
        </w:rPr>
      </w:pPr>
      <w:r>
        <w:rPr>
          <w:rFonts w:ascii="Arial" w:cs="Arial" w:eastAsia="Arial" w:hAnsi="Arial"/>
          <w:sz w:val="16"/>
          <w:szCs w:val="16"/>
          <w:color w:val="auto"/>
        </w:rPr>
        <w:t>As of December 31, 2017, our portfolio was invested across 17 different industries. The largest industries in our portfolio as of December 31, 2017 were financial services and business services, which represented, as a percentage of our portfolio, 14.0%, and 13.8%, respectively, based on fair value.</w:t>
      </w:r>
    </w:p>
    <w:p>
      <w:pPr>
        <w:spacing w:after="0" w:line="124"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regulated investment company, or RIC, under Subchapter M of the Internal Revenue Code of 1986, as amended, which we refer to as the Code. Because we elected to be a BDC and have elected to be treated as a RIC for U.S. federal income tax purposes, our portfolio is and will continue to be subject to diversification and other requirements to maintain such status elections.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120" w:firstLine="259"/>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r>
        <w:rPr>
          <w:rFonts w:ascii="Arial" w:cs="Arial" w:eastAsia="Arial" w:hAnsi="Arial"/>
          <w:sz w:val="16"/>
          <w:szCs w:val="16"/>
          <w:i w:val="1"/>
          <w:iCs w:val="1"/>
          <w:color w:val="auto"/>
        </w:rPr>
        <w:t>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Structure—We borrow money, which magnifies the potential for gain or loss and increases the risk of investing in us.”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Adviser, TSSP and TPG</w:t>
      </w:r>
    </w:p>
    <w:p>
      <w:pPr>
        <w:spacing w:after="0" w:line="121"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LLC, or “TSSP”.</w:t>
      </w:r>
    </w:p>
    <w:p>
      <w:pPr>
        <w:spacing w:after="0" w:line="178"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TSSP, with approximately $20 billion of assets under management as of September 30,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180 investment and operating professionals. As of December 31, 2017, thirty one (31) of these personnel are dedicated to our business, including twenty four (24) investment professionals.</w:t>
      </w:r>
    </w:p>
    <w:p>
      <w:pPr>
        <w:spacing w:after="0" w:line="178"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TPG is a leading global private investment firm founded in 1992 with over $79 billion of assets under management as of September 30, 2017,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390 deal professionals.</w:t>
      </w:r>
    </w:p>
    <w:p>
      <w:pPr>
        <w:spacing w:after="0" w:line="17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20" w:firstLine="259"/>
        <w:spacing w:after="0" w:line="257" w:lineRule="auto"/>
        <w:rPr>
          <w:sz w:val="20"/>
          <w:szCs w:val="20"/>
          <w:color w:val="auto"/>
        </w:rPr>
      </w:pPr>
      <w:r>
        <w:rPr>
          <w:rFonts w:ascii="Arial" w:cs="Arial" w:eastAsia="Arial" w:hAnsi="Arial"/>
          <w:sz w:val="18"/>
          <w:szCs w:val="18"/>
          <w:color w:val="auto"/>
        </w:rPr>
        <w:t xml:space="preserve">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Arial" w:cs="Arial" w:eastAsia="Arial" w:hAnsi="Arial"/>
          <w:sz w:val="18"/>
          <w:szCs w:val="18"/>
          <w:i w:val="1"/>
          <w:iCs w:val="1"/>
          <w:color w:val="auto"/>
        </w:rPr>
        <w:t>"Regulation as a Business Development -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with our affiliates.”</w:t>
      </w:r>
    </w:p>
    <w:p>
      <w:pPr>
        <w:spacing w:after="0" w:line="18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ind w:right="640" w:firstLine="259"/>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Arial" w:cs="Arial" w:eastAsia="Arial" w:hAnsi="Arial"/>
          <w:sz w:val="17"/>
          <w:szCs w:val="17"/>
          <w:i w:val="1"/>
          <w:iCs w:val="1"/>
          <w:color w:val="auto"/>
        </w:rPr>
        <w:t>Management Agreements—Investment Advisory</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Administration Agreement; License Agreement</w:t>
      </w:r>
      <w:r>
        <w:rPr>
          <w:rFonts w:ascii="Arial" w:cs="Arial" w:eastAsia="Arial" w:hAnsi="Arial"/>
          <w:sz w:val="17"/>
          <w:szCs w:val="17"/>
          <w:color w:val="auto"/>
        </w:rPr>
        <w:t>.” Our Board monitors the mix and performance of our investments over time and seeks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itself that the Adviser is acting in our interests and that our fee structure appropriately incentivizes the Adviser to do so.</w:t>
      </w:r>
    </w:p>
    <w:p>
      <w:pPr>
        <w:spacing w:after="0" w:line="17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November 2017, our Board renewed the Investment Advisory Agreement. Unless earlier terminated, the Investment Advisory Agreement will remain in effect until November 2018, and may be extended subject to required approvals.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8"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purpose of the capital requirement, the key personnel and variables, as well as the sources and uses of the proceeds;</w:t>
      </w:r>
    </w:p>
    <w:p>
      <w:pPr>
        <w:spacing w:after="0" w:line="117" w:lineRule="exact"/>
        <w:rPr>
          <w:rFonts w:ascii="Arial" w:cs="Arial" w:eastAsia="Arial" w:hAnsi="Arial"/>
          <w:sz w:val="18"/>
          <w:szCs w:val="18"/>
          <w:color w:val="auto"/>
        </w:rPr>
      </w:pPr>
    </w:p>
    <w:p>
      <w:pPr>
        <w:ind w:left="520" w:right="340" w:hanging="255"/>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performing a detailed review of historical financial performance, including performance through various economic cycles, and the quality of earnings;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40" w:lineRule="exact"/>
        <w:rPr>
          <w:sz w:val="20"/>
          <w:szCs w:val="20"/>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 w:name="page8"/>
    <w:bookmarkEnd w:id="7"/>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00" w:hanging="255"/>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280" w:hanging="255"/>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40" w:hanging="255"/>
        <w:spacing w:after="0" w:line="276"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60" w:hanging="255"/>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 and TPG.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9" w:lineRule="exact"/>
        <w:rPr>
          <w:sz w:val="20"/>
          <w:szCs w:val="20"/>
          <w:color w:val="auto"/>
        </w:rPr>
      </w:pPr>
    </w:p>
    <w:p>
      <w:pPr>
        <w:ind w:left="520" w:right="100" w:hanging="255"/>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520" w:hanging="255"/>
        <w:spacing w:after="0" w:line="28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first-priority security interest.</w:t>
      </w:r>
    </w:p>
    <w:p>
      <w:pPr>
        <w:spacing w:after="0" w:line="53" w:lineRule="exact"/>
        <w:rPr>
          <w:rFonts w:ascii="Arial" w:cs="Arial" w:eastAsia="Arial" w:hAnsi="Arial"/>
          <w:sz w:val="18"/>
          <w:szCs w:val="18"/>
          <w:color w:val="auto"/>
        </w:rPr>
      </w:pPr>
    </w:p>
    <w:p>
      <w:pPr>
        <w:ind w:left="520" w:right="420" w:hanging="255"/>
        <w:spacing w:after="0" w:line="266"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loans in certain circumstances. The arrangements for a “last out” first-lien loan are set forth in an “agreement among lenders,” which provides lenders with “first out” and “last out” payment streams based on a single lien 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left="520" w:right="60"/>
        <w:spacing w:after="0" w:line="257" w:lineRule="auto"/>
        <w:rPr>
          <w:sz w:val="20"/>
          <w:szCs w:val="20"/>
          <w:color w:val="auto"/>
        </w:rPr>
      </w:pPr>
      <w:r>
        <w:rPr>
          <w:rFonts w:ascii="Arial" w:cs="Arial" w:eastAsia="Arial" w:hAnsi="Arial"/>
          <w:sz w:val="18"/>
          <w:szCs w:val="18"/>
          <w:color w:val="auto"/>
        </w:rPr>
        <w:t>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6" w:lineRule="exact"/>
        <w:rPr>
          <w:sz w:val="20"/>
          <w:szCs w:val="20"/>
          <w:color w:val="auto"/>
        </w:rPr>
      </w:pPr>
    </w:p>
    <w:p>
      <w:pPr>
        <w:ind w:left="520" w:right="40" w:hanging="255"/>
        <w:spacing w:after="0" w:line="266"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“Unitranche” loans. </w:t>
      </w:r>
      <w:r>
        <w:rPr>
          <w:rFonts w:ascii="Arial" w:cs="Arial" w:eastAsia="Arial" w:hAnsi="Arial"/>
          <w:sz w:val="18"/>
          <w:szCs w:val="18"/>
          <w:color w:val="auto"/>
        </w:rPr>
        <w:t>Unitranche loans combine features of first-lien, second-lien and mezzanine debt, generally in a first-lien position. In many cases,</w:t>
      </w:r>
      <w:r>
        <w:rPr>
          <w:rFonts w:ascii="Arial" w:cs="Arial" w:eastAsia="Arial" w:hAnsi="Arial"/>
          <w:sz w:val="18"/>
          <w:szCs w:val="18"/>
          <w:b w:val="1"/>
          <w:bCs w:val="1"/>
          <w:color w:val="auto"/>
        </w:rPr>
        <w:t xml:space="preserve"> </w:t>
      </w:r>
      <w:r>
        <w:rPr>
          <w:rFonts w:ascii="Arial" w:cs="Arial" w:eastAsia="Arial" w:hAnsi="Arial"/>
          <w:sz w:val="18"/>
          <w:szCs w:val="18"/>
          <w:color w:val="auto"/>
        </w:rPr>
        <w:t>we may provide the borrower most, if not all, of the capital structure above the equity. The primary advantages to the borrower are the ability to negotiate the entire debt financing with one lender and the elimination of intercreditor issues.</w:t>
      </w:r>
    </w:p>
    <w:p>
      <w:pPr>
        <w:spacing w:after="0" w:line="68" w:lineRule="exact"/>
        <w:rPr>
          <w:rFonts w:ascii="Arial" w:cs="Arial" w:eastAsia="Arial" w:hAnsi="Arial"/>
          <w:sz w:val="18"/>
          <w:szCs w:val="18"/>
          <w:color w:val="auto"/>
        </w:rPr>
      </w:pPr>
    </w:p>
    <w:p>
      <w:pPr>
        <w:ind w:left="520" w:right="160" w:hanging="255"/>
        <w:spacing w:after="0" w:line="25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5" w:lineRule="exact"/>
        <w:rPr>
          <w:rFonts w:ascii="Arial" w:cs="Arial" w:eastAsia="Arial" w:hAnsi="Arial"/>
          <w:sz w:val="18"/>
          <w:szCs w:val="18"/>
          <w:color w:val="auto"/>
        </w:rPr>
      </w:pPr>
    </w:p>
    <w:p>
      <w:pPr>
        <w:ind w:left="520" w:right="60" w:hanging="255"/>
        <w:spacing w:after="0" w:line="29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“Mezzanine” and “Unsecured” debt. </w:t>
      </w:r>
      <w:r>
        <w:rPr>
          <w:rFonts w:ascii="Arial" w:cs="Arial" w:eastAsia="Arial" w:hAnsi="Arial"/>
          <w:sz w:val="16"/>
          <w:szCs w:val="16"/>
          <w:color w:val="auto"/>
        </w:rPr>
        <w:t>Structurally, mezzanine debt usually ranks subordinate in priority of payment to first-lien and second-lien debt</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6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28" w:lineRule="exact"/>
        <w:rPr>
          <w:rFonts w:ascii="Arial" w:cs="Arial" w:eastAsia="Arial" w:hAnsi="Arial"/>
          <w:sz w:val="17"/>
          <w:szCs w:val="17"/>
          <w:color w:val="auto"/>
        </w:rPr>
      </w:pPr>
    </w:p>
    <w:p>
      <w:pPr>
        <w:ind w:left="520" w:hanging="255"/>
        <w:spacing w:after="0" w:line="259"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December 31, 2017 and 2016, we had made investments with an aggregate fair value of $1,693.7 million and $1,657.4 million, respectively, in 45 and 52 portfolio companies,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color w:val="auto"/>
        </w:rPr>
        <w:t>Investments consisted of the following at December 31,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2017</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2017 and 2016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3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Chemicals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6.7%</w:t>
            </w:r>
          </w:p>
        </w:tc>
        <w:tc>
          <w:tcPr>
            <w:tcW w:w="1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Education</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8.8%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6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14.0%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Office products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2017 and 2016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2017</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South</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40.6%</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Canada</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2017 and 2016, we had the following commitments to fund investments in current portfolio companies: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520" w:type="dxa"/>
            <w:vAlign w:val="bottom"/>
            <w:tcBorders>
              <w:top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8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5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5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 LLC - Revolver</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Marketo, Inc. - Revolver</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Northern Oil &amp; Gas - Delayed Draw</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My Alarm Center, LLC - Delayed Draw</w:t>
            </w:r>
          </w:p>
        </w:tc>
        <w:tc>
          <w:tcPr>
            <w:tcW w:w="5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PaySimple - Revolver</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Rex Energy Corporation - Delayed Draw</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Riskonnect, Inc. - Revolver</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Sailpoint Technologies, Inc. - Revolver</w:t>
            </w:r>
          </w:p>
        </w:tc>
        <w:tc>
          <w:tcPr>
            <w:tcW w:w="5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As of December 31, 2017, we did not have any unfunded commitments to fund investments to new borrowers that were not current portfolio companies as of such date. As of December 31, 2016, we had additional unfunded commitments of $50.0 million to fund investments to new borrowers that were not current portfolio companies as of such date.</w:t>
      </w:r>
    </w:p>
    <w:p>
      <w:pPr>
        <w:spacing w:after="0" w:line="181" w:lineRule="exact"/>
        <w:rPr>
          <w:sz w:val="20"/>
          <w:szCs w:val="20"/>
          <w:color w:val="auto"/>
        </w:rPr>
      </w:pPr>
    </w:p>
    <w:p>
      <w:pPr>
        <w:ind w:right="600" w:firstLine="259"/>
        <w:spacing w:after="0" w:line="277" w:lineRule="auto"/>
        <w:rPr>
          <w:sz w:val="20"/>
          <w:szCs w:val="20"/>
          <w:color w:val="auto"/>
        </w:rPr>
      </w:pPr>
      <w:r>
        <w:rPr>
          <w:rFonts w:ascii="Arial" w:cs="Arial" w:eastAsia="Arial" w:hAnsi="Arial"/>
          <w:sz w:val="18"/>
          <w:szCs w:val="18"/>
          <w:color w:val="auto"/>
        </w:rPr>
        <w:t>From time to time, we may become a party to certain legal proceedings incidental to the normal course of our business. As of December 31, 2017, management is not aware of any pending or threatened litigation.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We compete for investments with a number of BDCs and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 xml:space="preserve"> </w:t>
      </w:r>
      <w:r>
        <w:rPr>
          <w:rFonts w:ascii="Arial" w:cs="Arial" w:eastAsia="Arial" w:hAnsi="Arial"/>
          <w:sz w:val="17"/>
          <w:szCs w:val="17"/>
          <w:i w:val="1"/>
          <w:iCs w:val="1"/>
          <w:color w:val="auto"/>
        </w:rPr>
        <w:t>—We operate in a highly competitive market for investment opportunities.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We anticipate generating cash in the future from issuances of common stock and cash flows from operations, including interest received on our cash and cash equivalents, U.S. government securities and other high-quality debt investments that mature in one year or less.</w:t>
      </w:r>
    </w:p>
    <w:p>
      <w:pPr>
        <w:spacing w:after="0" w:line="170" w:lineRule="exact"/>
        <w:rPr>
          <w:sz w:val="20"/>
          <w:szCs w:val="20"/>
          <w:color w:val="auto"/>
        </w:rPr>
      </w:pPr>
    </w:p>
    <w:p>
      <w:pPr>
        <w:jc w:val="both"/>
        <w:ind w:right="60" w:firstLine="259"/>
        <w:spacing w:after="0" w:line="286" w:lineRule="auto"/>
        <w:rPr>
          <w:sz w:val="20"/>
          <w:szCs w:val="20"/>
          <w:color w:val="auto"/>
        </w:rPr>
      </w:pPr>
      <w:r>
        <w:rPr>
          <w:rFonts w:ascii="Arial" w:cs="Arial" w:eastAsia="Arial" w:hAnsi="Arial"/>
          <w:sz w:val="17"/>
          <w:szCs w:val="17"/>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2017 and 2016, our asset coverage was 235.5% and 237.7%, respectively. See “</w:t>
      </w:r>
      <w:r>
        <w:rPr>
          <w:rFonts w:ascii="Arial" w:cs="Arial" w:eastAsia="Arial" w:hAnsi="Arial"/>
          <w:sz w:val="17"/>
          <w:szCs w:val="17"/>
          <w:i w:val="1"/>
          <w:iCs w:val="1"/>
          <w:color w:val="auto"/>
        </w:rPr>
        <w:t>Regulation as a Business Development Company—Senior Securities</w:t>
      </w:r>
      <w:r>
        <w:rPr>
          <w:rFonts w:ascii="Arial" w:cs="Arial" w:eastAsia="Arial" w:hAnsi="Arial"/>
          <w:sz w:val="17"/>
          <w:szCs w:val="17"/>
          <w:color w:val="auto"/>
        </w:rPr>
        <w:t>” below.</w:t>
      </w:r>
    </w:p>
    <w:p>
      <w:pPr>
        <w:spacing w:after="0" w:line="166"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debt obligations consisted of the following as of December 31,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5"/>
                <w:szCs w:val="15"/>
                <w:color w:val="auto"/>
              </w:rPr>
            </w:pPr>
          </w:p>
        </w:tc>
      </w:tr>
      <w:tr>
        <w:trPr>
          <w:trHeight w:val="219"/>
        </w:trPr>
        <w:tc>
          <w:tcPr>
            <w:tcW w:w="30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020" w:type="dxa"/>
            <w:vAlign w:val="bottom"/>
            <w:gridSpan w:val="3"/>
          </w:tcPr>
          <w:p>
            <w:pPr>
              <w:ind w:left="760"/>
              <w:spacing w:after="0"/>
              <w:rPr>
                <w:sz w:val="20"/>
                <w:szCs w:val="20"/>
                <w:color w:val="auto"/>
              </w:rPr>
            </w:pPr>
            <w:r>
              <w:rPr>
                <w:rFonts w:ascii="Arial" w:cs="Arial" w:eastAsia="Arial" w:hAnsi="Arial"/>
                <w:sz w:val="14"/>
                <w:szCs w:val="14"/>
                <w:b w:val="1"/>
                <w:bCs w:val="1"/>
                <w:color w:val="auto"/>
                <w:w w:val="95"/>
              </w:rPr>
              <w:t>Amount Committed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238"/>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7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and 2022 Convertible Senior Notes are presented net of deferred financing costs of $7.1 million, $1.5 million and $3.2 million, respectively</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219"/>
        </w:trPr>
        <w:tc>
          <w:tcPr>
            <w:tcW w:w="30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020" w:type="dxa"/>
            <w:vAlign w:val="bottom"/>
            <w:gridSpan w:val="3"/>
          </w:tcPr>
          <w:p>
            <w:pPr>
              <w:ind w:left="760"/>
              <w:spacing w:after="0"/>
              <w:rPr>
                <w:sz w:val="20"/>
                <w:szCs w:val="20"/>
                <w:color w:val="auto"/>
              </w:rPr>
            </w:pPr>
            <w:r>
              <w:rPr>
                <w:rFonts w:ascii="Arial" w:cs="Arial" w:eastAsia="Arial" w:hAnsi="Arial"/>
                <w:sz w:val="14"/>
                <w:szCs w:val="14"/>
                <w:b w:val="1"/>
                <w:bCs w:val="1"/>
                <w:color w:val="auto"/>
                <w:w w:val="95"/>
              </w:rPr>
              <w:t>Amount Committed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239"/>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 xml:space="preserve">Available </w:t>
            </w:r>
            <w:r>
              <w:rPr>
                <w:rFonts w:ascii="Arial" w:cs="Arial" w:eastAsia="Arial" w:hAnsi="Arial"/>
                <w:sz w:val="12"/>
                <w:szCs w:val="12"/>
                <w:b w:val="1"/>
                <w:bCs w:val="1"/>
                <w:color w:val="auto"/>
                <w:w w:val="97"/>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7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7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color w:val="auto"/>
        </w:rPr>
        <w:t>For the years ended December 31, 2017, 2016 and 2015, the components of interest expense were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05"/>
        </w:trPr>
        <w:tc>
          <w:tcPr>
            <w:tcW w:w="3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Commitment fees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520" w:hanging="25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r>
        <w:rPr>
          <w:rFonts w:ascii="Arial" w:cs="Arial" w:eastAsia="Arial" w:hAnsi="Arial"/>
          <w:sz w:val="18"/>
          <w:szCs w:val="18"/>
          <w:i w:val="1"/>
          <w:iCs w:val="1"/>
          <w:color w:val="auto"/>
        </w:rPr>
        <w:t>See “ITEM 1A. RISK FACTORS—Risks Related to Our Business and Structure—We will be subject to corporate-level income tax if we are</w:t>
      </w:r>
      <w:r>
        <w:rPr>
          <w:rFonts w:ascii="Arial" w:cs="Arial" w:eastAsia="Arial" w:hAnsi="Arial"/>
          <w:sz w:val="18"/>
          <w:szCs w:val="18"/>
          <w:color w:val="auto"/>
        </w:rPr>
        <w:t xml:space="preserve"> </w:t>
      </w:r>
      <w:r>
        <w:rPr>
          <w:rFonts w:ascii="Arial" w:cs="Arial" w:eastAsia="Arial" w:hAnsi="Arial"/>
          <w:sz w:val="18"/>
          <w:szCs w:val="18"/>
          <w:i w:val="1"/>
          <w:iCs w:val="1"/>
          <w:color w:val="auto"/>
        </w:rPr>
        <w:t>unable to maintain our qualification as a RIC under Subchapter M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20" w:firstLine="259"/>
        <w:spacing w:after="0" w:line="289" w:lineRule="auto"/>
        <w:rPr>
          <w:sz w:val="20"/>
          <w:szCs w:val="20"/>
          <w:color w:val="auto"/>
        </w:rPr>
      </w:pPr>
      <w:r>
        <w:rPr>
          <w:rFonts w:ascii="Arial" w:cs="Arial" w:eastAsia="Arial" w:hAnsi="Arial"/>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7"/>
          <w:szCs w:val="17"/>
          <w:i w:val="1"/>
          <w:iCs w:val="1"/>
          <w:color w:val="auto"/>
        </w:rPr>
        <w:t>Investment Advisory Agreement; Administration Agreement; License Agreement</w:t>
      </w:r>
      <w:r>
        <w:rPr>
          <w:rFonts w:ascii="Arial" w:cs="Arial" w:eastAsia="Arial" w:hAnsi="Arial"/>
          <w:sz w:val="17"/>
          <w:szCs w:val="17"/>
          <w:color w:val="auto"/>
        </w:rPr>
        <w:t>”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20" w:hanging="255"/>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those changes;</w:t>
      </w:r>
    </w:p>
    <w:p>
      <w:pPr>
        <w:spacing w:after="0" w:line="128" w:lineRule="exact"/>
        <w:rPr>
          <w:rFonts w:ascii="Arial" w:cs="Arial" w:eastAsia="Arial" w:hAnsi="Arial"/>
          <w:sz w:val="17"/>
          <w:szCs w:val="17"/>
          <w:color w:val="auto"/>
        </w:rPr>
      </w:pPr>
    </w:p>
    <w:p>
      <w:pPr>
        <w:ind w:left="520" w:right="68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closes, monitors and administers the investments we make, including the exercise of any rights in our capacity as a lender or equity holder; and</w:t>
      </w:r>
    </w:p>
    <w:p>
      <w:pPr>
        <w:spacing w:after="0" w:line="128" w:lineRule="exact"/>
        <w:rPr>
          <w:rFonts w:ascii="Arial" w:cs="Arial" w:eastAsia="Arial" w:hAnsi="Arial"/>
          <w:sz w:val="17"/>
          <w:szCs w:val="17"/>
          <w:color w:val="auto"/>
        </w:rPr>
      </w:pPr>
    </w:p>
    <w:p>
      <w:pPr>
        <w:ind w:left="520" w:right="12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80" w:firstLine="259"/>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For each of the years ended December 31, 2017 and 2016, Management Fees were $24.3 million, of which less than $0.1 million and $0.1 million, respectively, were waived in each period.</w:t>
      </w:r>
    </w:p>
    <w:p>
      <w:pPr>
        <w:spacing w:after="0" w:line="170"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For the periods ended December 31, 2016 and prior, the Adviser voluntarily waived the Management Fee on our ownership of shares of common stock in TICC Capital Corp. (the “TICC Shares”).</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In addition, the Adviser has voluntarily waived the Management Fee on our ownership of shares of common stock in Triangle Capital Corp. (the “TCAP Shares”) for any period in which Triangle Capital Corp. remains our portfolio company.</w:t>
      </w:r>
    </w:p>
    <w:p>
      <w:pPr>
        <w:spacing w:after="0" w:line="170"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For the year ended December 31, 2017, Management Fees of less than $0.1 million were waived consisting solely of Management Fees attributable to our ownership of the TCAP Shares. For the year ended December 31, 2016, Management Fees of $0.1 million were waived consisting solely of Management Fees attributable to our ownership of the TICC Shares. Any waived Management Fees are not subject to recoupment by the Adviser.</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80" w:hanging="255"/>
        <w:spacing w:after="0" w:line="286"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right="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spacing w:after="0" w:line="273" w:lineRule="auto"/>
        <w:rPr>
          <w:rFonts w:ascii="Arial" w:cs="Arial" w:eastAsia="Arial" w:hAnsi="Arial"/>
          <w:sz w:val="16"/>
          <w:szCs w:val="16"/>
          <w:color w:val="auto"/>
        </w:rPr>
      </w:pPr>
      <w:r>
        <w:rPr>
          <w:rFonts w:ascii="Arial" w:cs="Arial" w:eastAsia="Arial" w:hAnsi="Arial"/>
          <w:sz w:val="17"/>
          <w:szCs w:val="17"/>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70" w:lineRule="exact"/>
        <w:rPr>
          <w:rFonts w:ascii="Arial" w:cs="Arial" w:eastAsia="Arial" w:hAnsi="Arial"/>
          <w:sz w:val="16"/>
          <w:szCs w:val="16"/>
          <w:color w:val="auto"/>
        </w:rPr>
      </w:pPr>
    </w:p>
    <w:p>
      <w:pPr>
        <w:ind w:left="520" w:right="40" w:hanging="255"/>
        <w:spacing w:after="0" w:line="270"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58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8"/>
          <w:szCs w:val="18"/>
          <w:color w:val="auto"/>
        </w:rPr>
        <w:t>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1"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420" w:firstLine="259"/>
        <w:spacing w:after="0" w:line="308" w:lineRule="auto"/>
        <w:rPr>
          <w:sz w:val="20"/>
          <w:szCs w:val="20"/>
          <w:color w:val="auto"/>
        </w:rPr>
      </w:pPr>
      <w:r>
        <w:rPr>
          <w:rFonts w:ascii="Arial" w:cs="Arial" w:eastAsia="Arial" w:hAnsi="Arial"/>
          <w:sz w:val="17"/>
          <w:szCs w:val="17"/>
          <w:color w:val="auto"/>
        </w:rPr>
        <w:t>For the years ended December 31, 2017, and 2016, Incentive Fees were $25.5 million and $22.7 million, respectively, all of which were realized and payable to the Adviser. For the years ended December 31, 2017 and 2016, no incentive fees were accrued related to capital gains.</w:t>
      </w:r>
    </w:p>
    <w:p>
      <w:pPr>
        <w:spacing w:after="0" w:line="14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For the periods ended December 31, 2016 and prior, the Adviser voluntarily waived the Incentive Fees attributable to pre-Incentive Fee net investment income accrued by us as a result of our ownership of the TICC Shares. The Adviser did not waive any part of the Capital Gains Fee attributable to our ownership of the TICC Shares and, accordingly, any realized capital gains or losses and unrealized capital depreciation with respect to the TICC Shares apply against our cumulative realized capital gains on which the Capital Gains Fee is calculated.</w:t>
      </w:r>
    </w:p>
    <w:p>
      <w:pPr>
        <w:spacing w:after="0" w:line="187"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In addition, the Adviser has voluntarily waived the Incentive Fees attributable to pre-Incentive Fee net investment income accrued by us as a result of our ownership of the TCAP Shares for any period in which Triangle Capital Corp. remains our portfolio company. The Adviser has not waived any part of the Capital Gains Fee attributable to our ownership of the TCAP Shares and, accordingly, any realized capital gains or losses and unrealized capital depreciation with respect to the TCAP Shares will be applied against our cumulative realized capital gains on which the Capital Gains Fee is calculated.</w:t>
      </w:r>
    </w:p>
    <w:p>
      <w:pPr>
        <w:spacing w:after="0" w:line="154" w:lineRule="exact"/>
        <w:rPr>
          <w:sz w:val="20"/>
          <w:szCs w:val="20"/>
          <w:color w:val="auto"/>
        </w:rPr>
      </w:pPr>
    </w:p>
    <w:p>
      <w:pPr>
        <w:jc w:val="both"/>
        <w:ind w:right="500" w:firstLine="259"/>
        <w:spacing w:after="0" w:line="286" w:lineRule="auto"/>
        <w:rPr>
          <w:sz w:val="20"/>
          <w:szCs w:val="20"/>
          <w:color w:val="auto"/>
        </w:rPr>
      </w:pPr>
      <w:r>
        <w:rPr>
          <w:rFonts w:ascii="Arial" w:cs="Arial" w:eastAsia="Arial" w:hAnsi="Arial"/>
          <w:sz w:val="17"/>
          <w:szCs w:val="17"/>
          <w:color w:val="auto"/>
        </w:rPr>
        <w:t>For the year ended December 31, 2017, Incentive Fees of less than $0.1 million were waived consisting solely of Incentive Fees attributable to our ownership of the TCAP Shares. For the year ended December 31, 2016, Incentive Fees of $0.3 million were waived consisting solely of Incentive Fees attributable to our ownership of the TICC Shares. Any waived Incentive Fees are not subject to recoupment by the Adviser.</w:t>
      </w:r>
    </w:p>
    <w:p>
      <w:pPr>
        <w:spacing w:after="0" w:line="166"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Since our IPO, with the exception of its waiver of Management Fees and certain Incentive Fees attributable to our ownership of the TCAP Shares and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TCAP Shares or TICC Shares, as the Adviser can discontinue the voluntary waiver at any time. Accordingly, we may be required to continue to pay the full amount of the Management Fee and Incentive Fee, including with respect to the TCAP Shares or TICC Shares, in future periods.</w:t>
      </w:r>
    </w:p>
    <w:p>
      <w:pPr>
        <w:spacing w:after="0" w:line="173" w:lineRule="exact"/>
        <w:rPr>
          <w:sz w:val="20"/>
          <w:szCs w:val="20"/>
          <w:color w:val="auto"/>
        </w:rPr>
      </w:pPr>
    </w:p>
    <w:p>
      <w:pPr>
        <w:ind w:right="340" w:firstLine="259"/>
        <w:spacing w:after="0" w:line="312" w:lineRule="auto"/>
        <w:rPr>
          <w:sz w:val="20"/>
          <w:szCs w:val="20"/>
          <w:color w:val="auto"/>
        </w:rPr>
      </w:pPr>
      <w:r>
        <w:rPr>
          <w:rFonts w:ascii="Arial" w:cs="Arial" w:eastAsia="Arial" w:hAnsi="Arial"/>
          <w:sz w:val="16"/>
          <w:szCs w:val="16"/>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was subsequently amended on February 22, 2017 to make certain clarifications to the agreement to provide greater detail regarding the scope of the reimbursable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7"/>
          <w:szCs w:val="17"/>
          <w:i w:val="1"/>
          <w:iCs w:val="1"/>
          <w:color w:val="auto"/>
        </w:rPr>
        <w:t>Payment of Our Expenses</w:t>
      </w:r>
      <w:r>
        <w:rPr>
          <w:rFonts w:ascii="Arial" w:cs="Arial" w:eastAsia="Arial" w:hAnsi="Arial"/>
          <w:sz w:val="17"/>
          <w:szCs w:val="17"/>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2017 and 2016, we incurred expenses of $3.5 million and $3.1 million, respectively, for administrative services payable under the terms of the Administration Agreement.</w:t>
      </w:r>
    </w:p>
    <w:p>
      <w:pPr>
        <w:spacing w:after="0" w:line="182"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jc w:val="both"/>
        <w:ind w:right="100" w:firstLine="259"/>
        <w:spacing w:after="0" w:line="264" w:lineRule="auto"/>
        <w:rPr>
          <w:sz w:val="20"/>
          <w:szCs w:val="20"/>
          <w:color w:val="auto"/>
        </w:rPr>
      </w:pPr>
      <w:r>
        <w:rPr>
          <w:rFonts w:ascii="Arial" w:cs="Arial" w:eastAsia="Arial" w:hAnsi="Arial"/>
          <w:sz w:val="18"/>
          <w:szCs w:val="18"/>
          <w:color w:val="auto"/>
        </w:rPr>
        <w:t>In November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8"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259"/>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152400</wp:posOffset>
            </wp:positionV>
            <wp:extent cx="4562475" cy="883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24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940" w:hanging="156"/>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260" w:right="390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40" w:hanging="156"/>
        <w:spacing w:after="0"/>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0.513%</w:t>
      </w:r>
    </w:p>
    <w:p>
      <w:pPr>
        <w:spacing w:after="0" w:line="10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520" w:hanging="512"/>
        <w:spacing w:after="0" w:line="281"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spacing w:after="0" w:line="1" w:lineRule="exact"/>
        <w:rPr>
          <w:rFonts w:ascii="Arial" w:cs="Arial" w:eastAsia="Arial" w:hAnsi="Arial"/>
          <w:sz w:val="16"/>
          <w:szCs w:val="16"/>
          <w:color w:val="auto"/>
        </w:rPr>
      </w:pPr>
    </w:p>
    <w:p>
      <w:pPr>
        <w:ind w:left="520" w:right="60"/>
        <w:spacing w:after="0" w:line="265"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ind w:left="5620" w:right="2260" w:hanging="5612"/>
        <w:spacing w:after="0" w:line="511" w:lineRule="auto"/>
        <w:tabs>
          <w:tab w:leader="none" w:pos="5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20" w:hanging="255"/>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73"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2" w:lineRule="exact"/>
        <w:rPr>
          <w:rFonts w:ascii="Arial" w:cs="Arial" w:eastAsia="Arial" w:hAnsi="Arial"/>
          <w:sz w:val="18"/>
          <w:szCs w:val="18"/>
          <w:color w:val="auto"/>
        </w:rPr>
      </w:pPr>
    </w:p>
    <w:p>
      <w:pPr>
        <w:ind w:left="520" w:right="480" w:hanging="255"/>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38" w:lineRule="exact"/>
        <w:rPr>
          <w:rFonts w:ascii="Arial" w:cs="Arial" w:eastAsia="Arial" w:hAnsi="Arial"/>
          <w:sz w:val="17"/>
          <w:szCs w:val="17"/>
          <w:color w:val="auto"/>
        </w:rPr>
      </w:pPr>
    </w:p>
    <w:p>
      <w:pPr>
        <w:ind w:left="520" w:right="20" w:hanging="255"/>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2" w:lineRule="exact"/>
        <w:rPr>
          <w:rFonts w:ascii="Arial" w:cs="Arial" w:eastAsia="Arial" w:hAnsi="Arial"/>
          <w:sz w:val="18"/>
          <w:szCs w:val="18"/>
          <w:color w:val="auto"/>
        </w:rPr>
      </w:pPr>
    </w:p>
    <w:p>
      <w:pPr>
        <w:ind w:left="520" w:right="200" w:hanging="255"/>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Year 6: Investment B sold for $16 million, FMV of Investment E determined to be $8 million and FMV of Investment F determined to be $15 million.</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Realized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B</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Depreciation</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209"/>
        </w:trPr>
        <w:tc>
          <w:tcPr>
            <w:tcW w:w="10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Year 1</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million</w:t>
            </w:r>
          </w:p>
        </w:tc>
        <w:tc>
          <w:tcPr>
            <w:tcW w:w="1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million</w:t>
            </w: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million</w:t>
            </w: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million</w:t>
            </w: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million</w:t>
            </w: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060" w:type="dxa"/>
            <w:vAlign w:val="bottom"/>
            <w:vMerge w:val="continue"/>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w w:val="99"/>
              </w:rPr>
              <w:t>(cost basis)</w:t>
            </w:r>
          </w:p>
        </w:tc>
        <w:tc>
          <w:tcPr>
            <w:tcW w:w="11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(cost basis)</w:t>
            </w: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w w:val="99"/>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spacing w:after="0"/>
              <w:rPr>
                <w:sz w:val="10"/>
                <w:szCs w:val="10"/>
                <w:color w:val="auto"/>
              </w:rPr>
            </w:pPr>
          </w:p>
        </w:tc>
        <w:tc>
          <w:tcPr>
            <w:tcW w:w="1140" w:type="dxa"/>
            <w:vAlign w:val="bottom"/>
            <w:gridSpan w:val="2"/>
            <w:vMerge w:val="continue"/>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tcPr>
          <w:p>
            <w:pPr>
              <w:spacing w:after="0"/>
              <w:rPr>
                <w:sz w:val="20"/>
                <w:szCs w:val="20"/>
                <w:color w:val="auto"/>
              </w:rPr>
            </w:pPr>
            <w:r>
              <w:rPr>
                <w:rFonts w:ascii="Arial" w:cs="Arial" w:eastAsia="Arial" w:hAnsi="Arial"/>
                <w:sz w:val="18"/>
                <w:szCs w:val="18"/>
                <w:color w:val="auto"/>
              </w:rPr>
              <w:t>Year 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 million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 million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 million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 million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 million</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(sale price)</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 million</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3 (IPO)</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 million</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 million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w w:val="99"/>
              </w:rPr>
              <w:t>FMV at IPO</w:t>
            </w: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w w:val="97"/>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w w:val="99"/>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w w:val="99"/>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 million</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 million</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tcPr>
          <w:p>
            <w:pPr>
              <w:spacing w:after="0"/>
              <w:rPr>
                <w:sz w:val="20"/>
                <w:szCs w:val="20"/>
                <w:color w:val="auto"/>
              </w:rPr>
            </w:pPr>
            <w:r>
              <w:rPr>
                <w:rFonts w:ascii="Arial" w:cs="Arial" w:eastAsia="Arial" w:hAnsi="Arial"/>
                <w:sz w:val="18"/>
                <w:szCs w:val="18"/>
                <w:color w:val="auto"/>
              </w:rPr>
              <w:t>Year 4</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 million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 million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 million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 million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 million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(sale price)</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(cost basis)</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5</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 million</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 million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 million</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 million</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tcPr>
          <w:p>
            <w:pPr>
              <w:spacing w:after="0"/>
              <w:rPr>
                <w:sz w:val="20"/>
                <w:szCs w:val="20"/>
                <w:color w:val="auto"/>
              </w:rPr>
            </w:pPr>
            <w:r>
              <w:rPr>
                <w:rFonts w:ascii="Arial" w:cs="Arial" w:eastAsia="Arial" w:hAnsi="Arial"/>
                <w:sz w:val="18"/>
                <w:szCs w:val="18"/>
                <w:color w:val="auto"/>
              </w:rPr>
              <w:t>Year 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 million</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 million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 million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(sale price)</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FMV</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 million</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7</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 million</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 million</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 million</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vMerge w:val="restart"/>
          </w:tcPr>
          <w:p>
            <w:pPr>
              <w:spacing w:after="0"/>
              <w:rPr>
                <w:sz w:val="20"/>
                <w:szCs w:val="20"/>
                <w:color w:val="auto"/>
              </w:rPr>
            </w:pPr>
            <w:r>
              <w:rPr>
                <w:rFonts w:ascii="Arial" w:cs="Arial" w:eastAsia="Arial" w:hAnsi="Arial"/>
                <w:sz w:val="18"/>
                <w:szCs w:val="18"/>
                <w:color w:val="auto"/>
              </w:rPr>
              <w:t>Year 8</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 million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(sale price)</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 million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rFonts w:ascii="Arial" w:cs="Arial" w:eastAsia="Arial" w:hAnsi="Arial"/>
          <w:sz w:val="18"/>
          <w:szCs w:val="18"/>
          <w:color w:val="auto"/>
        </w:rPr>
      </w:pPr>
    </w:p>
    <w:p>
      <w:pPr>
        <w:ind w:left="520"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rFonts w:ascii="Arial" w:cs="Arial" w:eastAsia="Arial" w:hAnsi="Arial"/>
          <w:sz w:val="18"/>
          <w:szCs w:val="18"/>
          <w:color w:val="auto"/>
        </w:rPr>
      </w:pPr>
    </w:p>
    <w:p>
      <w:pPr>
        <w:ind w:left="520" w:right="100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rFonts w:ascii="Arial" w:cs="Arial" w:eastAsia="Arial" w:hAnsi="Arial"/>
          <w:sz w:val="18"/>
          <w:szCs w:val="18"/>
          <w:color w:val="auto"/>
        </w:rPr>
      </w:pPr>
    </w:p>
    <w:p>
      <w:pPr>
        <w:ind w:left="520"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rFonts w:ascii="Arial" w:cs="Arial" w:eastAsia="Arial" w:hAnsi="Arial"/>
          <w:sz w:val="18"/>
          <w:szCs w:val="18"/>
          <w:color w:val="auto"/>
        </w:rPr>
      </w:pPr>
    </w:p>
    <w:p>
      <w:pPr>
        <w:ind w:left="520"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$12 million Total Gain Amount)) = </w:t>
      </w:r>
      <w:r>
        <w:rPr>
          <w:rFonts w:ascii="Arial" w:cs="Arial" w:eastAsia="Arial" w:hAnsi="Arial"/>
          <w:sz w:val="18"/>
          <w:szCs w:val="18"/>
          <w:b w:val="1"/>
          <w:bCs w:val="1"/>
          <w:color w:val="auto"/>
        </w:rPr>
        <w:t>15%</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rFonts w:ascii="Arial" w:cs="Arial" w:eastAsia="Arial" w:hAnsi="Arial"/>
          <w:sz w:val="18"/>
          <w:szCs w:val="18"/>
          <w:color w:val="auto"/>
        </w:rPr>
      </w:pPr>
    </w:p>
    <w:p>
      <w:pPr>
        <w:ind w:left="520"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rFonts w:ascii="Arial" w:cs="Arial" w:eastAsia="Arial" w:hAnsi="Arial"/>
          <w:sz w:val="18"/>
          <w:szCs w:val="18"/>
          <w:color w:val="auto"/>
        </w:rPr>
      </w:pPr>
    </w:p>
    <w:p>
      <w:pPr>
        <w:ind w:left="520" w:right="1000"/>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5"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rFonts w:ascii="Arial" w:cs="Arial" w:eastAsia="Arial" w:hAnsi="Arial"/>
          <w:sz w:val="18"/>
          <w:szCs w:val="18"/>
          <w:color w:val="auto"/>
        </w:rPr>
      </w:pPr>
    </w:p>
    <w:p>
      <w:pPr>
        <w:ind w:left="520" w:right="3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62"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rFonts w:ascii="Arial" w:cs="Arial" w:eastAsia="Arial" w:hAnsi="Arial"/>
          <w:sz w:val="18"/>
          <w:szCs w:val="18"/>
          <w:color w:val="auto"/>
        </w:rPr>
      </w:pPr>
    </w:p>
    <w:p>
      <w:pPr>
        <w:ind w:left="520" w:right="38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7"/>
          <w:szCs w:val="17"/>
          <w:b w:val="1"/>
          <w:bCs w:val="1"/>
          <w:color w:val="auto"/>
        </w:rPr>
        <w:t>$1.39 million</w:t>
      </w:r>
    </w:p>
    <w:p>
      <w:pPr>
        <w:spacing w:after="0" w:line="38"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80" w:hanging="255"/>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20" w:hanging="255"/>
        <w:spacing w:after="0" w:line="30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left="520" w:right="340" w:hanging="255"/>
        <w:spacing w:after="0" w:line="342"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60" w:firstLine="259"/>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2018,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6"/>
          <w:szCs w:val="16"/>
          <w:i w:val="1"/>
          <w:iCs w:val="1"/>
          <w:color w:val="auto"/>
        </w:rPr>
        <w:t>ITEM 1A. RISK FACTORS—Risks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Structure—We are dependent upon management personnel of the Adviser, TSSP, TPG and their affiliates for our future success</w:t>
      </w:r>
      <w:r>
        <w:rPr>
          <w:rFonts w:ascii="Arial" w:cs="Arial" w:eastAsia="Arial" w:hAnsi="Arial"/>
          <w:sz w:val="16"/>
          <w:szCs w:val="16"/>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40" w:firstLine="259"/>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2017. In its consideration of the Investment Advisory Agreement at the time of approval and renewal, the Board focused on information it had received relating to, among other things:</w:t>
      </w:r>
    </w:p>
    <w:p>
      <w:pPr>
        <w:spacing w:after="0" w:line="79"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left="520" w:right="120" w:hanging="255"/>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expense ratio compared to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those services under 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jc w:val="both"/>
        <w:ind w:right="260" w:firstLine="259"/>
        <w:spacing w:after="0" w:line="264"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factors collectively as a whole.</w:t>
      </w:r>
    </w:p>
    <w:p>
      <w:pPr>
        <w:spacing w:after="0" w:line="18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7"/>
          <w:szCs w:val="17"/>
          <w:i w:val="1"/>
          <w:iCs w:val="1"/>
          <w:color w:val="auto"/>
        </w:rPr>
        <w:t>ITEM 1A.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FACTORS—Risks Related to Our Business and Structure—We borrow money, which magnifies the potential for gain or loss and increases the risk of investing in us</w:t>
      </w:r>
      <w:r>
        <w:rPr>
          <w:rFonts w:ascii="Arial" w:cs="Arial" w:eastAsia="Arial" w:hAnsi="Arial"/>
          <w:sz w:val="17"/>
          <w:szCs w:val="17"/>
          <w:color w:val="auto"/>
        </w:rPr>
        <w:t>.” As of December 31, 2017 and 2016, our asset coverage was 235.5% and 237.7% respectively.</w:t>
      </w:r>
    </w:p>
    <w:p>
      <w:pPr>
        <w:spacing w:after="0" w:line="178"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300" w:firstLine="259"/>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7"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our Affiliates</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ind w:right="480" w:firstLine="259"/>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16" w:lineRule="exact"/>
        <w:rPr>
          <w:sz w:val="20"/>
          <w:szCs w:val="20"/>
          <w:color w:val="auto"/>
        </w:rPr>
      </w:pPr>
    </w:p>
    <w:p>
      <w:pPr>
        <w:ind w:left="520" w:right="360" w:hanging="255"/>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investment will not benefit any affiliate other than the affiliate participating in the investment, and as otherwise permitted by the order.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520" w:right="20" w:hanging="255"/>
        <w:spacing w:after="0" w:line="288"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ind w:left="520"/>
        <w:spacing w:after="0"/>
        <w:rPr>
          <w:rFonts w:ascii="Arial" w:cs="Arial" w:eastAsia="Arial" w:hAnsi="Arial"/>
          <w:sz w:val="16"/>
          <w:szCs w:val="16"/>
          <w:color w:val="auto"/>
        </w:rPr>
      </w:pPr>
      <w:r>
        <w:rPr>
          <w:rFonts w:ascii="Arial" w:cs="Arial" w:eastAsia="Arial" w:hAnsi="Arial"/>
          <w:sz w:val="18"/>
          <w:szCs w:val="18"/>
          <w:color w:val="auto"/>
        </w:rPr>
        <w:t>1940 Act as any issuer which:</w:t>
      </w:r>
    </w:p>
    <w:p>
      <w:pPr>
        <w:spacing w:after="0" w:line="102" w:lineRule="exact"/>
        <w:rPr>
          <w:rFonts w:ascii="Arial" w:cs="Arial" w:eastAsia="Arial" w:hAnsi="Arial"/>
          <w:sz w:val="16"/>
          <w:szCs w:val="16"/>
          <w:color w:val="auto"/>
        </w:rPr>
      </w:pPr>
    </w:p>
    <w:p>
      <w:pPr>
        <w:ind w:left="780" w:hanging="259"/>
        <w:spacing w:after="0"/>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780" w:right="220" w:hanging="259"/>
        <w:spacing w:after="0" w:line="277" w:lineRule="auto"/>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300" w:hanging="266"/>
        <w:spacing w:after="0"/>
        <w:tabs>
          <w:tab w:leader="none" w:pos="13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has an equity market capitalization of less than $250 million or does not have any class of securities listed on a national securities exchange;</w:t>
      </w:r>
    </w:p>
    <w:p>
      <w:pPr>
        <w:spacing w:after="0" w:line="140" w:lineRule="exact"/>
        <w:rPr>
          <w:rFonts w:ascii="Arial" w:cs="Arial" w:eastAsia="Arial" w:hAnsi="Arial"/>
          <w:sz w:val="16"/>
          <w:szCs w:val="16"/>
          <w:color w:val="auto"/>
        </w:rPr>
      </w:pPr>
    </w:p>
    <w:p>
      <w:pPr>
        <w:ind w:left="1300" w:right="80" w:hanging="266"/>
        <w:spacing w:after="0" w:line="264" w:lineRule="auto"/>
        <w:tabs>
          <w:tab w:leader="none" w:pos="1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3" w:lineRule="exact"/>
        <w:rPr>
          <w:rFonts w:ascii="Arial" w:cs="Arial" w:eastAsia="Arial" w:hAnsi="Arial"/>
          <w:sz w:val="18"/>
          <w:szCs w:val="18"/>
          <w:color w:val="auto"/>
        </w:rPr>
      </w:pPr>
    </w:p>
    <w:p>
      <w:pPr>
        <w:ind w:left="1300" w:hanging="266"/>
        <w:spacing w:after="0"/>
        <w:tabs>
          <w:tab w:leader="none" w:pos="13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520" w:right="120" w:hanging="255"/>
        <w:spacing w:after="0" w:line="312"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38" w:lineRule="exact"/>
        <w:rPr>
          <w:rFonts w:ascii="Arial" w:cs="Arial" w:eastAsia="Arial" w:hAnsi="Arial"/>
          <w:sz w:val="16"/>
          <w:szCs w:val="16"/>
          <w:color w:val="auto"/>
        </w:rPr>
      </w:pPr>
    </w:p>
    <w:p>
      <w:pPr>
        <w:ind w:left="520" w:right="260" w:hanging="255"/>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20" w:right="380" w:hanging="255"/>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As a BDC, we generally must have 200% asset coverage for our debt after incurring any new indebtedness, meaning that the total value of our assets must be at least twice the amount of the debt (i.e., 50% leverage). As of December 31, 2017 and 2016, our asset coverage was 235.5% and 237.7% respectively.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5" w:name="page26"/>
    <w:bookmarkEnd w:id="25"/>
    <w:p>
      <w:pPr>
        <w:ind w:firstLine="259"/>
        <w:spacing w:after="0" w:line="25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The 1940 Act imposes limitations on a BDC’s issuance of preferred stock, which is considered a “senior security” and thus is subject to the 200% asset coverage requirement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380" w:firstLine="259"/>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20" w:right="120" w:hanging="255"/>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20" w:right="840" w:hanging="255"/>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520" w:right="140" w:hanging="255"/>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jc w:val="both"/>
        <w:ind w:left="520" w:right="120" w:hanging="255"/>
        <w:spacing w:after="0" w:line="286"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Corporate Governance Rules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firstLine="259"/>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w:t>
      </w:r>
    </w:p>
    <w:p>
      <w:pPr>
        <w:spacing w:after="0" w:line="170"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17" w:lineRule="exact"/>
        <w:rPr>
          <w:rFonts w:ascii="Arial" w:cs="Arial" w:eastAsia="Arial" w:hAnsi="Arial"/>
          <w:sz w:val="18"/>
          <w:szCs w:val="18"/>
          <w:color w:val="auto"/>
        </w:rPr>
      </w:pPr>
    </w:p>
    <w:p>
      <w:pPr>
        <w:ind w:left="780" w:right="300" w:hanging="259"/>
        <w:spacing w:after="0" w:line="286" w:lineRule="auto"/>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rFonts w:ascii="Arial" w:cs="Arial" w:eastAsia="Arial" w:hAnsi="Arial"/>
          <w:sz w:val="17"/>
          <w:szCs w:val="17"/>
          <w:color w:val="auto"/>
        </w:rPr>
      </w:pPr>
    </w:p>
    <w:p>
      <w:pPr>
        <w:ind w:left="780" w:right="20" w:hanging="259"/>
        <w:spacing w:after="0" w:line="264"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780" w:right="80" w:hanging="259"/>
        <w:spacing w:after="0" w:line="277"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6"/>
          <w:szCs w:val="16"/>
          <w:i w:val="1"/>
          <w:iCs w:val="1"/>
          <w:color w:val="auto"/>
        </w:rPr>
        <w:t>Dividend Policy</w:t>
      </w:r>
      <w:r>
        <w:rPr>
          <w:rFonts w:ascii="Arial" w:cs="Arial" w:eastAsia="Arial" w:hAnsi="Arial"/>
          <w:sz w:val="16"/>
          <w:szCs w:val="16"/>
          <w:color w:val="auto"/>
        </w:rPr>
        <w:t>” and “—</w:t>
      </w:r>
      <w:r>
        <w:rPr>
          <w:rFonts w:ascii="Arial" w:cs="Arial" w:eastAsia="Arial" w:hAnsi="Arial"/>
          <w:sz w:val="16"/>
          <w:szCs w:val="16"/>
          <w:i w:val="1"/>
          <w:iCs w:val="1"/>
          <w:color w:val="auto"/>
        </w:rPr>
        <w:t>Dividend Reinvestment Plan</w:t>
      </w:r>
      <w:r>
        <w:rPr>
          <w:rFonts w:ascii="Arial" w:cs="Arial" w:eastAsia="Arial" w:hAnsi="Arial"/>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39" w:lineRule="exact"/>
        <w:rPr>
          <w:sz w:val="20"/>
          <w:szCs w:val="20"/>
          <w:color w:val="auto"/>
        </w:rPr>
      </w:pPr>
    </w:p>
    <w:p>
      <w:pPr>
        <w:ind w:left="520" w:right="200" w:hanging="255"/>
        <w:spacing w:after="0" w:line="312"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38" w:lineRule="exact"/>
        <w:rPr>
          <w:rFonts w:ascii="Arial" w:cs="Arial" w:eastAsia="Arial" w:hAnsi="Arial"/>
          <w:sz w:val="16"/>
          <w:szCs w:val="16"/>
          <w:color w:val="auto"/>
        </w:rPr>
      </w:pPr>
    </w:p>
    <w:p>
      <w:pPr>
        <w:ind w:left="520" w:right="26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8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40" w:firstLine="259"/>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380" w:firstLine="259"/>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1940 Act imposes numerous constraints on the operations of BDCs. See “</w:t>
      </w:r>
      <w:r>
        <w:rPr>
          <w:rFonts w:ascii="Arial" w:cs="Arial" w:eastAsia="Arial" w:hAnsi="Arial"/>
          <w:sz w:val="16"/>
          <w:szCs w:val="16"/>
          <w:i w:val="1"/>
          <w:iCs w:val="1"/>
          <w:color w:val="auto"/>
        </w:rPr>
        <w:t>ITEM 1. BUSINESS—Regulation as a Business Development Company</w:t>
      </w:r>
      <w:r>
        <w:rPr>
          <w:rFonts w:ascii="Arial" w:cs="Arial" w:eastAsia="Arial" w:hAnsi="Arial"/>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right="14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60" w:firstLine="259"/>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2"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 Company Investments</w:t>
      </w:r>
      <w:r>
        <w:rPr>
          <w:rFonts w:ascii="Arial" w:cs="Arial" w:eastAsia="Arial" w:hAnsi="Arial"/>
          <w:sz w:val="16"/>
          <w:szCs w:val="16"/>
          <w:b w:val="1"/>
          <w:bCs w:val="1"/>
          <w:color w:val="auto"/>
        </w:rPr>
        <w:t>—</w:t>
      </w:r>
      <w:r>
        <w:rPr>
          <w:rFonts w:ascii="Arial" w:cs="Arial" w:eastAsia="Arial" w:hAnsi="Arial"/>
          <w:sz w:val="16"/>
          <w:szCs w:val="16"/>
          <w:i w:val="1"/>
          <w:iCs w:val="1"/>
          <w:color w:val="auto"/>
        </w:rPr>
        <w:t>We may securitize certain of our investments, which may subject us to certain structured financing risks</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00" w:firstLine="259"/>
        <w:spacing w:after="0" w:line="288"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Structure—Even in the event the value of your investment declines, the Management Fee and, in certain circumstances, the Incentive Fee will still be payable to the Adviser</w:t>
      </w:r>
      <w:r>
        <w:rPr>
          <w:rFonts w:ascii="Arial" w:cs="Arial" w:eastAsia="Arial" w:hAnsi="Arial"/>
          <w:sz w:val="16"/>
          <w:szCs w:val="16"/>
          <w:color w:val="auto"/>
        </w:rPr>
        <w:t>.” The amount of leverage that we employ will depend on our Adviser’s and our Board’s assessment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and other factors at the time of any proposed borrowing. We cannot assure you that we will be able to obtain credit at all or on terms acceptable to us.</w:t>
      </w:r>
    </w:p>
    <w:p>
      <w:pPr>
        <w:spacing w:after="0" w:line="169"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260"/>
        <w:spacing w:after="0" w:line="286" w:lineRule="auto"/>
        <w:rPr>
          <w:sz w:val="20"/>
          <w:szCs w:val="20"/>
          <w:color w:val="auto"/>
        </w:rPr>
      </w:pPr>
      <w:r>
        <w:rPr>
          <w:rFonts w:ascii="Arial" w:cs="Arial" w:eastAsia="Arial" w:hAnsi="Arial"/>
          <w:sz w:val="17"/>
          <w:szCs w:val="17"/>
          <w:color w:val="auto"/>
        </w:rPr>
        <w:t>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66" w:lineRule="exact"/>
        <w:rPr>
          <w:sz w:val="20"/>
          <w:szCs w:val="20"/>
          <w:color w:val="auto"/>
        </w:rPr>
      </w:pPr>
    </w:p>
    <w:p>
      <w:pPr>
        <w:ind w:right="420" w:firstLine="259"/>
        <w:spacing w:after="0" w:line="286"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 Company Investments—We expose ourselves to risks when we engage in hedging transactions.”</w:t>
      </w:r>
    </w:p>
    <w:p>
      <w:pPr>
        <w:spacing w:after="0" w:line="166"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As of December 31, 2017, we had $716.8 million of outstanding indebtedness, which had an annualized interest cost of 3.34% under the terms of our debt, excluding fees (such as fees on undrawn amounts and amortization of upfront fees) and giving effect to the swap-adjusted interest rate on our 2019 and 2022 Convertible Senior Notes. As of December 31, 2017, the interest rate on our 2019 Convertible Senior Notes, as adjusted to give effect to the interest rate swaps, was three-month London Interbank Offered Rate, or LIBOR, plus 286 basis points and the interest rate on our 2022 Convertible Senior Notes was three-month LIBOR plus 237.2 basis points.</w:t>
      </w:r>
    </w:p>
    <w:p>
      <w:pPr>
        <w:spacing w:after="0" w:line="188"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1.4%.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Assumed Return on Our Portfolio</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2"/>
                <w:szCs w:val="12"/>
                <w:color w:val="auto"/>
              </w:rPr>
            </w:pPr>
          </w:p>
        </w:tc>
        <w:tc>
          <w:tcPr>
            <w:tcW w:w="11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 of expenses)</w:t>
            </w:r>
          </w:p>
        </w:tc>
        <w:tc>
          <w:tcPr>
            <w:tcW w:w="11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2"/>
                <w:szCs w:val="12"/>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0%</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15"/>
                <w:szCs w:val="15"/>
                <w:color w:val="auto"/>
              </w:rPr>
              <w:t>(1)</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as of December 31, 2017, (i) $1.7 billion in total assets, (ii) $716.8 million in outstanding indebtedness, (iii) $969.3 million in net assets and (iv) annualized interest cost of 3.34%, under the terms of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may allow us to incur additional leverage.</w:t>
      </w:r>
    </w:p>
    <w:p>
      <w:pPr>
        <w:spacing w:after="0" w:line="117"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congress,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5"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80" w:firstLine="259"/>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Annual Report.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360"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right="10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00" w:firstLine="259"/>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jc w:val="both"/>
        <w:ind w:right="140" w:firstLine="259"/>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46" w:lineRule="exact"/>
        <w:rPr>
          <w:sz w:val="20"/>
          <w:szCs w:val="20"/>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20" w:firstLine="259"/>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46" w:lineRule="exact"/>
        <w:rPr>
          <w:sz w:val="20"/>
          <w:szCs w:val="20"/>
          <w:color w:val="auto"/>
        </w:rPr>
      </w:pPr>
    </w:p>
    <w:p>
      <w:pPr>
        <w:ind w:left="520" w:right="10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62" w:lineRule="exact"/>
        <w:rPr>
          <w:rFonts w:ascii="Arial" w:cs="Arial" w:eastAsia="Arial" w:hAnsi="Arial"/>
          <w:sz w:val="18"/>
          <w:szCs w:val="18"/>
          <w:color w:val="auto"/>
        </w:rPr>
      </w:pPr>
    </w:p>
    <w:p>
      <w:pPr>
        <w:ind w:left="520" w:right="360" w:hanging="255"/>
        <w:spacing w:after="0" w:line="312"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As of December 31, 2017 and 2016, we elected to retain approximately $64 million and $52 million of taxable income and capital gains, respectively, in order to provide us with additional liquidity and we recorded an expense of $2.8 million and $2.2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8"/>
          <w:szCs w:val="18"/>
          <w:i w:val="1"/>
          <w:iCs w:val="1"/>
          <w:color w:val="auto"/>
        </w:rPr>
        <w:t>ITEM 1. BUSINESS—Regulation as a Business Development Company—Regulated Investment Company Classification</w:t>
      </w:r>
      <w:r>
        <w:rPr>
          <w:rFonts w:ascii="Arial" w:cs="Arial" w:eastAsia="Arial" w:hAnsi="Arial"/>
          <w:sz w:val="18"/>
          <w:szCs w:val="18"/>
          <w:color w:val="auto"/>
        </w:rPr>
        <w:t>” for more information.</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60" w:firstLine="259"/>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If the Adviser and TPG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w:t>
      </w:r>
    </w:p>
    <w:p>
      <w:pPr>
        <w:spacing w:after="0" w:line="287"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9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320" w:firstLine="259"/>
        <w:spacing w:after="0" w:line="279" w:lineRule="auto"/>
        <w:rPr>
          <w:sz w:val="20"/>
          <w:szCs w:val="20"/>
          <w:color w:val="auto"/>
        </w:rPr>
      </w:pPr>
      <w:r>
        <w:rPr>
          <w:rFonts w:ascii="Arial" w:cs="Arial" w:eastAsia="Arial" w:hAnsi="Arial"/>
          <w:sz w:val="17"/>
          <w:szCs w:val="17"/>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60" w:firstLine="259"/>
        <w:spacing w:after="0" w:line="267"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6"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80"/>
        <w:spacing w:after="0" w:line="271" w:lineRule="auto"/>
        <w:rPr>
          <w:sz w:val="20"/>
          <w:szCs w:val="20"/>
          <w:color w:val="auto"/>
        </w:rPr>
      </w:pPr>
      <w:r>
        <w:rPr>
          <w:rFonts w:ascii="Arial" w:cs="Arial" w:eastAsia="Arial" w:hAnsi="Arial"/>
          <w:sz w:val="17"/>
          <w:szCs w:val="17"/>
          <w:color w:val="auto"/>
        </w:rPr>
        <w:t>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9"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31"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 Company Investments.</w:t>
      </w:r>
      <w:r>
        <w:rPr>
          <w:rFonts w:ascii="Arial" w:cs="Arial" w:eastAsia="Arial" w:hAnsi="Arial"/>
          <w:sz w:val="17"/>
          <w:szCs w:val="17"/>
          <w:color w:val="auto"/>
        </w:rPr>
        <w:t>”</w:t>
      </w:r>
    </w:p>
    <w:p>
      <w:pPr>
        <w:spacing w:after="0" w:line="183"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On July 21, 2010, the Wall Street Reform and Consumer Protection Act, or the Dodd-Frank Act, was signed into law. Some of the provisions of the Dodd-Frank Act have been implemented, while others have extended implementation periods and delayed effective dates and will require extensive rulemaking by regulatory authorities, and uncertainty remains about the details of implementation. While the full impact of the Dodd-Frank Act on us and our portfolio companies may not be known for an extended period of time, the Dodd-Frank Act, including current rules and regulations and proposed rules implementing its provisions and the interpretation of those rules, along with other legislative and regulatory proposals directed at the financial services industry that are proposed or pending in the U.S. Congress, as well as the uncertainty surrounding such rules and proposals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66"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On June 8, 2017, the U.S. House of Representatives passed the Financial Choice Act, which includes legislation intended to repeal or replace substantial portions of the Dodd-Frank Act. Among other things, the proposed law would repeal the Volcker Rule limiting certain proprietary investment and trading activities by banks, eliminate the authority of regulators to designate asset managers and other large non-bank institutions as “systemically important financial institutions” or “SIFIs,” and repeal the Department of Labor (“DOL”) “fiduciary rule” governing standards for dealing with retirement plans until the SEC issues standards for similar dealings by broker dealers and limiting the substance of any subsequent DOL rule to the SEC standards. The bill has been referred to the Senate, where it is unlikely to pass in its current form. On November 16, 2017, a bipartisan group of U.S. Senators, led by the Senate Banking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40"/>
        <w:spacing w:after="0" w:line="289" w:lineRule="auto"/>
        <w:rPr>
          <w:sz w:val="20"/>
          <w:szCs w:val="20"/>
          <w:color w:val="auto"/>
        </w:rPr>
      </w:pPr>
      <w:r>
        <w:rPr>
          <w:rFonts w:ascii="Arial" w:cs="Arial" w:eastAsia="Arial" w:hAnsi="Arial"/>
          <w:sz w:val="16"/>
          <w:szCs w:val="16"/>
          <w:color w:val="auto"/>
        </w:rPr>
        <w:t>Committee Chairman, introduced the Economic Growth, Regulatory Relief, and Consumer Protection Act (the “Senate Regulatory Relief Bill”). The Senate Regulatory Relief Bill would revise various post-crisis regulatory requirements and provide targeted regulatory relief to certain financial institutions. Among the most significant of its proposed amendments to the Dodd-Frank Act are a substantial increase in the $50 billion asset threshold for automatic regulation of bank holding companies as SIFIs, an exemption from the Volcker Rule for insured depository institutions with less than $10 billion in consolidated assets and lower levels of trading assets and liabilities, as well as amendments to the liquidity leverage ratio and supplementary leverage ratio requirements. On December 5, 2017, the Senate Banking Committee approved the Senate Regulatory Relief Bill. If the legislation is adopted in the Senate, it remains unclear whether and how it would be reconciled with its House-passed counterpart, the Financial Choice Act, which is substantially different in scope and substance, and ultimately approved by both chambers of Congress. At this time it is unclear what impact the Financial Choice Act, the Senate Regulatory Relief Bill or other pending legislation and developments will have on regulations that affect our, our competitors’ and our portfolio companies’ businesses.</w:t>
      </w:r>
    </w:p>
    <w:p>
      <w:pPr>
        <w:spacing w:after="0" w:line="167"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interest rates of our debt investments to our portfolio companies and our indebtedness that extend beyond 2021 might be subject to change based on recent regulatory changes.</w:t>
      </w:r>
    </w:p>
    <w:p>
      <w:pPr>
        <w:spacing w:after="0" w:line="62"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w:t>
      </w:r>
    </w:p>
    <w:p>
      <w:pPr>
        <w:spacing w:after="0" w:line="188"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The future of LIBOR at this time is uncertain. 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ability to receive attractive returns.</w:t>
      </w:r>
    </w:p>
    <w:p>
      <w:pPr>
        <w:spacing w:after="0" w:line="17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addition, if LIBOR ceases to exist, we may need to renegotiate certain terms of our Revolving Credit Facility. If we are unable to do so, amounts drawn under the Revolving Credit Facility may bear interest at a higher rate, which would increase the cost of our borrowings and, in turn, affect our return on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tax reform legislation may adversely affect our business.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Recently enacted legislation has made significant changes to the U.S. federal income tax system. Among other things, the legislation may limit the ability of borrowers to fully deduct interest expense. This could potentially affect the loan market, for example by impacting the demand for loans available from us or the terms of such loans. The changes to interest deductibility, utility of net operating losses and other provisions of the legislation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this legislation on the loan market and about its tax consequences of an investment in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580" w:firstLine="259"/>
        <w:spacing w:after="0" w:line="259"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For instance, the referendum by British voters to exit the European Union (“Brexit”) in June 2016 and the United Kingdom’s subsequent invocation of Article 50 of the Treaty on the European Union in March 2017 have led to disruption and instability in the global markets. Disruptions in the capital markets increased the spread between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right="20"/>
        <w:spacing w:after="0" w:line="257" w:lineRule="auto"/>
        <w:rPr>
          <w:sz w:val="20"/>
          <w:szCs w:val="20"/>
          <w:color w:val="auto"/>
        </w:rPr>
      </w:pPr>
      <w:r>
        <w:rPr>
          <w:rFonts w:ascii="Arial" w:cs="Arial" w:eastAsia="Arial" w:hAnsi="Arial"/>
          <w:sz w:val="18"/>
          <w:szCs w:val="18"/>
          <w:color w:val="auto"/>
        </w:rPr>
        <w:t>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8"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5, 2011. Further, Moody’s and Fitch warned that they may downgrade the federal government’s credit rating. Further downgrades or warnings by S&amp;P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rating agencies, and the government’s credit and deficit concerns in general, could cause interest rates and borrowing costs to rise, which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 both the perception of credit risk associated with our debt portfolio and our ability to access the debt markets on favorable terms.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a decreased credit rating could create broader financial turmoil and uncertainty, which may weigh heavily on our financial performance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our common stock. Also, to the extent uncertainty regarding any economic recovery in Europe and Brexit continue to negatively impact consumer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confidence and consumer credit factors, our business and results of operations could be significantly and adversely affected.</w:t>
      </w:r>
    </w:p>
    <w:p>
      <w:pPr>
        <w:spacing w:after="0" w:line="21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late 2016 and three times in 2017, the Federal Reserve raised the target range for the federal funds rate. If key economic indicators, such as the unemployment rate or inflation, continue to show signs of improvement, the target range for the federal funds rate may further increase and cause interest rates and borrowing costs to rise, which may negatively impact our ability to access the debt markets on favorable terms.</w:t>
      </w:r>
    </w:p>
    <w:p>
      <w:pPr>
        <w:spacing w:after="0" w:line="182"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These or other regulatory changes could result in greater competition from banks and other lenders with which we compete for lending and other investment opportunities.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80" w:firstLine="259"/>
        <w:spacing w:after="0" w:line="273"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17" w:lineRule="exact"/>
        <w:rPr>
          <w:sz w:val="20"/>
          <w:szCs w:val="20"/>
          <w:color w:val="auto"/>
        </w:rPr>
      </w:pPr>
    </w:p>
    <w:p>
      <w:pPr>
        <w:ind w:left="520" w:right="48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3" w:lineRule="exact"/>
        <w:rPr>
          <w:rFonts w:ascii="Arial" w:cs="Arial" w:eastAsia="Arial" w:hAnsi="Arial"/>
          <w:sz w:val="18"/>
          <w:szCs w:val="18"/>
          <w:color w:val="auto"/>
        </w:rPr>
      </w:pPr>
    </w:p>
    <w:p>
      <w:pPr>
        <w:ind w:left="520" w:right="120" w:hanging="255"/>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2" w:lineRule="exact"/>
        <w:rPr>
          <w:rFonts w:ascii="Arial" w:cs="Arial" w:eastAsia="Arial" w:hAnsi="Arial"/>
          <w:sz w:val="18"/>
          <w:szCs w:val="18"/>
          <w:color w:val="auto"/>
        </w:rPr>
      </w:pPr>
    </w:p>
    <w:p>
      <w:pPr>
        <w:ind w:left="520" w:right="16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17" w:lineRule="exact"/>
        <w:rPr>
          <w:sz w:val="20"/>
          <w:szCs w:val="20"/>
          <w:color w:val="auto"/>
        </w:rPr>
      </w:pPr>
    </w:p>
    <w:p>
      <w:pPr>
        <w:ind w:left="520" w:right="100" w:hanging="255"/>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520" w:right="140" w:hanging="255"/>
        <w:spacing w:after="0" w:line="342"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jc w:val="both"/>
        <w:ind w:left="520" w:right="180" w:hanging="255"/>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520" w:right="160" w:hanging="255"/>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color w:val="auto"/>
        </w:rPr>
      </w:pPr>
    </w:p>
    <w:p>
      <w:pPr>
        <w:ind w:left="520" w:right="280" w:hanging="255"/>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2"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62" w:lineRule="exact"/>
        <w:rPr>
          <w:rFonts w:ascii="Arial" w:cs="Arial" w:eastAsia="Arial" w:hAnsi="Arial"/>
          <w:sz w:val="18"/>
          <w:szCs w:val="18"/>
          <w:color w:val="auto"/>
        </w:rPr>
      </w:pPr>
    </w:p>
    <w:p>
      <w:pPr>
        <w:ind w:left="520" w:right="120" w:hanging="255"/>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38" w:lineRule="exact"/>
        <w:rPr>
          <w:rFonts w:ascii="Arial" w:cs="Arial" w:eastAsia="Arial" w:hAnsi="Arial"/>
          <w:sz w:val="17"/>
          <w:szCs w:val="17"/>
          <w:color w:val="auto"/>
        </w:rPr>
      </w:pPr>
    </w:p>
    <w:p>
      <w:pPr>
        <w:ind w:left="520" w:right="60" w:hanging="255"/>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40" w:firstLine="259"/>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jc w:val="both"/>
        <w:ind w:right="40" w:firstLine="259"/>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right="160" w:firstLine="259"/>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1" w:name="page42"/>
    <w:bookmarkEnd w:id="41"/>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right="100" w:firstLine="259"/>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58" w:lineRule="exact"/>
        <w:rPr>
          <w:sz w:val="20"/>
          <w:szCs w:val="20"/>
          <w:color w:val="auto"/>
        </w:rPr>
      </w:pPr>
    </w:p>
    <w:p>
      <w:pPr>
        <w:ind w:right="100" w:firstLine="259"/>
        <w:spacing w:after="0" w:line="308" w:lineRule="auto"/>
        <w:rPr>
          <w:sz w:val="20"/>
          <w:szCs w:val="20"/>
          <w:color w:val="auto"/>
        </w:rPr>
      </w:pPr>
      <w:r>
        <w:rPr>
          <w:rFonts w:ascii="Arial" w:cs="Arial" w:eastAsia="Arial" w:hAnsi="Arial"/>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17"/>
          <w:szCs w:val="17"/>
          <w:i w:val="1"/>
          <w:iCs w:val="1"/>
          <w:color w:val="auto"/>
        </w:rPr>
        <w:t>ITEM 1. BUSINESS – Regulation as a Business Development Company.”</w:t>
      </w:r>
    </w:p>
    <w:p>
      <w:pPr>
        <w:spacing w:after="0" w:line="25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right="40"/>
        <w:spacing w:after="0" w:line="264" w:lineRule="auto"/>
        <w:rPr>
          <w:sz w:val="20"/>
          <w:szCs w:val="20"/>
          <w:color w:val="auto"/>
        </w:rPr>
      </w:pPr>
      <w:r>
        <w:rPr>
          <w:rFonts w:ascii="Arial" w:cs="Arial" w:eastAsia="Arial" w:hAnsi="Arial"/>
          <w:sz w:val="18"/>
          <w:szCs w:val="18"/>
          <w:color w:val="auto"/>
        </w:rPr>
        <w:t>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1"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Arial" w:cs="Arial" w:eastAsia="Arial" w:hAnsi="Arial"/>
          <w:sz w:val="16"/>
          <w:szCs w:val="16"/>
          <w:i w:val="1"/>
          <w:iCs w:val="1"/>
          <w:color w:val="auto"/>
        </w:rPr>
        <w:t>—Risks Related to Economic 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about financial stability could have a significant adverse effect on our business, results of operations and financial condition.</w:t>
      </w:r>
      <w:r>
        <w:rPr>
          <w:rFonts w:ascii="Arial" w:cs="Arial" w:eastAsia="Arial" w:hAnsi="Arial"/>
          <w:sz w:val="16"/>
          <w:szCs w:val="16"/>
          <w:color w:val="auto"/>
        </w:rPr>
        <w:t>”</w:t>
      </w:r>
    </w:p>
    <w:p>
      <w:pPr>
        <w:spacing w:after="0" w:line="167"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8"/>
          <w:szCs w:val="18"/>
          <w:i w:val="1"/>
          <w:iCs w:val="1"/>
          <w:color w:val="auto"/>
        </w:rPr>
        <w:t>—Risks Related to Our Portfolio Company Investments—We expose ourselves to</w:t>
      </w:r>
      <w:r>
        <w:rPr>
          <w:rFonts w:ascii="Arial" w:cs="Arial" w:eastAsia="Arial" w:hAnsi="Arial"/>
          <w:sz w:val="18"/>
          <w:szCs w:val="18"/>
          <w:color w:val="auto"/>
        </w:rPr>
        <w:t xml:space="preserve"> </w:t>
      </w:r>
      <w:r>
        <w:rPr>
          <w:rFonts w:ascii="Arial" w:cs="Arial" w:eastAsia="Arial" w:hAnsi="Arial"/>
          <w:sz w:val="18"/>
          <w:szCs w:val="18"/>
          <w:i w:val="1"/>
          <w:iCs w:val="1"/>
          <w:color w:val="auto"/>
        </w:rPr>
        <w:t>risks when we engage in hedging transactions.</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firstLine="259"/>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to:</w:t>
      </w:r>
    </w:p>
    <w:p>
      <w:pPr>
        <w:spacing w:after="0" w:line="129" w:lineRule="exact"/>
        <w:rPr>
          <w:sz w:val="20"/>
          <w:szCs w:val="20"/>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firstLine="259"/>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TSSP, TPG and its other affiliates or a fund managed by TSSP,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45" w:name="page46"/>
    <w:bookmarkEnd w:id="45"/>
    <w:p>
      <w:pPr>
        <w:ind w:right="140" w:firstLine="259"/>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7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Convertible Senior Notes and 2023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t>
      </w:r>
      <w:r>
        <w:rPr>
          <w:rFonts w:ascii="Arial" w:cs="Arial" w:eastAsia="Arial" w:hAnsi="Arial"/>
          <w:sz w:val="17"/>
          <w:szCs w:val="17"/>
          <w:i w:val="1"/>
          <w:iCs w:val="1"/>
          <w:color w:val="auto"/>
        </w:rPr>
        <w:t>—Risks Related to Our Portfolio Company Investments—We are exposed to risks</w:t>
      </w:r>
      <w:r>
        <w:rPr>
          <w:rFonts w:ascii="Arial" w:cs="Arial" w:eastAsia="Arial" w:hAnsi="Arial"/>
          <w:sz w:val="17"/>
          <w:szCs w:val="17"/>
          <w:color w:val="auto"/>
        </w:rPr>
        <w:t xml:space="preserve"> </w:t>
      </w:r>
      <w:r>
        <w:rPr>
          <w:rFonts w:ascii="Arial" w:cs="Arial" w:eastAsia="Arial" w:hAnsi="Arial"/>
          <w:sz w:val="17"/>
          <w:szCs w:val="17"/>
          <w:i w:val="1"/>
          <w:iCs w:val="1"/>
          <w:color w:val="auto"/>
        </w:rPr>
        <w:t>associated with changes in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 MANAGEMENT’S DISCUSSION AND ANALYSIS OF FINANCIAL CONDITION AND RESULTS OF OPERATIONS—Results of Operations—Hedging</w:t>
      </w:r>
      <w:r>
        <w:rPr>
          <w:rFonts w:ascii="Arial" w:cs="Arial" w:eastAsia="Arial" w:hAnsi="Arial"/>
          <w:sz w:val="17"/>
          <w:szCs w:val="17"/>
          <w:color w:val="auto"/>
        </w:rPr>
        <w:t>.”</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certain investments in portfolio companies and our Convertible Senior Notes and 2023 Notes,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100" w:firstLine="259"/>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103"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259"/>
        <w:spacing w:after="0" w:line="286" w:lineRule="auto"/>
        <w:rPr>
          <w:sz w:val="20"/>
          <w:szCs w:val="20"/>
          <w:color w:val="auto"/>
        </w:rPr>
      </w:pPr>
      <w:r>
        <w:rPr>
          <w:rFonts w:ascii="Arial" w:cs="Arial" w:eastAsia="Arial" w:hAnsi="Arial"/>
          <w:sz w:val="16"/>
          <w:szCs w:val="16"/>
          <w:color w:val="auto"/>
        </w:rPr>
        <w:t>If we were unable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259"/>
        <w:spacing w:after="0" w:line="288"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6"/>
          <w:szCs w:val="16"/>
          <w:i w:val="1"/>
          <w:iCs w:val="1"/>
          <w:color w:val="auto"/>
        </w:rPr>
        <w:t>ITEM 1. BUSINESS—Regulation as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Development Company</w:t>
      </w:r>
      <w:r>
        <w:rPr>
          <w:rFonts w:ascii="Arial" w:cs="Arial" w:eastAsia="Arial" w:hAnsi="Arial"/>
          <w:sz w:val="16"/>
          <w:szCs w:val="16"/>
          <w:color w:val="auto"/>
        </w:rPr>
        <w:t>—</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 for more information.</w:t>
      </w:r>
    </w:p>
    <w:p>
      <w:pPr>
        <w:spacing w:after="0" w:line="27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are not deductible by individuals, trusts or estates.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81"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7"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47"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Portfolio Company Investments—There are certain risks associated with holding debt obligations that have original issue discount or PIK interest</w:t>
      </w:r>
      <w:r>
        <w:rPr>
          <w:rFonts w:ascii="Arial" w:cs="Arial" w:eastAsia="Arial" w:hAnsi="Arial"/>
          <w:sz w:val="18"/>
          <w:szCs w:val="18"/>
          <w:color w:val="auto"/>
        </w:rPr>
        <w:t>.”</w:t>
      </w:r>
    </w:p>
    <w:p>
      <w:pPr>
        <w:spacing w:after="0" w:line="188"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right="100" w:firstLine="259"/>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520" w:right="10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17"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40"/>
        <w:spacing w:after="0" w:line="259" w:lineRule="auto"/>
        <w:rPr>
          <w:sz w:val="20"/>
          <w:szCs w:val="20"/>
          <w:color w:val="auto"/>
        </w:rPr>
      </w:pPr>
      <w:r>
        <w:rPr>
          <w:rFonts w:ascii="Arial" w:cs="Arial" w:eastAsia="Arial" w:hAnsi="Arial"/>
          <w:sz w:val="18"/>
          <w:szCs w:val="18"/>
          <w:color w:val="auto"/>
        </w:rPr>
        <w:t>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Senior Notes and our 2022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stockholders may experience dilution upon the conversion of the 2019 Convertible Senior Notes and the 2022 Convertible Senior Notes.</w:t>
      </w:r>
    </w:p>
    <w:p>
      <w:pPr>
        <w:spacing w:after="0" w:line="129"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Our 2019 Convertible Senior Notes and our 2022 Convertible Senior Notes are convertible into shares of our common stock beginning on June 15, 2019 and February 1, 2022, respectively, or earlier, under certain circumstances. Upon conversion of our 2019 Convertible Senior Notes and 2022 Convertible Senior Notes, we have the choice to pay or deliver, as the case may be, at our election, cash, shares of our common stock or a combination of cash and shares of our common stock. The initial conversion price of the 2019 Convertible Senior Notes is $25.83 per share and the initial conversion price of the 2022 Convertible Senior Notes is $21.34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2019 Convertible Senior Notes and the 2022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Reinvestment Plan</w:t>
      </w:r>
      <w:r>
        <w:rPr>
          <w:rFonts w:ascii="Arial" w:cs="Arial" w:eastAsia="Arial" w:hAnsi="Arial"/>
          <w:sz w:val="18"/>
          <w:szCs w:val="18"/>
          <w:color w:val="auto"/>
        </w:rPr>
        <w:t>” for a description of our dividend policy and obligations.</w:t>
      </w:r>
    </w:p>
    <w:p>
      <w:pPr>
        <w:spacing w:after="0" w:line="18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February 28, 2018. On February 21, 2018, our Board of Directors authorized the extension of the termination date of the Company 10b5-1 Plan to August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60" w:firstLine="259"/>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301 Commerce Street, Suite 3300, Fort Worth, Texas 76102. We do not own any real estate.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91" w:right="319" w:bottom="1440" w:gutter="0" w:footer="0" w:header="0"/>
        </w:sectPr>
      </w:pPr>
    </w:p>
    <w:bookmarkStart w:id="52" w:name="page53"/>
    <w:bookmarkEnd w:id="52"/>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7"/>
          <w:szCs w:val="17"/>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our Securities—We cannot assure you that the market price of shares of our common stock will not decline</w:t>
      </w:r>
      <w:r>
        <w:rPr>
          <w:rFonts w:ascii="Arial" w:cs="Arial" w:eastAsia="Arial" w:hAnsi="Arial"/>
          <w:sz w:val="17"/>
          <w:szCs w:val="17"/>
          <w:color w:val="auto"/>
        </w:rPr>
        <w:t>.”</w:t>
      </w:r>
    </w:p>
    <w:p>
      <w:pPr>
        <w:spacing w:after="0" w:line="166"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for the years ended December 31, 2017 and 2016. On February 20, 2018, the last reported closing sales price of our common stock on the NYSE was $18.16 per share, which represented a premium of approximately 12.9% to the net asset value per share reported by us as of December 31, 2017.</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High</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Sales</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to</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 to</w:t>
            </w:r>
          </w:p>
        </w:tc>
        <w:tc>
          <w:tcPr>
            <w:tcW w:w="6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Net Asset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Price Range</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Net Asset</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Net Asset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2"/>
                <w:szCs w:val="12"/>
                <w:b w:val="1"/>
                <w:bCs w:val="1"/>
                <w:color w:val="auto"/>
                <w:w w:val="89"/>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 xml:space="preserve">Share </w:t>
            </w:r>
            <w:r>
              <w:rPr>
                <w:rFonts w:ascii="Arial" w:cs="Arial" w:eastAsia="Arial" w:hAnsi="Arial"/>
                <w:sz w:val="12"/>
                <w:szCs w:val="12"/>
                <w:b w:val="1"/>
                <w:bCs w:val="1"/>
                <w:color w:val="auto"/>
                <w:w w:val="90"/>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60" w:type="dxa"/>
            <w:vAlign w:val="bottom"/>
            <w:tcBorders>
              <w:top w:val="single" w:sz="8" w:color="CFF0FC"/>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b w:val="1"/>
                <w:bCs w:val="1"/>
                <w:color w:val="auto"/>
                <w:w w:val="89"/>
              </w:rPr>
              <w:t>Year ended December 31, 2017</w:t>
            </w:r>
          </w:p>
        </w:tc>
        <w:tc>
          <w:tcPr>
            <w:tcW w:w="88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auto"/>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auto"/>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30.0%</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31.3%</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86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89"/>
              </w:rPr>
              <w:t>Year ended December 31, 2016</w:t>
            </w:r>
          </w:p>
        </w:tc>
        <w:tc>
          <w:tcPr>
            <w:tcW w:w="8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15.15</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16.61</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 w:hanging="512"/>
        <w:spacing w:after="0" w:line="291"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20" w:hanging="512"/>
        <w:spacing w:after="0"/>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dividend declared in the relevant quarter.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20, 2018, there were approximately 5 holders of record of our common stock (including Cede &amp; Co.).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gridSpan w:val="4"/>
          </w:tcPr>
          <w:p>
            <w:pPr>
              <w:jc w:val="center"/>
              <w:ind w:left="15"/>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Record Date</w:t>
            </w:r>
          </w:p>
        </w:tc>
        <w:tc>
          <w:tcPr>
            <w:tcW w:w="196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 2017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3, 2017</w:t>
            </w:r>
          </w:p>
        </w:tc>
        <w:tc>
          <w:tcPr>
            <w:tcW w:w="14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Supplemental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May 31, 2017</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June 30, 2017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2017</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July 14, 2017</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August 2, 2017</w:t>
            </w:r>
          </w:p>
        </w:tc>
        <w:tc>
          <w:tcPr>
            <w:tcW w:w="14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Supplemental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August 31, 2017</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29, 2017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August 2, 2017</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15, 2017</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October 13, 2017</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November 7, 2017</w:t>
            </w:r>
          </w:p>
        </w:tc>
        <w:tc>
          <w:tcPr>
            <w:tcW w:w="14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Supplemental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30, 2017</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29, 2017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December 15, 2017</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January 12, 2018</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5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20" w:type="dxa"/>
            <w:vAlign w:val="bottom"/>
            <w:gridSpan w:val="2"/>
          </w:tcPr>
          <w:p>
            <w:pPr>
              <w:jc w:val="right"/>
              <w:ind w:right="1214"/>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76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192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2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0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29, 2016</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May 4, 2016</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760" w:type="dxa"/>
            <w:vAlign w:val="bottom"/>
          </w:tcPr>
          <w:p>
            <w:pPr>
              <w:jc w:val="right"/>
              <w:spacing w:after="0"/>
              <w:rPr>
                <w:sz w:val="20"/>
                <w:szCs w:val="20"/>
                <w:color w:val="auto"/>
              </w:rPr>
            </w:pPr>
            <w:r>
              <w:rPr>
                <w:rFonts w:ascii="Arial" w:cs="Arial" w:eastAsia="Arial" w:hAnsi="Arial"/>
                <w:sz w:val="18"/>
                <w:szCs w:val="18"/>
                <w:color w:val="auto"/>
              </w:rPr>
              <w:t>June 30, 2016</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July 29, 2016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August 3, 2016</w:t>
            </w:r>
          </w:p>
        </w:tc>
        <w:tc>
          <w:tcPr>
            <w:tcW w:w="8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30, 2016</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7, 2016</w:t>
            </w:r>
          </w:p>
        </w:tc>
        <w:tc>
          <w:tcPr>
            <w:tcW w:w="84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December 31, 2016</w:t>
            </w:r>
          </w:p>
        </w:tc>
        <w:tc>
          <w:tcPr>
            <w:tcW w:w="100" w:type="dxa"/>
            <w:vAlign w:val="bottom"/>
            <w:tcBorders>
              <w:bottom w:val="single" w:sz="8" w:color="CFF0FC"/>
            </w:tcBorders>
          </w:tcPr>
          <w:p>
            <w:pPr>
              <w:spacing w:after="0"/>
              <w:rPr>
                <w:sz w:val="19"/>
                <w:szCs w:val="19"/>
                <w:color w:val="auto"/>
              </w:rPr>
            </w:pPr>
          </w:p>
        </w:tc>
        <w:tc>
          <w:tcPr>
            <w:tcW w:w="1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31, 2017</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7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259"/>
        <w:spacing w:after="0" w:line="264" w:lineRule="auto"/>
        <w:rPr>
          <w:sz w:val="20"/>
          <w:szCs w:val="20"/>
          <w:color w:val="auto"/>
        </w:rPr>
      </w:pPr>
      <w:r>
        <w:rPr>
          <w:rFonts w:ascii="Arial" w:cs="Arial" w:eastAsia="Arial" w:hAnsi="Arial"/>
          <w:sz w:val="18"/>
          <w:szCs w:val="18"/>
          <w:color w:val="auto"/>
        </w:rPr>
        <w:t>The dividends declared during the years ended December 31, 2017 and 2016, were derived from net investment income and net realized capital gains, determined on a tax basis.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 Reinvestment Plan</w:t>
      </w:r>
      <w:r>
        <w:rPr>
          <w:rFonts w:ascii="Arial" w:cs="Arial" w:eastAsia="Arial" w:hAnsi="Arial"/>
          <w:sz w:val="18"/>
          <w:szCs w:val="18"/>
          <w:color w:val="auto"/>
        </w:rPr>
        <w:t>” for a description of our dividend policy and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This graph compares the stockholder return on our common stock from March 21, 2014 (the date of our IPO) to December 31, 2017 with that of the Standard &amp; Poor’s BDC Index, the Standard &amp; Poor’s 500 Stock Index, the S&amp;P LSTA Leveraged Loan Index and the S&amp;P U.S. Issued High Yield Corporate Bond Index. This graph assumes that on March 21, 2014, $100 was invested in our common stock, the Standard &amp; Poor’s BDC Index, the Standard &amp; Poor’s 500 Stock Index, the S&amp;P LSTA Leveraged Loan Index and the S&amp;P U.S. Issued High Yield Corporate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114935</wp:posOffset>
            </wp:positionV>
            <wp:extent cx="5342890" cy="2693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289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20" w:firstLine="259"/>
        <w:spacing w:after="0" w:line="264" w:lineRule="auto"/>
        <w:rPr>
          <w:sz w:val="20"/>
          <w:szCs w:val="20"/>
          <w:color w:val="auto"/>
        </w:rPr>
      </w:pPr>
      <w:r>
        <w:rPr>
          <w:rFonts w:ascii="Arial" w:cs="Arial" w:eastAsia="Arial" w:hAnsi="Arial"/>
          <w:sz w:val="18"/>
          <w:szCs w:val="18"/>
          <w:color w:val="auto"/>
        </w:rPr>
        <w:t>The table below sets forth our selected consolidated historical financial data for the periods indicated. The selected consolidated financial data for the years ended December 31, 2017, 2016, 2015, 2014 and 2013 have been derived from our audited consolidated financial statements, which are included elsewhere in this Form 10-K and our SEC filings.</w:t>
      </w:r>
    </w:p>
    <w:p>
      <w:pPr>
        <w:spacing w:after="0" w:line="181"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notes thereto included elsewhere in this annual report on Form 10-K.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4"/>
                <w:szCs w:val="14"/>
                <w:color w:val="auto"/>
              </w:rPr>
            </w:pPr>
          </w:p>
        </w:tc>
      </w:tr>
      <w:tr>
        <w:trPr>
          <w:trHeight w:val="171"/>
        </w:trPr>
        <w:tc>
          <w:tcPr>
            <w:tcW w:w="4640" w:type="dxa"/>
            <w:vAlign w:val="bottom"/>
            <w:gridSpan w:val="2"/>
          </w:tcPr>
          <w:p>
            <w:pPr>
              <w:ind w:left="580"/>
              <w:spacing w:after="0"/>
              <w:rPr>
                <w:sz w:val="20"/>
                <w:szCs w:val="20"/>
                <w:color w:val="auto"/>
              </w:rPr>
            </w:pPr>
            <w:r>
              <w:rPr>
                <w:rFonts w:ascii="Arial" w:cs="Arial" w:eastAsia="Arial" w:hAnsi="Arial"/>
                <w:sz w:val="14"/>
                <w:szCs w:val="14"/>
                <w:color w:val="auto"/>
              </w:rPr>
              <w:t>($ in millions, except per share amounts)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 Income</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Expenses</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Investment Income Before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Taxes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Change in Net Unrealized Gain (Loss)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Net Realized Gain (Loss)</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060" w:type="dxa"/>
            <w:vAlign w:val="bottom"/>
            <w:shd w:val="clear" w:color="auto" w:fill="CFF0FC"/>
          </w:tcPr>
          <w:p>
            <w:pPr>
              <w:ind w:left="1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(1)(2)</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5" w:name="page56"/>
    <w:bookmarkEnd w:id="55"/>
    <w:tbl>
      <w:tblPr>
        <w:tblLayout w:type="fixed"/>
        <w:tblInd w:w="572" w:type="dxa"/>
        <w:tblCellMar>
          <w:top w:w="0" w:type="dxa"/>
          <w:left w:w="0" w:type="dxa"/>
          <w:bottom w:w="0" w:type="dxa"/>
          <w:right w:w="0" w:type="dxa"/>
        </w:tblCellMar>
      </w:tblP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For the Year Ended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Borders>
              <w:bottom w:val="single" w:sz="8" w:color="CFF0FC"/>
            </w:tcBorders>
            <w:vMerge w:val="continue"/>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1,720.2</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1,675.5</w:t>
            </w:r>
          </w:p>
        </w:tc>
        <w:tc>
          <w:tcPr>
            <w:tcW w:w="2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1,506.5</w:t>
            </w:r>
          </w:p>
        </w:tc>
        <w:tc>
          <w:tcPr>
            <w:tcW w:w="22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1,288.9</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Total liabilities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750.9</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723.3</w:t>
            </w:r>
          </w:p>
        </w:tc>
        <w:tc>
          <w:tcPr>
            <w:tcW w:w="2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685.8</w:t>
            </w:r>
          </w:p>
        </w:tc>
        <w:tc>
          <w:tcPr>
            <w:tcW w:w="22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453.5</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assets</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 xml:space="preserve">Net asset value per share </w:t>
            </w:r>
            <w:r>
              <w:rPr>
                <w:rFonts w:ascii="Arial" w:cs="Arial" w:eastAsia="Arial" w:hAnsi="Arial"/>
                <w:sz w:val="15"/>
                <w:szCs w:val="15"/>
                <w:color w:val="auto"/>
              </w:rPr>
              <w:t>(1)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15.53</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5"/>
                <w:szCs w:val="15"/>
                <w:color w:val="auto"/>
              </w:rPr>
              <w:t>(1)</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(3)</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at fair value </w:t>
            </w:r>
            <w:r>
              <w:rPr>
                <w:rFonts w:ascii="Arial" w:cs="Arial" w:eastAsia="Arial" w:hAnsi="Arial"/>
                <w:sz w:val="15"/>
                <w:szCs w:val="15"/>
                <w:color w:val="auto"/>
              </w:rPr>
              <w:t>(4)</w:t>
            </w: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 xml:space="preserve">producing securities at amortized cost </w:t>
            </w:r>
            <w:r>
              <w:rPr>
                <w:rFonts w:ascii="Arial" w:cs="Arial" w:eastAsia="Arial" w:hAnsi="Arial"/>
                <w:sz w:val="15"/>
                <w:szCs w:val="15"/>
                <w:color w:val="auto"/>
              </w:rPr>
              <w:t>(4)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debt investments as a percentage of</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principal</w:t>
            </w: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98.5%</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96.7%</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Weighted average fair value of debt investments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as a percentage of call price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2" w:right="180" w:hanging="512"/>
        <w:spacing w:after="0" w:line="258" w:lineRule="auto"/>
        <w:tabs>
          <w:tab w:leader="none" w:pos="5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w:t>
      </w:r>
    </w:p>
    <w:p>
      <w:pPr>
        <w:spacing w:after="0" w:line="1" w:lineRule="exact"/>
        <w:rPr>
          <w:rFonts w:ascii="Arial" w:cs="Arial" w:eastAsia="Arial" w:hAnsi="Arial"/>
          <w:sz w:val="18"/>
          <w:szCs w:val="18"/>
          <w:color w:val="auto"/>
        </w:rPr>
      </w:pPr>
    </w:p>
    <w:p>
      <w:pPr>
        <w:ind w:left="512" w:hanging="512"/>
        <w:spacing w:after="0"/>
        <w:tabs>
          <w:tab w:leader="none" w:pos="5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512" w:hanging="512"/>
        <w:spacing w:after="0" w:line="265" w:lineRule="auto"/>
        <w:tabs>
          <w:tab w:leader="none" w:pos="512" w:val="left"/>
        </w:tabs>
        <w:numPr>
          <w:ilvl w:val="0"/>
          <w:numId w:val="47"/>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Our total return set forth in the table above for the years ended December 31, 2017, 2016, 2015, 2014, and 2013 reflects the Adviser’s waivers of its right to receive a portion of the Management Fee and Incentive Fees prior to our IPO and separately with respect to our ownership of shares of common stock of Triangle Capital Corp. and TICC Capital Corp. The Management Fee, excluding the effects of the waivers, would have been $24.3 million, $24.3 million, $21.3 million, $18.3 million, and $13.4 million for the years ended December 31, 2017, 2016, 2015, 2014, and 2013, respectively. The Incentive Fee excluding the effects of the waiver would have been $25.5 million, $22.7 million and $20.2 million for the years ended December 31, 2017, 2016 and 2015, respectively.</w:t>
      </w:r>
    </w:p>
    <w:p>
      <w:pPr>
        <w:spacing w:after="0" w:line="1" w:lineRule="exact"/>
        <w:rPr>
          <w:rFonts w:ascii="Arial" w:cs="Arial" w:eastAsia="Arial" w:hAnsi="Arial"/>
          <w:sz w:val="17"/>
          <w:szCs w:val="17"/>
          <w:color w:val="auto"/>
        </w:rPr>
      </w:pPr>
    </w:p>
    <w:p>
      <w:pPr>
        <w:ind w:left="512" w:hanging="512"/>
        <w:spacing w:after="0" w:line="252" w:lineRule="auto"/>
        <w:tabs>
          <w:tab w:leader="none" w:pos="5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3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630" w:right="279" w:bottom="1440" w:gutter="0" w:footer="0" w:header="0"/>
        </w:sectPr>
      </w:pPr>
    </w:p>
    <w:bookmarkStart w:id="56" w:name="page57"/>
    <w:bookmarkEnd w:id="56"/>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ind w:right="100" w:firstLine="259"/>
        <w:spacing w:after="0" w:line="286" w:lineRule="auto"/>
        <w:rPr>
          <w:sz w:val="20"/>
          <w:szCs w:val="20"/>
          <w:color w:val="auto"/>
        </w:rPr>
      </w:pPr>
      <w:r>
        <w:rPr>
          <w:rFonts w:ascii="Arial" w:cs="Arial" w:eastAsia="Arial" w:hAnsi="Arial"/>
          <w:sz w:val="17"/>
          <w:szCs w:val="17"/>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2017, we have originated more than $7.3 billion aggregate principal amount of investments and retained approximately $4.4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2017, our core portfolio companies, which excludes certain investments that fall outside of our typical borrower profile and represent 83.2% of our total investments based on fair value, had weighted average annual revenue of $130.3 million and weighted average annual EBITDA of $25.1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2017, the largest single investment based on fair value represented 6.7%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2017, the average investment size in each of our portfolio companies was approximately $37.6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2017, the largest industry represented 14.0% of our total investment portfolio based on fair value.</w:t>
      </w:r>
    </w:p>
    <w:p>
      <w:pPr>
        <w:spacing w:after="0" w:line="22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December 31, 2017,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97.0% of our portfolio was invested in secured debt, including 93.4%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2017, the weighted average term on new investment commitments in new portfolio companies was 4.2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December 31, 2017, we had call protection on 91.2% of our debt investments based on fair value, with weighted average call prices of 106.2% for the first year, 103.2% for the second year and 101.4% for the third year, in each case from the date of the initial investment. As of December 31, 2017, 100.0% of our debt investments based on fair value bore interest at floating rates (when including investment specific hedges), with 93.3%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ind w:right="220"/>
        <w:spacing w:after="0" w:line="264" w:lineRule="auto"/>
        <w:rPr>
          <w:sz w:val="20"/>
          <w:szCs w:val="20"/>
          <w:color w:val="auto"/>
        </w:rPr>
      </w:pPr>
      <w:r>
        <w:rPr>
          <w:rFonts w:ascii="Arial" w:cs="Arial" w:eastAsia="Arial" w:hAnsi="Arial"/>
          <w:sz w:val="18"/>
          <w:szCs w:val="18"/>
          <w:color w:val="auto"/>
        </w:rPr>
        <w:t>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81"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TSSP, with approximately $20 billion of assets under management as of September 30,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180 investment and operating professionals. As of December 31, 2017, thirty one (31) of these personnel are dedicated to our business, including twenty four (24) investment professionals.</w:t>
      </w:r>
    </w:p>
    <w:p>
      <w:pPr>
        <w:spacing w:after="0" w:line="17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2017, 100.0% of these investments based on fair value bore interest at a floating rate (when including investment specific hedges), with 93.3% of these subject to interest rate floors. Interest on debt investments is generally payable quarterly or semiannually. Some of our investments provide for deferred interest payments or PIK interest. For the year ended December 31, 2017, 2.8% of our total investment income was comprised of PIK interest.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80" w:hanging="255"/>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left="520" w:hanging="255"/>
        <w:spacing w:after="0" w:line="30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right="140" w:firstLine="259"/>
        <w:spacing w:after="0" w:line="286" w:lineRule="auto"/>
        <w:rPr>
          <w:sz w:val="20"/>
          <w:szCs w:val="20"/>
          <w:color w:val="auto"/>
        </w:rPr>
      </w:pPr>
      <w:r>
        <w:rPr>
          <w:rFonts w:ascii="Arial" w:cs="Arial" w:eastAsia="Arial" w:hAnsi="Arial"/>
          <w:sz w:val="17"/>
          <w:szCs w:val="17"/>
          <w:color w:val="auto"/>
        </w:rPr>
        <w:t>As of December 31, 2017, our portfolio based on fair value consisted of 93.4% first-lien debt investments, 3.6% second-lien debt investments, and 3.0% equity and other investments. As of December 31, 2016, our portfolio based on fair value consisted of 96.5% first-lien debt investments, 1.2% second-lien debt investments, 0.6% mezzanine and unsecured debt investments, and 1.7% equity and other investments.</w:t>
      </w:r>
    </w:p>
    <w:p>
      <w:pPr>
        <w:spacing w:after="0" w:line="166"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As of December 31, 2017 and December 31, 2016, our weighted average total yield of debt and income producing securities at fair value (which includes interest income and amortization of fees and discounts) was 10.7% and 10.4%, respectively, and our weighted average total yield of debt and income-producing securities at amortized cost (which includes interest income and amortization of fees and discounts) was 10.8% and 10.4%, respectively.</w:t>
      </w:r>
    </w:p>
    <w:p>
      <w:pPr>
        <w:spacing w:after="0" w:line="14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As of December 31, 2017 and December 31, 2016, we had investments in 45 and 52 portfolio companies, respectively, with an aggregate fair value of $1,693.7 million and $1,657.4 million, respectively.</w:t>
      </w:r>
    </w:p>
    <w:p>
      <w:pPr>
        <w:spacing w:after="0" w:line="170"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For the year ended December 31, 2017, we made new investment commitments of $1,072.6 million in 22 new portfolio companies and 12 existing portfolio companies. For this period, we had $951.5 million aggregate principal amount in exits and repayments.</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For the year ended December 31, 2016, we made new investment commitments of $562.7 million in 14 new portfolio companies and 9 existing portfolio companies. For this period, we had $416.5 million aggregate principal amount in exits and repayments.</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For the year ended December 31, 2015, we made new investment commitments of $718.7 million in 20 new portfolio companies and 14 existing portfolio companies. For this period, we had $385.2 million aggregate principal amount in exits and repayments.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2" w:name="page63"/>
    <w:bookmarkEnd w:id="62"/>
    <w:p>
      <w:pPr>
        <w:ind w:right="320" w:firstLine="259"/>
        <w:spacing w:after="0" w:line="277" w:lineRule="auto"/>
        <w:rPr>
          <w:sz w:val="20"/>
          <w:szCs w:val="20"/>
          <w:color w:val="auto"/>
        </w:rPr>
      </w:pPr>
      <w:r>
        <w:rPr>
          <w:rFonts w:ascii="Arial" w:cs="Arial" w:eastAsia="Arial" w:hAnsi="Arial"/>
          <w:sz w:val="18"/>
          <w:szCs w:val="18"/>
          <w:color w:val="auto"/>
        </w:rPr>
        <w:t>Our investment activity for the years ended December 31, 2017, 2016 and 2015 is presented below (information presented herein is at par value unless otherwise indicated).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vMerge w:val="continue"/>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2,251.5</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761.5</w:t>
            </w:r>
          </w:p>
        </w:tc>
        <w:tc>
          <w:tcPr>
            <w:tcW w:w="22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958.9</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518.0</w:t>
            </w:r>
          </w:p>
        </w:tc>
        <w:tc>
          <w:tcPr>
            <w:tcW w:w="22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50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906.0</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1"/>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1"/>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0" w:hanging="512"/>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two fixed rate investments for the year ended December 31, 2017 and one fixed rate investment for the years ended December 31, 2016 and December 31, 2015 for which we entered into interest rate swap agreements to swap to floating rates.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2017 and 2016,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4"/>
                <w:szCs w:val="14"/>
                <w:color w:val="auto"/>
              </w:rPr>
            </w:pPr>
          </w:p>
        </w:tc>
        <w:tc>
          <w:tcPr>
            <w:tcW w:w="278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3" w:name="page64"/>
    <w:bookmarkEnd w:id="63"/>
    <w:p>
      <w:pPr>
        <w:ind w:left="2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December 31, 2017 and 2016:</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5"/>
          </w:tcPr>
          <w:p>
            <w:pPr>
              <w:jc w:val="right"/>
              <w:ind w:right="109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jc w:val="right"/>
              <w:ind w:right="111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103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512"/>
        <w:spacing w:after="0" w:line="255"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Arial" w:cs="Arial" w:eastAsia="Arial" w:hAnsi="Arial"/>
          <w:sz w:val="18"/>
          <w:szCs w:val="18"/>
          <w:i w:val="1"/>
          <w:iCs w:val="1"/>
          <w:color w:val="auto"/>
        </w:rPr>
        <w:t>“–Critical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and Dividend Recognition.”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weighted average yields and interest rates of our performing debt investments at fair value as of December 31, 2017 and 2016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 2017</w:t>
            </w:r>
          </w:p>
        </w:tc>
        <w:tc>
          <w:tcPr>
            <w:tcW w:w="1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2016</w:t>
            </w:r>
          </w:p>
        </w:tc>
      </w:tr>
      <w:tr>
        <w:trPr>
          <w:trHeight w:val="209"/>
        </w:trPr>
        <w:tc>
          <w:tcPr>
            <w:tcW w:w="20" w:type="dxa"/>
            <w:vAlign w:val="bottom"/>
          </w:tcPr>
          <w:p>
            <w:pPr>
              <w:spacing w:after="0"/>
              <w:rPr>
                <w:sz w:val="18"/>
                <w:szCs w:val="18"/>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5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producing securities</w:t>
            </w: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r>
        <w:trPr>
          <w:trHeight w:val="215"/>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producing securities</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(1)</w:t>
            </w: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r>
    </w:tbl>
    <w:p>
      <w:pPr>
        <w:spacing w:after="0" w:line="202"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66"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00" w:hanging="255"/>
        <w:spacing w:after="0" w:line="26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left="520" w:right="300" w:hanging="255"/>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60" w:hanging="255"/>
        <w:spacing w:after="0" w:line="276"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2017 and 2016.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2017</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0"/>
              </w:rPr>
              <w:t>December 31, 2016</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4"/>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7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4"/>
                <w:szCs w:val="14"/>
                <w:color w:val="auto"/>
              </w:rPr>
            </w:pPr>
          </w:p>
        </w:tc>
        <w:tc>
          <w:tcPr>
            <w:tcW w:w="12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8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3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2"/>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1,382.7</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19"/>
                <w:szCs w:val="19"/>
                <w:color w:val="auto"/>
              </w:rPr>
            </w:pP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1,693.7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c>
          <w:tcPr>
            <w:tcW w:w="600" w:type="dxa"/>
            <w:vAlign w:val="bottom"/>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1,657.4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years ended December 31, 2017, 2016 and 2015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Net realized losses </w:t>
            </w:r>
            <w:r>
              <w:rPr>
                <w:rFonts w:ascii="Arial" w:cs="Arial" w:eastAsia="Arial" w:hAnsi="Arial"/>
                <w:sz w:val="15"/>
                <w:szCs w:val="15"/>
                <w:color w:val="auto"/>
              </w:rPr>
              <w:t>(1)</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w w:val="97"/>
              </w:rPr>
              <w:t>Net increase in net assets resulting from operations</w:t>
            </w:r>
          </w:p>
        </w:tc>
        <w:tc>
          <w:tcPr>
            <w:tcW w:w="1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8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tcPr>
          <w:p>
            <w:pPr>
              <w:jc w:val="right"/>
              <w:ind w:right="69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vMerge w:val="continue"/>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Dividend income</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9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$177.8 million for the year ended December 31, 2016 to $200.7 million for the year ended December 31, 2017, primarily due to an increase in accelerated amortization of upfront fees and prepayment fees. Accelerated amortization of upfront fees, primarily from unscheduled paydowns, increased from $5.4 million for the year ended December 31, 2016 to $21.1 million for the year ended December 31, 2017, and prepayment fees increased from $2.6 million for the year ended December 31, 2016 to $12.8 million for the year ended December 31, 2017. The accelerated amortization and prepayment fees primarily resulted from full paydowns on seven portfolio investments, a partial paydown on one portfolio investment and prepayment fees on four portfolio investments during the year ended December 31, 2016, and full paydowns on 22 portfolio investments, partial paydowns on seven portfolio investments and prepayment fees on 12 portfolio investments during the year ended December 31, 2017. Dividend income decreased from $1.7 million for the year ended December 31, 2016 to $0.4 million for the year ended December 31, 2017 due to a partial realization of dividend yielding investments in 2017. Other income decreased from $12.9 million for the year ended December 31, 2016 to $9.8 million for the year ended December 31, 2017, primarily due to lower syndication, amendment and agency fees earned during 2017.</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from investments, which includes amortization of upfront fees and prepayment fees, increased from $164.6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to $177.8 million for the year ended December 31, 2016, primarily due to the increase in the size of our investment portfolio.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size of our investment portfolio increased from $1.4 billion during the year ended December 31, 2015 to $1.6 billion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Accelerated amortization of upfront fees, primarily from unscheduled paydowns, decreased from $6.9 million for the year ended December 31, 2015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 million for the year ended December 31, 2016, and prepayment fees decreased from $15.4 million for the year ended December 31, 2015 to $2.6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 The accelerated amortization and prepayment fees primarily resulted from full paydowns on 11 portfolio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partial paydown on one portfolio investment and prepayment fees on 13 portfolio investments during the year ended December 31, 2015, and full paydowns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seven portfolio investments, a partial paydown on one portfolio investment and prepayment fees on four portfolio investments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Dividend income increased from $0.9 million for the year ended December 31, 2015 to $1.7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due to owning our dividend yielding investments for a full calendar year. Other income increased from $7.9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to $12.9 million for the year ended December 31, 2016, primarily due to higher syndication, amendment and agency fees earned during 2016.</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years ended December 31, 2017, 2016 and 2015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gridSpan w:val="2"/>
            <w:vMerge w:val="restart"/>
          </w:tcPr>
          <w:p>
            <w:pPr>
              <w:ind w:left="580"/>
              <w:spacing w:after="0"/>
              <w:rPr>
                <w:sz w:val="20"/>
                <w:szCs w:val="20"/>
                <w:color w:val="auto"/>
              </w:rPr>
            </w:pPr>
            <w:r>
              <w:rPr>
                <w:rFonts w:ascii="Arial" w:cs="Arial" w:eastAsia="Arial" w:hAnsi="Arial"/>
                <w:sz w:val="14"/>
                <w:szCs w:val="14"/>
                <w:color w:val="auto"/>
              </w:rPr>
              <w:t>($ in millions)</w:t>
            </w: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8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Directors 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8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Interest expense, including other debt financing expenses, increased from $23.1 million for the year ended December 31, 2016 to $27.4 million for the year ended December 31, 2017. This increase was primarily due to an increase in the average 1-month LIBOR rate for the year ended December 31, 2016 from 0.5% to 1.1% for the year ended December 31, 2017 and an increase in our average interest rate on debt outstanding due to a change in the mix of our debt financing sources. The average interest rate on our debt outstanding increased from 2.7% for the year ended December 31, 2016 to 3.3% for the year ended December 31, 2017 due to the increase in LIBOR and a change in the mix of our debt financing sources.</w:t>
      </w:r>
    </w:p>
    <w:p>
      <w:pPr>
        <w:spacing w:after="0" w:line="15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Interest expense, including other debt financing expenses, increased from $22.0 million for the year ended December 31, 2015 to $23.1 million for the year ended December 31, 2016. This increase was primarily due to an increase in the weighted average debt outstanding from $540.8 million for the year ended December 31, 2015 to $725.9 million for the year ended December 31, 2016, as well an increase in the average 1-month LIBOR rate for the year ended December 31, 2015 from 0.20% to 0.50% for the year ended December 31, 2016. The average interest rate on our debt outstanding increased from 2.6% for the year ended December 31, 2015 to 2.7% for the year ended December 31, 2016 due to the increase in LIBOR.</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Management Fees (net of waivers) increased from $24.1 million for the year ended December 31, 2016 to $24.3 million for the year ended December 31, 2017. Management Fees remained flat at $24.3 million for the years ended December 31, 2016 and December 31, 2017 due to total assets remaining $1.6 billion for the years ended December 31, 2016 and December 31, 2017. Management Fees waived decreased from $0.1 million for the year ended December 31, 2016 to less than $0.1 million for the year ended December 31, 2017 due to owning investments subject to fee waivers for a shorter period in 2017 than 2016. Management Fees waived during the year ended December 31, 2016 were solely attributable to our ownership of TICC Shares. Management Fees waived during the year ended December 31, 2017 were solely attributable to our ownership of TCAP Shares.</w:t>
      </w:r>
    </w:p>
    <w:p>
      <w:pPr>
        <w:spacing w:after="0" w:line="165"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Management Fees (net of waivers) increased from $21.2 million for the year ended December 31, 2015 to $24.1 million for the year ended December 31, 2016. Management Fees increased from $21.3 million for the year ended December 31, 2015 to $24.3 million for the year ended December 31, 2016 due to the increase in total assets, which increased from an average of $1.4 billion for the year ended December 31, 2015 to an average of $1.6 billion for the year ended December 31, 2016. Management Fees waived for both the year ended December 31, 2015 and the year ended December 31, 2016 were $0.1 million. Management Fees waived during the year ended December 31, 2015 and the year ended December 31, 2016 were solely attributable to our ownership of shares of common stock in the TICC Shares.</w:t>
      </w:r>
    </w:p>
    <w:p>
      <w:pPr>
        <w:spacing w:after="0" w:line="193" w:lineRule="exact"/>
        <w:rPr>
          <w:sz w:val="20"/>
          <w:szCs w:val="20"/>
          <w:color w:val="auto"/>
        </w:rPr>
      </w:pPr>
    </w:p>
    <w:p>
      <w:pPr>
        <w:ind w:right="140" w:firstLine="259"/>
        <w:spacing w:after="0" w:line="297" w:lineRule="auto"/>
        <w:rPr>
          <w:sz w:val="20"/>
          <w:szCs w:val="20"/>
          <w:color w:val="auto"/>
        </w:rPr>
      </w:pPr>
      <w:r>
        <w:rPr>
          <w:rFonts w:ascii="Arial" w:cs="Arial" w:eastAsia="Arial" w:hAnsi="Arial"/>
          <w:sz w:val="16"/>
          <w:szCs w:val="16"/>
          <w:color w:val="auto"/>
        </w:rPr>
        <w:t>The Adviser has voluntarily waived the Management Fee on our ownership of the TCAP Shares for any period in which Triangle Capital Corp. remains our portfolio company. Any waived Management Fees are not subject to recoupment by the Adviser. For the period ended December 31, 2016 and prior, the Adviser voluntarily waived the Management Fee on our ownership of the TICC Shares. Any waived Management Fees are not subject to recoupment by the Adviser. Following our IPO, with the exception of its waiver of Management Fees attributable to our ownership of the TCAP Shares and TICC Shares, the Adviser has not waived its right to receive the full Management Fee payable pursuant to the Investment Advisory Agreement.</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increased from $22.4 million for the year ended December 31, 2016 to $25.5 million for the year ended December 31, 2017. This increase resulted from an increase in interest from investments received during the year ended December 31, 2017 and the related increase in net investment income. Incentive Fees waived related to pre-Incentive Fee net investment income decreased from $0.3 million for the year ended December 31, 2016 to less than $0.1 million for the year ended December 31, 2017, consisting solely of Incentive Fees attributable to our ownership of the TICC Shares for the year ended December 31, 2016 and to our ownership of the TCAP Shares for the year ended December 31, 2017. There were no Incentive Fees related to capital gains and losses for the year ended December 31, 2016 and the year ended December 31, 2017 due to realized and unrealized losses on our investments.</w:t>
      </w:r>
    </w:p>
    <w:p>
      <w:pPr>
        <w:spacing w:after="0" w:line="178"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Incentive Fees (net of waivers) related to pre-Incentive Fee net investment income increased from $20.0 million for the year ended December 31, 2015 to $22.4 million for the year ended December 31, 2016. This increase resulted from the increase in the size of the portfolio and related increase in net investment income. Incentive Fees waived related to pre-Incentive Fee net investment income increased from $0.2 million for the year ended December 31, 2015 to $0.3 million for the year ended December 31, 2016, consisting solely of Incentive Fees attributable to our ownership of the TICC Shares. There were no Incentive Fees related to capital gains and losses for the year ended December 31, 2015 and the year ended December 31, 2016 due to realized and unrealized losses on our investments.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7" w:name="page68"/>
    <w:bookmarkEnd w:id="67"/>
    <w:p>
      <w:pPr>
        <w:ind w:right="120" w:firstLine="259"/>
        <w:spacing w:after="0" w:line="257" w:lineRule="auto"/>
        <w:rPr>
          <w:sz w:val="20"/>
          <w:szCs w:val="20"/>
          <w:color w:val="auto"/>
        </w:rPr>
      </w:pPr>
      <w:r>
        <w:rPr>
          <w:rFonts w:ascii="Arial" w:cs="Arial" w:eastAsia="Arial" w:hAnsi="Arial"/>
          <w:sz w:val="18"/>
          <w:szCs w:val="18"/>
          <w:color w:val="auto"/>
        </w:rPr>
        <w:t>For the periods December 31, 2016 and prior, the Adviser voluntarily waived the Incentive Fees attributable to pre-Incentive Fee net investment income accrued by us as a result of our ownership of the TICC Shares.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applies towards our cumulative realized capital gains on which the Incentive Fee related to capital gains and losses is calculated.</w:t>
      </w:r>
    </w:p>
    <w:p>
      <w:pPr>
        <w:spacing w:after="0" w:line="188"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In addition, the Adviser voluntarily waived the Incentive Fees attributable to pre-Incentive Fee net investment income accrued by us as a result of our ownership of the TCAP Shares. The Adviser has not waived any part of the Incentive Fee related to capital gains and losses attributable to our ownership of the TCAP Shares and, accordingly, any realized capital gains or losses and unrealized capital appreciation and depreciation with respect to the TCAP Shares applies towards our cumulative realized capital gains on which the Incentive Fee related to capital gains and losses is calculated.</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Professional fees decreased from $8.5 million for the year ended December 31, 2016 to $5.4 million for the year ended December 31, 2017 due to additional professional fees incurred relating to our investment in the TICC Shares and related activity for the year ended December 31, 2016. Other general and administrative fees increased from $4.4 million for the year ended December 31, 2016 to $4.8 million for the year ended December 31, 2017.</w:t>
      </w:r>
    </w:p>
    <w:p>
      <w:pPr>
        <w:spacing w:after="0" w:line="14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Professional fees increased from $8.2 million for the year ended December 31, 2015 to $8.5 million for the year ended December 31, 2016 due to an increase in costs associated with servicing our investment portfolio, as well as additional professional fees incurred relating to our investment in the TICC Shares and related activity. Other general and administrative fees decreased from $4.8 million for the year ended December 31, 2015 to $4.4 million for the year ended December 31,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For the calendar years ended December 31, 2017, 2016 and 2015 we recorded a net expense of $2.8 million, $2.2 million and $1.5 million, respectively, for U.S. federal excise tax.</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2017,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losses on investments</w:t>
            </w:r>
          </w:p>
        </w:tc>
        <w:tc>
          <w:tcPr>
            <w:tcW w:w="8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(14.3)</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losses on foreign currency investments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foreign currency borrowings</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realized losses</w:t>
            </w:r>
          </w:p>
        </w:tc>
        <w:tc>
          <w:tcPr>
            <w:tcW w:w="86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8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 currency</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borrowings</w:t>
            </w: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Unrealized appreciation (depreciation) on foreign</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currency cash and forward contracts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Unrealized depreciation on interest rate swaps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5"/>
        </w:trPr>
        <w:tc>
          <w:tcPr>
            <w:tcW w:w="5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8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8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For the years ended December 31, 2017, 2016 and 2015, we had net realized losses on investments of $14.3 million, $0.8 million and $5.0 million, respectively. For the year ended December 31, 2015, we had net realized gains on interest rate swaps of $1.8 million. We did not have realized gains or losses on interest rate swaps for the years ended December 31, 2017 or 2016. For both the years ended December 31, 2017, and 2015, we had net realized gains on foreign currency transactions of less than $0.1 million, respectively, and net realized losses on foreign currency transactions of $0.2 million for the year ended December 31, 2016, primarily as a result of translating foreign currency related to our non-USD denominated investments. For the years ended December 31, 2017, 2016 and 2015, we had net realized losses on foreign currency investments of $4.9 million, $10.9 million, $0.4 million, respectively. For the years ended December 31, 2017, 2016, and 2015 we had net realized gains on foreign currency borrowings of $5.2 million, $11.8 million and $0.4 million, respectively.</w:t>
      </w:r>
    </w:p>
    <w:p>
      <w:pPr>
        <w:spacing w:after="0" w:line="192"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For the year ended December 31, 2017 we had $66.7 million in unrealized appreciation on 43 portfolio company investments, which was offset by $48.9 million in unrealized depreciation on 32 portfolio company investments. Unrealized appreciation for the year ended December 31, 2017 resulted from an increase in fair value, primarily due to reversal of prior period unrealized depreciation, positive valuation adjustments and tightening credit spreads. Unrealized depreciation for the year ended December 31, 2017 resulted from the reversal of prior period unrealized appreciation on realized investments and in some instances negative credit-related adjustments.</w:t>
      </w:r>
    </w:p>
    <w:p>
      <w:pPr>
        <w:spacing w:after="0" w:line="188"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For the year ended December 31, 2016 we had $56.7 million in unrealized appreciation on 48 portfolio company investments, which was offset by $23.0 million in unrealized depreciation on 10 portfolio company investments. Unrealized appreciation for the year ended December 31, 2016 resulted from an increase in fair value, primarily due to positive valuation adjustments and tightening credit spreads. Unrealized depreciation for the year ended December 31, 2016 resulted from the reversal of prior period unrealized appreciation on realized investments and in some instances negative credit-related adjustments.</w:t>
      </w:r>
    </w:p>
    <w:p>
      <w:pPr>
        <w:spacing w:after="0" w:line="154"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 $43.3 million in unrealized depreciation on 40 portfolio company investments. Unrealized appreciation for the year ended December 31, 2015 resulted from an increase in fair value, primarily due to positive valuation adjustments. Unrealized depreciation for the year ended December 31, 2015 resulted from widening in credit spreads, the reversal of prior period unrealized appreciation and in some instances negative credit-related adjustments.</w:t>
      </w:r>
    </w:p>
    <w:p>
      <w:pPr>
        <w:spacing w:after="0" w:line="171"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For the years ended December 31, 2017 and 2016, we had unrealized depreciation on foreign currency borrowings of $11.5 million and $3.6 million, respectively, primarily as a result of fluctuations in the GBP and EUR exchange rates for the year ended December 31, 2017 and GBP, SEK and EUR exchange rates for the year ended December 31, 2016. For the year ended December 31, 2015, we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t>had unrealized appreciation on foreign currency borrowings of $6.3 million, primarily as a result of fluctuations in the GBP, SEK and EUR exchange rates. For both the years ended December 31, 2017 and 2016, we had unrealized appreciation on foreign currency cash and forward contracts of less than $0.1 million, primarily as a result of settling our foreign currency forward contracts. For the year ended December 31, 2015, we had unrealized depreciation on foreign currency cash and forward contracts of less than $0.1 million, primarily as a result of settling our foreign currency forward contracts. For the years ended December 31, 2017, 2016 and 2015, we had unrealized depreciation on interest rate swaps of $1.0 million, $0.3 million, and $0.5 million, respectively, due to fluctuations in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180" w:firstLine="259"/>
        <w:spacing w:after="0" w:line="286" w:lineRule="auto"/>
        <w:rPr>
          <w:sz w:val="20"/>
          <w:szCs w:val="20"/>
          <w:color w:val="auto"/>
        </w:rPr>
      </w:pPr>
      <w:r>
        <w:rPr>
          <w:rFonts w:ascii="Arial" w:cs="Arial" w:eastAsia="Arial" w:hAnsi="Arial"/>
          <w:sz w:val="17"/>
          <w:szCs w:val="17"/>
          <w:color w:val="auto"/>
        </w:rPr>
        <w:t>Since we began investing in 2011 through December 31, 2017, weighted by capital invested, our exited investments have generated an average realized gross internal rate of return to us of 18.8% (based on total capital invested of $2.6 billion and total proceeds from these exited investments of $3.2 billion). Eighty eight percent of these exited investments resulted in a realized gross internal rate of return to us of 10% or greater.</w:t>
      </w:r>
    </w:p>
    <w:p>
      <w:pPr>
        <w:spacing w:after="0" w:line="166"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4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years ended December 31, 2017, 2016 and 2015, we had $11.5 million and $3.6 million of realized losses and $6.3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2017, 2016 and 2015. See Note 2 for additional disclosure regarding our accounting for foreign currency. See Note 7 for additional disclosure regarding the amounts of outstanding debt denominated in each foreign currency at December 31, 2017. See our consolidated schedule of investments for additional disclosure regarding the foreign currency amounts (in both par and fair value) of our non-U.S. dollar denominated investments.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2017, 2016 and 2015, our asset coverage ratio was 235.5%, 237.7%, and 225.7%,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79"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Cash and cash equivalents as of December 31, 2017, taken together with cash available under our credit facilities, is expected to be sufficient for our investing activities and to conduct our operations in the near term. As of December 31, 2017, we had approximately $488.2 million of availability on our Revolving Credit Facility, subject to asset coverage limitations.</w:t>
      </w:r>
    </w:p>
    <w:p>
      <w:pPr>
        <w:spacing w:after="0" w:line="181"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As of December 31, 2017, we had $6.7 million in cash and cash equivalents. During the year ended December 31, 2017, we provided $82.4 million in cash for operating activities, primarily as a result of proceeds from investments of $103.6 million, repayments on investments of $922.5 million, and an increase in net assets resulting from operations of $111.6 million, which was partially offset by funding portfolio investments of $1,028.0 million and other operating activity of $27.3 million. Lastly, cash used in financing activities was $81.7 million during the period, primarily due to paydowns on our Revolving Credit Facility of $1,171.6 million, dividends paid of $94.7 million, and deferred financing costs of $3.9 million, which were partially offset by borrowings of $1,188.5 million (including the issuance of $115.0 million principal amount of our 2022 Convertible Senior Notes).</w:t>
      </w:r>
    </w:p>
    <w:p>
      <w:pPr>
        <w:spacing w:after="0" w:line="178"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As of December 31, 2016, we had $4.9 million in cash and cash equivalents. During the year ended December 31, 2016, we used $37.9 million in cash for operating activities, primarily as a result of funding portfolio investments of $720.7 million and other operating activity of $49.8 million, which was partially offset by proceeds from investments of $71.4 million, repayments on investments of $524.2 million, and an increase in net assets resulting from operations of $137.0 million. Lastly, cash provided by financing activities was $40.3 million during the period, primarily due to borrowings of $580.4 million and proceeds from issuance of common stock (net of purchases of treasury stock and offering and underwriting costs) of $76.9 million, partially offset by repayments on debt of $533.8 million, debt issuance costs of $2.9 million and dividends paid of $80.3 million.</w:t>
      </w:r>
    </w:p>
    <w:p>
      <w:pPr>
        <w:spacing w:after="0" w:line="178"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As of December 31, 2017, we had $3.2 million of restricted cash pledged as collateral under our interest rate swap agreements, compared to $1.1 million as of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During the years ended December 31, 2017 and 2016, we also issued 530,996 and 638,326 shares of our common stock, respectively, to investors who have not opted out of our dividend reinvestment plan for proceeds of $10.2 million and $10.3 million, respectively. On January 12, 2018, we issued 153,295 shares of our common stock through our dividend reinvestment plan for proceeds of $2.9 million, which is not reflected in the number of shares issued for the year ended December 31, 2017 in this section or the consolidated financial statements for the year ended December 31, 2017.</w:t>
      </w:r>
    </w:p>
    <w:p>
      <w:pPr>
        <w:spacing w:after="0" w:line="171"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1" w:name="page72"/>
    <w:bookmarkEnd w:id="71"/>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15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For the year ended December 31, 2017, no shares were repurchased under the Company 10b5-1 Plan. During the year ended December 31, 2016, 86,081 shares were repurchased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2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and 2022 Convertible Senior Notes are presented net of deferred financing costs of $7.1 million, $1.5 million and $3.2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2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9"/>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18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December 31, 2017 and December 31, 2016, we were in compliance with the terms of our debt arrangements. We intend to continue to utilize our credit facilities to fund investments and for other general corporate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the “Revolving Credit Facility”).</w:t>
      </w:r>
    </w:p>
    <w:p>
      <w:pPr>
        <w:spacing w:after="0" w:line="170"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As of December 31, 2017, aggregate commitments under the facility were $975 million. The facility includes an uncommitted accordion feature that allows us, under certain circumstances, to increase the size of the facility to up to $1.25 billion.</w:t>
      </w:r>
    </w:p>
    <w:p>
      <w:pPr>
        <w:spacing w:after="0" w:line="170"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As of December 31, 2017, with respect to $915 million in commitments, the revolving period, during which period we, subject to certain conditions, may make borrowings under the facility, ended December 22, 2020 and the stated maturity date was December 22, 2021. For the remaining $60 million of commitments, the revolving period ended October 2, 2019 and the stated maturity date was October 2, 2020.</w:t>
      </w:r>
    </w:p>
    <w:p>
      <w:pPr>
        <w:spacing w:after="0" w:line="181"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We may borrow amounts in U.S. dollars or certain other permitted currencies. As of December 31, 2017, we had outstanding debt denominated in Euro (EUR) of 59.4 million on our Revolving Credit Facility, included in the Outstanding Principal amount in the table above.</w:t>
      </w:r>
    </w:p>
    <w:p>
      <w:pPr>
        <w:spacing w:after="0" w:line="170"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December 31, 2017 and December 31, 2016,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As of December 31, 2017, amounts drawn under the Revolving Credit Facility, including amounts drawn in respect of letters of credit, bore interest at either LIBOR plus a margin of either 1.75% or 2.00%, or the prime rate plus a margin of either 0.75% or 1.00%, in each case, based on the total amount of the borrowing base relative to the sum of the total commitments (or, if greater, the total exposure) under the Revolving Credit Facility plus certain other designated secured debt.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93"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2016, and net proceeds received from the issuance of the 2022 Convertible Senior Notes and the 2023 Notes were used to pay down borrowings on the Revolving Credit Facility.</w:t>
      </w:r>
    </w:p>
    <w:p>
      <w:pPr>
        <w:spacing w:after="0" w:line="170" w:lineRule="exact"/>
        <w:rPr>
          <w:sz w:val="20"/>
          <w:szCs w:val="20"/>
          <w:color w:val="auto"/>
        </w:rPr>
      </w:pPr>
    </w:p>
    <w:p>
      <w:pPr>
        <w:jc w:val="both"/>
        <w:ind w:right="80" w:firstLine="259"/>
        <w:spacing w:after="0" w:line="257" w:lineRule="auto"/>
        <w:rPr>
          <w:sz w:val="20"/>
          <w:szCs w:val="20"/>
          <w:color w:val="auto"/>
        </w:rPr>
      </w:pPr>
      <w:r>
        <w:rPr>
          <w:rFonts w:ascii="Arial" w:cs="Arial" w:eastAsia="Arial" w:hAnsi="Arial"/>
          <w:sz w:val="18"/>
          <w:szCs w:val="18"/>
          <w:color w:val="auto"/>
        </w:rPr>
        <w:t>On February 20, 2018, we entered into an amendment to the Revolving Credit Facility. Under the terms of the amendment, aggregate commitments under the facility were increased to $990 million. In addition, with respect to $895 million in commitments, amounts drawn under the facility bear interest at a rate of LIBOR plus a margin of either 1.75% or 1.875%, or the prime rate plus a margin of either 0.75% or 0.875%. With respect to $95 million in commitments, amounts drawn under the facility bear interest at a rate of LIBOR plus a margin of either 1.75% or 2.00%, or the prime rate plus a margin of either 0.75% or 1.00%.</w:t>
      </w:r>
    </w:p>
    <w:p>
      <w:pPr>
        <w:spacing w:after="0" w:line="188" w:lineRule="exact"/>
        <w:rPr>
          <w:sz w:val="20"/>
          <w:szCs w:val="20"/>
          <w:color w:val="auto"/>
        </w:rPr>
      </w:pPr>
    </w:p>
    <w:p>
      <w:pPr>
        <w:jc w:val="both"/>
        <w:ind w:right="120" w:firstLine="259"/>
        <w:spacing w:after="0" w:line="259" w:lineRule="auto"/>
        <w:rPr>
          <w:sz w:val="20"/>
          <w:szCs w:val="20"/>
          <w:color w:val="auto"/>
        </w:rPr>
      </w:pPr>
      <w:r>
        <w:rPr>
          <w:rFonts w:ascii="Arial" w:cs="Arial" w:eastAsia="Arial" w:hAnsi="Arial"/>
          <w:sz w:val="18"/>
          <w:szCs w:val="18"/>
          <w:color w:val="auto"/>
        </w:rPr>
        <w:t>The maturity of the facility was also extended. With respect to $895 million in commitments, the revolving period ends in February 2022 and the stated maturity date is February 2023. For the remaining $95 million of commitments, the revolving period ends in either October 2019 or December 2020, and the stated maturity date is either October 2020 or December 2021. Under the terms of the Revolving Credit Facility, we may at any time determine to cancel the commitments that were not extended.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In June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As of December 31, 2017, the estimated adjusted conversion price was approximately $25.41.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20" w:firstLine="8"/>
        <w:spacing w:after="0" w:line="254"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w:t>
      </w:r>
    </w:p>
    <w:p>
      <w:pPr>
        <w:spacing w:after="0" w:line="19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senior notes due August 2022, or the 2022 Convertible Senior Notes. We refer to the 2019 Convertible Senior Notes and the 2022 Convertible Senior Notes collectively as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As of December 31, 2017, the estimated adjusted conversion price was approximately $21.15.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237.2 basis points.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Holders may convert their 2022 Convertible Senior Notes at their option at any time prior to February 1, 2022 only under the following circumstances:</w:t>
      </w:r>
    </w:p>
    <w:p>
      <w:pPr>
        <w:spacing w:after="0" w:line="35" w:lineRule="exact"/>
        <w:rPr>
          <w:sz w:val="20"/>
          <w:szCs w:val="20"/>
          <w:color w:val="auto"/>
        </w:rPr>
      </w:pPr>
    </w:p>
    <w:p>
      <w:pPr>
        <w:ind w:right="80" w:firstLine="8"/>
        <w:spacing w:after="0" w:line="287" w:lineRule="auto"/>
        <w:tabs>
          <w:tab w:leader="none" w:pos="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ind w:right="20" w:firstLine="259"/>
        <w:spacing w:after="0" w:line="257" w:lineRule="auto"/>
        <w:rPr>
          <w:sz w:val="20"/>
          <w:szCs w:val="20"/>
          <w:color w:val="auto"/>
        </w:rPr>
      </w:pPr>
      <w:r>
        <w:rPr>
          <w:rFonts w:ascii="Arial" w:cs="Arial" w:eastAsia="Arial" w:hAnsi="Arial"/>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As of December 31, 2017, the principal amount of the 2019 and 2022 Convertible Senior Notes exceeded the value of the underlying shares multiplied by the per share closing price of our common stock.</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December 31, 2017, we were in compliance with the terms of the indentures governing the 2019 and 2022 Convertible Senior Notes.</w:t>
      </w:r>
    </w:p>
    <w:p>
      <w:pPr>
        <w:spacing w:after="0" w:line="188" w:lineRule="exact"/>
        <w:rPr>
          <w:sz w:val="20"/>
          <w:szCs w:val="20"/>
          <w:color w:val="auto"/>
        </w:rPr>
      </w:pPr>
    </w:p>
    <w:p>
      <w:pPr>
        <w:ind w:firstLine="259"/>
        <w:spacing w:after="0" w:line="286"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 Notes. We have determined that the embedded conversion options in the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80" w:firstLine="259"/>
        <w:spacing w:after="0" w:line="276" w:lineRule="auto"/>
        <w:rPr>
          <w:sz w:val="20"/>
          <w:szCs w:val="20"/>
          <w:color w:val="auto"/>
        </w:rPr>
      </w:pPr>
      <w:r>
        <w:rPr>
          <w:rFonts w:ascii="Arial" w:cs="Arial" w:eastAsia="Arial" w:hAnsi="Arial"/>
          <w:sz w:val="17"/>
          <w:szCs w:val="17"/>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estimated offering costs, were approximately $147.1 million. We used the net proceeds of the 2023 Notes to repay outstanding indebtedness under the Revolving Credit Facility.</w:t>
      </w:r>
    </w:p>
    <w:p>
      <w:pPr>
        <w:spacing w:after="0" w:line="173"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connection with the offering, we entered into an interest rate swap to better align the interest rates of our liabilities with our investment portfolio, which consists of predominately floating rate loans. As a result of the swap, our effective interest rate on the 2023 Notes is three-month LIBOR plus 199 basis points. The swap transaction matures on January 22,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2017 and 2016, we had the following commitments to fund investments in current portfolio companies: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 LLC - Revolver</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Marketo, Inc.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Northern Oil &amp; Gas - Delayed Draw</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My Alarm Center, LLC - Delayed Draw</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PaySimple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Rex Energy Corporation - Delayed Draw</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Riskonnect,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Sailpoint Technologies, Inc. - Revolver</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As of December 31, 2017, we did not have any unfunded commitments to fund investments to new borrowers that were not current portfolio companies as of such date. As of December 31, 2016, we had additional unfunded commitments of $50.0 million to fund investments to new borrowers that were not current portfolio companies as of such date.</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2019 Convertible Senior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ind w:right="16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60" w:hanging="255"/>
        <w:spacing w:after="0" w:line="264"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7"/>
          <w:szCs w:val="17"/>
          <w:i w:val="1"/>
          <w:iCs w:val="1"/>
          <w:color w:val="auto"/>
        </w:rPr>
        <w:t>“ITEM 1A.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6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17" w:lineRule="exact"/>
        <w:rPr>
          <w:sz w:val="20"/>
          <w:szCs w:val="20"/>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420" w:hanging="255"/>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40" w:hanging="255"/>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40" w:hanging="255"/>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60" w:hanging="255"/>
        <w:spacing w:after="0" w:line="264"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120" w:firstLine="259"/>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520" w:right="740" w:hanging="255"/>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9" w:name="page80"/>
    <w:bookmarkEnd w:id="79"/>
    <w:p>
      <w:pPr>
        <w:ind w:right="16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As of December 31, 2017, the Company did not have any uncertain tax positions that met the recognition or measurement criteria, nor did the Company have any unrecognized tax benefits. Conclusions regarding tax positions are subject to review and may be adjusted at a later date based on factors including on-going analyses of tax laws, regulations and interpretations thereof. The Company’s 2016, 2015 and 2014 tax year returns remain subject to examination by the relevant federal, state, and local tax authorities.</w:t>
      </w:r>
    </w:p>
    <w:p>
      <w:pPr>
        <w:spacing w:after="0" w:line="178"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As of December 31, 2017, all of our debt investments based on fair value in our portfolio bore interest at floating rates (when including investment specific hedges), with 93.3% of these subject to interest rate floors. Our credit facilities also bear interest at floating rates, and in connection with our Convertible Senior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0" w:name="page81"/>
    <w:bookmarkEnd w:id="80"/>
    <w:p>
      <w:pPr>
        <w:ind w:firstLine="259"/>
        <w:spacing w:after="0" w:line="264" w:lineRule="auto"/>
        <w:rPr>
          <w:sz w:val="20"/>
          <w:szCs w:val="20"/>
          <w:color w:val="auto"/>
        </w:rPr>
      </w:pPr>
      <w:r>
        <w:rPr>
          <w:rFonts w:ascii="Arial" w:cs="Arial" w:eastAsia="Arial" w:hAnsi="Arial"/>
          <w:sz w:val="18"/>
          <w:szCs w:val="18"/>
          <w:color w:val="auto"/>
        </w:rPr>
        <w:t>Assuming that our consolidated balance sheet as of December 31, 2017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Interest 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Interest Expense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5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Up 200 basis points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Down 25 basis points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20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rPr>
              <w:t>TPG SPECIALTY LENDING, INC.</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80" w:type="dxa"/>
            <w:vAlign w:val="bottom"/>
            <w:gridSpan w:val="8"/>
            <w:vMerge w:val="restart"/>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80" w:type="dxa"/>
            <w:vAlign w:val="bottom"/>
            <w:gridSpan w:val="8"/>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Consolidated Balance Sheets as of December 31, 2017 and 2016</w:t>
              </w:r>
            </w:hyperlink>
          </w:p>
        </w:tc>
        <w:tc>
          <w:tcPr>
            <w:tcW w:w="562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10280" w:type="dxa"/>
            <w:vAlign w:val="bottom"/>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Statements of Operations for the Years Ended December 31, 2017, 2016 and 201</w:t>
              </w:r>
            </w:hyperlink>
            <w:r>
              <w:rPr>
                <w:rFonts w:ascii="Arial" w:cs="Arial" w:eastAsia="Arial" w:hAnsi="Arial"/>
                <w:sz w:val="18"/>
                <w:szCs w:val="18"/>
                <w:color w:val="000000"/>
              </w:rPr>
              <w:t>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6820" w:type="dxa"/>
            <w:vAlign w:val="bottom"/>
            <w:tcBorders>
              <w:top w:val="single" w:sz="8" w:color="0000EE"/>
            </w:tcBorders>
            <w:gridSpan w:val="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Schedules of Investments as of December 31, 2017 and 2016</w:t>
              </w:r>
            </w:hyperlink>
          </w:p>
        </w:tc>
        <w:tc>
          <w:tcPr>
            <w:tcW w:w="346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80" w:type="dxa"/>
            <w:vAlign w:val="bottom"/>
            <w:gridSpan w:val="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Changes in Net Assets for the Years Ended December 31, 2017, 2016 and 201</w:t>
              </w:r>
            </w:hyperlink>
            <w:r>
              <w:rPr>
                <w:rFonts w:ascii="Arial" w:cs="Arial" w:eastAsia="Arial" w:hAnsi="Arial"/>
                <w:sz w:val="18"/>
                <w:szCs w:val="18"/>
                <w:color w:val="000000"/>
              </w:rPr>
              <w:t>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318"/>
        </w:trPr>
        <w:tc>
          <w:tcPr>
            <w:tcW w:w="7660" w:type="dxa"/>
            <w:vAlign w:val="bottom"/>
            <w:tcBorders>
              <w:top w:val="single" w:sz="8" w:color="0000EE"/>
            </w:tcBorders>
            <w:gridSpan w:val="7"/>
          </w:tcPr>
          <w:p>
            <w:pPr>
              <w:spacing w:after="0"/>
              <w:rPr>
                <w:rFonts w:ascii="Arial" w:cs="Arial" w:eastAsia="Arial" w:hAnsi="Arial"/>
                <w:sz w:val="18"/>
                <w:szCs w:val="18"/>
                <w:color w:val="0000EE"/>
                <w:w w:val="98"/>
              </w:rPr>
            </w:pPr>
            <w:hyperlink w:anchor="page99">
              <w:r>
                <w:rPr>
                  <w:rFonts w:ascii="Arial" w:cs="Arial" w:eastAsia="Arial" w:hAnsi="Arial"/>
                  <w:sz w:val="18"/>
                  <w:szCs w:val="18"/>
                  <w:color w:val="0000EE"/>
                  <w:w w:val="98"/>
                </w:rPr>
                <w:t>Consolidated Statements of Cash Flows for the Years Ended December 31, 2017, 2016 and 201</w:t>
              </w:r>
            </w:hyperlink>
            <w:r>
              <w:rPr>
                <w:rFonts w:ascii="Arial" w:cs="Arial" w:eastAsia="Arial" w:hAnsi="Arial"/>
                <w:sz w:val="18"/>
                <w:szCs w:val="18"/>
                <w:color w:val="000000"/>
                <w:w w:val="98"/>
              </w:rPr>
              <w:t>5</w:t>
            </w:r>
          </w:p>
        </w:tc>
        <w:tc>
          <w:tcPr>
            <w:tcW w:w="26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Notes to Consolidated Financial Statements</w:t>
              </w:r>
            </w:hyperlink>
          </w:p>
        </w:tc>
        <w:tc>
          <w:tcPr>
            <w:tcW w:w="3720" w:type="dxa"/>
            <w:vAlign w:val="bottom"/>
            <w:tcBorders>
              <w:top w:val="single" w:sz="8" w:color="0000EE"/>
            </w:tcBorders>
            <w:gridSpan w:val="5"/>
          </w:tcPr>
          <w:p>
            <w:pPr>
              <w:spacing w:after="0"/>
              <w:rPr>
                <w:sz w:val="24"/>
                <w:szCs w:val="24"/>
                <w:color w:val="auto"/>
              </w:rPr>
            </w:pPr>
          </w:p>
        </w:tc>
        <w:tc>
          <w:tcPr>
            <w:tcW w:w="340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TPG Specialty Lending, Inc. and subsidiaries (the Company), including the consolidated schedules of investments, as of December 31, 2017 and 2016, the related consolidated statements of operations, changes in net assets, and cash flows for each of the years in the three-year period ended December 31, 2017, and the related notes (collectively,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2017 and 2016, and the results of its operations, changes in net assets, and cash flows for each of the years in the three-year period ended December 31, 2017, in conformity with U.S. generally accepted accounting principles. Also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500" w:firstLine="259"/>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20" w:firstLine="259"/>
        <w:spacing w:after="0" w:line="270"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2017 and 2016,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3" w:name="page84"/>
    <w:bookmarkEnd w:id="83"/>
    <w:p>
      <w:pPr>
        <w:ind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$1,523,844</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$1,567,673, respectively)</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2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$162,406 and $100,014,</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135,920</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$1,686,250 and $1,667,687,</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(restricted cash of $3,150 and $1,088, respectively)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$11,770 and $11,019, respectively)</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703,428</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750,954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60,336,281 and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59,805,285 shares issued, respectively; and 60,247,201 and 59,716,205 shares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 (losses)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(4,989)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2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 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167,819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640"/>
              <w:spacing w:after="0"/>
              <w:rPr>
                <w:sz w:val="20"/>
                <w:szCs w:val="20"/>
                <w:color w:val="auto"/>
              </w:rPr>
            </w:pPr>
            <w:r>
              <w:rPr>
                <w:rFonts w:ascii="Arial" w:cs="Arial" w:eastAsia="Arial" w:hAnsi="Arial"/>
                <w:sz w:val="18"/>
                <w:szCs w:val="18"/>
                <w:color w:val="auto"/>
              </w:rPr>
              <w:t>investments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201,250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182,231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210,897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Professional fees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87,888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87,803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123,094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109,558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(10,994)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other assets and liabilities in foreign currencies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(11,432)</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Realized gains (losses):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(21,776)</w:t>
            </w: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transactions</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realized losses</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tcBorders>
              <w:bottom w:val="single" w:sz="8" w:color="CFF0FC"/>
            </w:tcBorders>
            <w:vMerge w:val="continue"/>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59,995,387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58,591,380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54,006,322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Reference</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Pr>
          <w:p>
            <w:pPr>
              <w:spacing w:after="0"/>
              <w:rPr>
                <w:sz w:val="13"/>
                <w:szCs w:val="13"/>
                <w:color w:val="auto"/>
              </w:rPr>
            </w:pPr>
          </w:p>
        </w:tc>
        <w:tc>
          <w:tcPr>
            <w:tcW w:w="25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Rate and</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Interest Rate</w:t>
            </w:r>
          </w:p>
        </w:tc>
        <w:tc>
          <w:tcPr>
            <w:tcW w:w="8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3"/>
                <w:szCs w:val="13"/>
                <w:color w:val="auto"/>
              </w:rPr>
            </w:pPr>
          </w:p>
        </w:tc>
        <w:tc>
          <w:tcPr>
            <w:tcW w:w="9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Spread</w:t>
            </w: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(2)(7)</w:t>
            </w:r>
          </w:p>
        </w:tc>
        <w:tc>
          <w:tcPr>
            <w:tcW w:w="1000" w:type="dxa"/>
            <w:vAlign w:val="bottom"/>
            <w:gridSpan w:val="2"/>
          </w:tcPr>
          <w:p>
            <w:pPr>
              <w:jc w:val="right"/>
              <w:ind w:right="232"/>
              <w:spacing w:after="0"/>
              <w:rPr>
                <w:sz w:val="20"/>
                <w:szCs w:val="20"/>
                <w:color w:val="auto"/>
              </w:rPr>
            </w:pPr>
            <w:r>
              <w:rPr>
                <w:rFonts w:ascii="Arial" w:cs="Arial" w:eastAsia="Arial" w:hAnsi="Arial"/>
                <w:sz w:val="12"/>
                <w:szCs w:val="12"/>
                <w:b w:val="1"/>
                <w:bCs w:val="1"/>
                <w:color w:val="auto"/>
              </w:rPr>
              <w:t>(9)</w:t>
            </w:r>
          </w:p>
        </w:tc>
        <w:tc>
          <w:tcPr>
            <w:tcW w:w="2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Automotive</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($25,725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+ 10.25%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25,724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25,789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revolving loan ($4,056</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par, due 1/2018)</w:t>
            </w:r>
          </w:p>
        </w:tc>
        <w:tc>
          <w:tcPr>
            <w:tcW w:w="84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P + 9.00%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29,780</w:t>
            </w:r>
          </w:p>
        </w:tc>
        <w:tc>
          <w:tcPr>
            <w:tcW w:w="22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w w:val="92"/>
              </w:rPr>
              <w:t>Beverage, food and tobacco</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(3)(6)</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Second-lien loan ($59,621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($53,730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51,900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($33,221 par, due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6/2020)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+ 8.00%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32,879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33,221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1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($20,879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(incl. 3.00%</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7/2021)</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+ 10.00%</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($42,800 par, due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+ 7.75%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41,920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42,203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($34,323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33,862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34,421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($49,975 par, due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(incl. 0.50%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+ 8.50%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PIK)</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48,196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48,725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229,253</w:t>
            </w:r>
          </w:p>
        </w:tc>
        <w:tc>
          <w:tcPr>
            <w:tcW w:w="22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234,275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Chemicals</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($4,967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10/31/2016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Second-lien loan ($3,341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due 10/2021)</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10/31/2016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+ 12.00%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2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Communications</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iHeart Communications </w:t>
            </w:r>
            <w:r>
              <w:rPr>
                <w:rFonts w:ascii="Arial" w:cs="Arial" w:eastAsia="Arial" w:hAnsi="Arial"/>
                <w:sz w:val="15"/>
                <w:szCs w:val="15"/>
                <w:color w:val="auto"/>
              </w:rPr>
              <w:t>(3)(5)</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ABL FILO term loan ($115,000</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11/2020)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11/30/2017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+ 4.75%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111,613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112,700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Education</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($45,000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44,029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Frontline Technologies Group,</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($47,703 par, due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47,039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47,132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($56,900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+ 8.00%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55,772</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146,840</w:t>
            </w:r>
          </w:p>
        </w:tc>
        <w:tc>
          <w:tcPr>
            <w:tcW w:w="2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148,553</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($20,364 par, due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+ 8.00%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20,643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F-6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($54,449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8/2020)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55,266</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($56,525 par, due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7/2022)</w:t>
            </w:r>
          </w:p>
        </w:tc>
        <w:tc>
          <w:tcPr>
            <w:tcW w:w="980" w:type="dxa"/>
            <w:vAlign w:val="bottom"/>
          </w:tcPr>
          <w:p>
            <w:pPr>
              <w:jc w:val="right"/>
              <w:spacing w:after="0"/>
              <w:rPr>
                <w:sz w:val="20"/>
                <w:szCs w:val="20"/>
                <w:color w:val="auto"/>
              </w:rPr>
            </w:pPr>
            <w:r>
              <w:rPr>
                <w:rFonts w:ascii="Arial" w:cs="Arial" w:eastAsia="Arial" w:hAnsi="Arial"/>
                <w:sz w:val="18"/>
                <w:szCs w:val="18"/>
                <w:color w:val="auto"/>
              </w:rPr>
              <w:t>7/28/2017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55,413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55,627</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($50,601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1.75%</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3/2022)</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($29,167 par, due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1/2022)</w:t>
            </w:r>
          </w:p>
        </w:tc>
        <w:tc>
          <w:tcPr>
            <w:tcW w:w="980" w:type="dxa"/>
            <w:vAlign w:val="bottom"/>
          </w:tcPr>
          <w:p>
            <w:pPr>
              <w:jc w:val="right"/>
              <w:spacing w:after="0"/>
              <w:rPr>
                <w:sz w:val="20"/>
                <w:szCs w:val="20"/>
                <w:color w:val="auto"/>
              </w:rPr>
            </w:pPr>
            <w:r>
              <w:rPr>
                <w:rFonts w:ascii="Arial" w:cs="Arial" w:eastAsia="Arial" w:hAnsi="Arial"/>
                <w:sz w:val="18"/>
                <w:szCs w:val="18"/>
                <w:color w:val="auto"/>
              </w:rPr>
              <w:t>7/31/2017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780" w:type="dxa"/>
            <w:vAlign w:val="bottom"/>
          </w:tcPr>
          <w:p>
            <w:pPr>
              <w:jc w:val="right"/>
              <w:spacing w:after="0"/>
              <w:rPr>
                <w:sz w:val="20"/>
                <w:szCs w:val="20"/>
                <w:color w:val="auto"/>
              </w:rPr>
            </w:pPr>
            <w:r>
              <w:rPr>
                <w:rFonts w:ascii="Arial" w:cs="Arial" w:eastAsia="Arial" w:hAnsi="Arial"/>
                <w:sz w:val="18"/>
                <w:szCs w:val="18"/>
                <w:color w:val="auto"/>
              </w:rPr>
              <w:t>28,472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29,458</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207,468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211,039</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2"/>
              </w:rPr>
              <w:t>Integrated Practice Solutions, Inc.</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($32,338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(3)(5)</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6/2022)</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31,486</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31,691</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(EUR 38,019 par,</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47,366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due 9/2019)</w:t>
            </w:r>
          </w:p>
        </w:tc>
        <w:tc>
          <w:tcPr>
            <w:tcW w:w="980" w:type="dxa"/>
            <w:vAlign w:val="bottom"/>
          </w:tcPr>
          <w:p>
            <w:pPr>
              <w:jc w:val="right"/>
              <w:spacing w:after="0"/>
              <w:rPr>
                <w:sz w:val="20"/>
                <w:szCs w:val="20"/>
                <w:color w:val="auto"/>
              </w:rPr>
            </w:pPr>
            <w:r>
              <w:rPr>
                <w:rFonts w:ascii="Arial" w:cs="Arial" w:eastAsia="Arial" w:hAnsi="Arial"/>
                <w:sz w:val="18"/>
                <w:szCs w:val="18"/>
                <w:color w:val="auto"/>
              </w:rPr>
              <w:t>9/30/2014</w:t>
            </w:r>
          </w:p>
        </w:tc>
        <w:tc>
          <w:tcPr>
            <w:tcW w:w="1100" w:type="dxa"/>
            <w:vAlign w:val="bottom"/>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tcPr>
          <w:p>
            <w:pPr>
              <w:jc w:val="right"/>
              <w:spacing w:after="0"/>
              <w:rPr>
                <w:sz w:val="20"/>
                <w:szCs w:val="20"/>
                <w:color w:val="auto"/>
              </w:rPr>
            </w:pPr>
            <w:r>
              <w:rPr>
                <w:rFonts w:ascii="Arial" w:cs="Arial" w:eastAsia="Arial" w:hAnsi="Arial"/>
                <w:sz w:val="18"/>
                <w:szCs w:val="18"/>
                <w:color w:val="auto"/>
              </w:rPr>
              <w:t>45,164</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(EUR 39,445)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18"/>
                <w:szCs w:val="18"/>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revolving loan (EUR</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300 par, due 9/2019)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(EUR 450)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($57,305 par, due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12/2021)</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12/17/2015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+ 5.25%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780" w:type="dxa"/>
            <w:vAlign w:val="bottom"/>
          </w:tcPr>
          <w:p>
            <w:pPr>
              <w:jc w:val="right"/>
              <w:spacing w:after="0"/>
              <w:rPr>
                <w:sz w:val="20"/>
                <w:szCs w:val="20"/>
                <w:color w:val="auto"/>
              </w:rPr>
            </w:pPr>
            <w:r>
              <w:rPr>
                <w:rFonts w:ascii="Arial" w:cs="Arial" w:eastAsia="Arial" w:hAnsi="Arial"/>
                <w:sz w:val="18"/>
                <w:szCs w:val="18"/>
                <w:color w:val="auto"/>
              </w:rPr>
              <w:t>56,455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58,021</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($43,262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43,478</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($29,475 par, due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2/2021)</w:t>
            </w:r>
          </w:p>
        </w:tc>
        <w:tc>
          <w:tcPr>
            <w:tcW w:w="980" w:type="dxa"/>
            <w:vAlign w:val="bottom"/>
          </w:tcPr>
          <w:p>
            <w:pPr>
              <w:jc w:val="right"/>
              <w:spacing w:after="0"/>
              <w:rPr>
                <w:sz w:val="20"/>
                <w:szCs w:val="20"/>
                <w:color w:val="auto"/>
              </w:rPr>
            </w:pPr>
            <w:r>
              <w:rPr>
                <w:rFonts w:ascii="Arial" w:cs="Arial" w:eastAsia="Arial" w:hAnsi="Arial"/>
                <w:sz w:val="18"/>
                <w:szCs w:val="18"/>
                <w:color w:val="auto"/>
              </w:rPr>
              <w:t>2/29/2016</w:t>
            </w:r>
          </w:p>
        </w:tc>
        <w:tc>
          <w:tcPr>
            <w:tcW w:w="1100" w:type="dxa"/>
            <w:vAlign w:val="bottom"/>
          </w:tcPr>
          <w:p>
            <w:pPr>
              <w:jc w:val="right"/>
              <w:spacing w:after="0"/>
              <w:rPr>
                <w:sz w:val="20"/>
                <w:szCs w:val="20"/>
                <w:color w:val="auto"/>
              </w:rPr>
            </w:pPr>
            <w:r>
              <w:rPr>
                <w:rFonts w:ascii="Arial" w:cs="Arial" w:eastAsia="Arial" w:hAnsi="Arial"/>
                <w:sz w:val="18"/>
                <w:szCs w:val="18"/>
                <w:color w:val="auto"/>
              </w:rPr>
              <w:t>L + 7.75%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780" w:type="dxa"/>
            <w:vAlign w:val="bottom"/>
          </w:tcPr>
          <w:p>
            <w:pPr>
              <w:jc w:val="right"/>
              <w:spacing w:after="0"/>
              <w:rPr>
                <w:sz w:val="20"/>
                <w:szCs w:val="20"/>
                <w:color w:val="auto"/>
              </w:rPr>
            </w:pPr>
            <w:r>
              <w:rPr>
                <w:rFonts w:ascii="Arial" w:cs="Arial" w:eastAsia="Arial" w:hAnsi="Arial"/>
                <w:sz w:val="18"/>
                <w:szCs w:val="18"/>
                <w:color w:val="auto"/>
              </w:rPr>
              <w:t>28,772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30,212</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204,653</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211,308</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w w:val="99"/>
              </w:rPr>
              <w:t>Hotel, gaming, and leisure</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(3)(6)</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($22,414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11.19%</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9/2019)</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5.00%</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22,414</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17,596</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11.06%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($21,665 par, due 9/2019)</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(incl. 5.00%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tcPr>
          <w:p>
            <w:pPr>
              <w:jc w:val="right"/>
              <w:spacing w:after="0"/>
              <w:rPr>
                <w:sz w:val="20"/>
                <w:szCs w:val="20"/>
                <w:color w:val="auto"/>
              </w:rPr>
            </w:pPr>
            <w:r>
              <w:rPr>
                <w:rFonts w:ascii="Arial" w:cs="Arial" w:eastAsia="Arial" w:hAnsi="Arial"/>
                <w:sz w:val="18"/>
                <w:szCs w:val="18"/>
                <w:color w:val="auto"/>
              </w:rPr>
              <w:t>21,665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17,007</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($63,321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10/31/2014</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64,904</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($50,000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10/2022)</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48,840</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48,927</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7"/>
              </w:rPr>
              <w:t>First-lien loan ($9,975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10/2022)</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10/23/2017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(EUR 21,065 par,</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(EUR</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due 10/2022)</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10/23/2017</w:t>
            </w:r>
          </w:p>
        </w:tc>
        <w:tc>
          <w:tcPr>
            <w:tcW w:w="1100" w:type="dxa"/>
            <w:vAlign w:val="bottom"/>
          </w:tcPr>
          <w:p>
            <w:pPr>
              <w:jc w:val="right"/>
              <w:spacing w:after="0"/>
              <w:rPr>
                <w:sz w:val="20"/>
                <w:szCs w:val="20"/>
                <w:color w:val="auto"/>
              </w:rPr>
            </w:pPr>
            <w:r>
              <w:rPr>
                <w:rFonts w:ascii="Arial" w:cs="Arial" w:eastAsia="Arial" w:hAnsi="Arial"/>
                <w:sz w:val="18"/>
                <w:szCs w:val="18"/>
                <w:color w:val="auto"/>
              </w:rPr>
              <w:t>E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780" w:type="dxa"/>
            <w:vAlign w:val="bottom"/>
          </w:tcPr>
          <w:p>
            <w:pPr>
              <w:jc w:val="right"/>
              <w:spacing w:after="0"/>
              <w:rPr>
                <w:sz w:val="20"/>
                <w:szCs w:val="20"/>
                <w:color w:val="auto"/>
              </w:rPr>
            </w:pPr>
            <w:r>
              <w:rPr>
                <w:rFonts w:ascii="Arial" w:cs="Arial" w:eastAsia="Arial" w:hAnsi="Arial"/>
                <w:sz w:val="18"/>
                <w:szCs w:val="18"/>
                <w:color w:val="auto"/>
              </w:rPr>
              <w:t>24,260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20,749)</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($19,986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12/30/2014</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19,816</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20,086</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w w:val="95"/>
              </w:rPr>
              <w:t>First-lien revolving loan ($1,393</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par, due 12/2019)</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12/30/2014</w:t>
            </w:r>
          </w:p>
        </w:tc>
        <w:tc>
          <w:tcPr>
            <w:tcW w:w="110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56,155</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Marketing services</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($28,125 par, due</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8/2021)</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480" w:type="dxa"/>
            <w:vAlign w:val="bottom"/>
          </w:tcPr>
          <w:p>
            <w:pPr>
              <w:ind w:left="60"/>
              <w:spacing w:after="0"/>
              <w:rPr>
                <w:sz w:val="20"/>
                <w:szCs w:val="20"/>
                <w:color w:val="auto"/>
              </w:rPr>
            </w:pPr>
            <w:r>
              <w:rPr>
                <w:rFonts w:ascii="Arial" w:cs="Arial" w:eastAsia="Arial" w:hAnsi="Arial"/>
                <w:sz w:val="18"/>
                <w:szCs w:val="18"/>
                <w:color w:val="auto"/>
                <w:w w:val="94"/>
              </w:rPr>
              <w:t>First-lien loan ($32,463 par, due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9/2022)</w:t>
            </w:r>
          </w:p>
        </w:tc>
        <w:tc>
          <w:tcPr>
            <w:tcW w:w="980" w:type="dxa"/>
            <w:vAlign w:val="bottom"/>
          </w:tcPr>
          <w:p>
            <w:pPr>
              <w:jc w:val="right"/>
              <w:spacing w:after="0"/>
              <w:rPr>
                <w:sz w:val="20"/>
                <w:szCs w:val="20"/>
                <w:color w:val="auto"/>
              </w:rPr>
            </w:pPr>
            <w:r>
              <w:rPr>
                <w:rFonts w:ascii="Arial" w:cs="Arial" w:eastAsia="Arial" w:hAnsi="Arial"/>
                <w:sz w:val="18"/>
                <w:szCs w:val="18"/>
                <w:color w:val="auto"/>
              </w:rPr>
              <w:t>9/29/2017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780" w:type="dxa"/>
            <w:vAlign w:val="bottom"/>
          </w:tcPr>
          <w:p>
            <w:pPr>
              <w:jc w:val="right"/>
              <w:spacing w:after="0"/>
              <w:rPr>
                <w:sz w:val="20"/>
                <w:szCs w:val="20"/>
                <w:color w:val="auto"/>
              </w:rPr>
            </w:pPr>
            <w:r>
              <w:rPr>
                <w:rFonts w:ascii="Arial" w:cs="Arial" w:eastAsia="Arial" w:hAnsi="Arial"/>
                <w:sz w:val="18"/>
                <w:szCs w:val="18"/>
                <w:color w:val="auto"/>
              </w:rPr>
              <w:t>31,918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31,976</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426"/>
        </w:trPr>
        <w:tc>
          <w:tcPr>
            <w:tcW w:w="2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F-7</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
        </w:trPr>
        <w:tc>
          <w:tcPr>
            <w:tcW w:w="25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61,001</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05"/>
        </w:trPr>
        <w:tc>
          <w:tcPr>
            <w:tcW w:w="252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(3)(6)</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7"/>
              </w:rPr>
              <w:t>First-lien loan ($25,229 par, due</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6/2018)</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5/3/2017</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+ 10.50%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25,229</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580" w:type="dxa"/>
            <w:vAlign w:val="bottom"/>
          </w:tcPr>
          <w:p>
            <w:pPr>
              <w:ind w:left="80"/>
              <w:spacing w:after="0"/>
              <w:rPr>
                <w:sz w:val="20"/>
                <w:szCs w:val="20"/>
                <w:color w:val="auto"/>
              </w:rPr>
            </w:pPr>
            <w:r>
              <w:rPr>
                <w:rFonts w:ascii="Arial" w:cs="Arial" w:eastAsia="Arial" w:hAnsi="Arial"/>
                <w:sz w:val="18"/>
                <w:szCs w:val="18"/>
                <w:color w:val="auto"/>
                <w:w w:val="97"/>
              </w:rPr>
              <w:t>First-lien loan ($48,750 par, due</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11/2022)</w:t>
            </w:r>
          </w:p>
        </w:tc>
        <w:tc>
          <w:tcPr>
            <w:tcW w:w="960" w:type="dxa"/>
            <w:vAlign w:val="bottom"/>
          </w:tcPr>
          <w:p>
            <w:pPr>
              <w:jc w:val="right"/>
              <w:spacing w:after="0"/>
              <w:rPr>
                <w:sz w:val="20"/>
                <w:szCs w:val="20"/>
                <w:color w:val="auto"/>
              </w:rPr>
            </w:pPr>
            <w:r>
              <w:rPr>
                <w:rFonts w:ascii="Arial" w:cs="Arial" w:eastAsia="Arial" w:hAnsi="Arial"/>
                <w:sz w:val="18"/>
                <w:szCs w:val="18"/>
                <w:color w:val="auto"/>
              </w:rPr>
              <w:t>11/1/2017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860" w:type="dxa"/>
            <w:vAlign w:val="bottom"/>
          </w:tcPr>
          <w:p>
            <w:pPr>
              <w:jc w:val="right"/>
              <w:spacing w:after="0"/>
              <w:rPr>
                <w:sz w:val="20"/>
                <w:szCs w:val="20"/>
                <w:color w:val="auto"/>
              </w:rPr>
            </w:pPr>
            <w:r>
              <w:rPr>
                <w:rFonts w:ascii="Arial" w:cs="Arial" w:eastAsia="Arial" w:hAnsi="Arial"/>
                <w:sz w:val="18"/>
                <w:szCs w:val="18"/>
                <w:color w:val="auto"/>
              </w:rPr>
              <w:t>47,563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7"/>
              </w:rPr>
              <w:t>First-lien loan ($18,950 par, due</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4/2021)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4/28/2017</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91,210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93,204</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Office products</w:t>
            </w:r>
          </w:p>
        </w:tc>
        <w:tc>
          <w:tcPr>
            <w:tcW w:w="25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580" w:type="dxa"/>
            <w:vAlign w:val="bottom"/>
          </w:tcPr>
          <w:p>
            <w:pPr>
              <w:ind w:left="80"/>
              <w:spacing w:after="0"/>
              <w:rPr>
                <w:sz w:val="20"/>
                <w:szCs w:val="20"/>
                <w:color w:val="auto"/>
              </w:rPr>
            </w:pPr>
            <w:r>
              <w:rPr>
                <w:rFonts w:ascii="Arial" w:cs="Arial" w:eastAsia="Arial" w:hAnsi="Arial"/>
                <w:sz w:val="18"/>
                <w:szCs w:val="18"/>
                <w:color w:val="auto"/>
              </w:rPr>
              <w:t>ABL FILO term loan ($20,000</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par, due 9/2022)</w:t>
            </w:r>
          </w:p>
        </w:tc>
        <w:tc>
          <w:tcPr>
            <w:tcW w:w="960" w:type="dxa"/>
            <w:vAlign w:val="bottom"/>
          </w:tcPr>
          <w:p>
            <w:pPr>
              <w:jc w:val="right"/>
              <w:spacing w:after="0"/>
              <w:rPr>
                <w:sz w:val="20"/>
                <w:szCs w:val="20"/>
                <w:color w:val="auto"/>
              </w:rPr>
            </w:pPr>
            <w:r>
              <w:rPr>
                <w:rFonts w:ascii="Arial" w:cs="Arial" w:eastAsia="Arial" w:hAnsi="Arial"/>
                <w:sz w:val="18"/>
                <w:szCs w:val="18"/>
                <w:color w:val="auto"/>
              </w:rPr>
              <w:t>9/12/2017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860" w:type="dxa"/>
            <w:vAlign w:val="bottom"/>
          </w:tcPr>
          <w:p>
            <w:pPr>
              <w:jc w:val="right"/>
              <w:spacing w:after="0"/>
              <w:rPr>
                <w:sz w:val="20"/>
                <w:szCs w:val="20"/>
                <w:color w:val="auto"/>
              </w:rPr>
            </w:pPr>
            <w:r>
              <w:rPr>
                <w:rFonts w:ascii="Arial" w:cs="Arial" w:eastAsia="Arial" w:hAnsi="Arial"/>
                <w:sz w:val="18"/>
                <w:szCs w:val="18"/>
                <w:color w:val="auto"/>
              </w:rPr>
              <w:t>19,553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19,600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230"/>
        </w:trPr>
        <w:tc>
          <w:tcPr>
            <w:tcW w:w="25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Pharmaceuticals</w:t>
            </w:r>
          </w:p>
        </w:tc>
        <w:tc>
          <w:tcPr>
            <w:tcW w:w="2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9"/>
              </w:rPr>
              <w:t>Ironwood Pharmaceuticals, Inc.</w:t>
            </w:r>
          </w:p>
        </w:tc>
        <w:tc>
          <w:tcPr>
            <w:tcW w:w="2580" w:type="dxa"/>
            <w:vAlign w:val="bottom"/>
          </w:tcPr>
          <w:p>
            <w:pPr>
              <w:ind w:left="80"/>
              <w:spacing w:after="0"/>
              <w:rPr>
                <w:sz w:val="20"/>
                <w:szCs w:val="20"/>
                <w:color w:val="auto"/>
              </w:rPr>
            </w:pPr>
            <w:r>
              <w:rPr>
                <w:rFonts w:ascii="Arial" w:cs="Arial" w:eastAsia="Arial" w:hAnsi="Arial"/>
                <w:sz w:val="18"/>
                <w:szCs w:val="18"/>
                <w:color w:val="auto"/>
                <w:w w:val="97"/>
              </w:rPr>
              <w:t>Secured note ($33,333 par, due</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(4)(5)(8)</w:t>
            </w:r>
          </w:p>
        </w:tc>
        <w:tc>
          <w:tcPr>
            <w:tcW w:w="2580" w:type="dxa"/>
            <w:vAlign w:val="bottom"/>
          </w:tcPr>
          <w:p>
            <w:pPr>
              <w:ind w:left="80"/>
              <w:spacing w:after="0"/>
              <w:rPr>
                <w:sz w:val="20"/>
                <w:szCs w:val="20"/>
                <w:color w:val="auto"/>
              </w:rPr>
            </w:pPr>
            <w:r>
              <w:rPr>
                <w:rFonts w:ascii="Arial" w:cs="Arial" w:eastAsia="Arial" w:hAnsi="Arial"/>
                <w:sz w:val="18"/>
                <w:szCs w:val="18"/>
                <w:color w:val="auto"/>
              </w:rPr>
              <w:t>9/2026)</w:t>
            </w:r>
          </w:p>
        </w:tc>
        <w:tc>
          <w:tcPr>
            <w:tcW w:w="960" w:type="dxa"/>
            <w:vAlign w:val="bottom"/>
          </w:tcPr>
          <w:p>
            <w:pPr>
              <w:jc w:val="right"/>
              <w:spacing w:after="0"/>
              <w:rPr>
                <w:sz w:val="20"/>
                <w:szCs w:val="20"/>
                <w:color w:val="auto"/>
              </w:rPr>
            </w:pPr>
            <w:r>
              <w:rPr>
                <w:rFonts w:ascii="Arial" w:cs="Arial" w:eastAsia="Arial" w:hAnsi="Arial"/>
                <w:sz w:val="18"/>
                <w:szCs w:val="18"/>
                <w:color w:val="auto"/>
              </w:rPr>
              <w:t>1/5/2017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8.38%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860" w:type="dxa"/>
            <w:vAlign w:val="bottom"/>
          </w:tcPr>
          <w:p>
            <w:pPr>
              <w:jc w:val="right"/>
              <w:spacing w:after="0"/>
              <w:rPr>
                <w:sz w:val="20"/>
                <w:szCs w:val="20"/>
                <w:color w:val="auto"/>
              </w:rPr>
            </w:pPr>
            <w:r>
              <w:rPr>
                <w:rFonts w:ascii="Arial" w:cs="Arial" w:eastAsia="Arial" w:hAnsi="Arial"/>
                <w:sz w:val="18"/>
                <w:szCs w:val="18"/>
                <w:color w:val="auto"/>
              </w:rPr>
              <w:t>33,191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33,250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7"/>
              </w:rPr>
              <w:t>First-lien loan ($30,000 par, due</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1/2022)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1/5/2017</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(4)(5)(8)</w:t>
            </w:r>
          </w:p>
        </w:tc>
        <w:tc>
          <w:tcPr>
            <w:tcW w:w="2580" w:type="dxa"/>
            <w:vAlign w:val="bottom"/>
          </w:tcPr>
          <w:p>
            <w:pPr>
              <w:ind w:left="80"/>
              <w:spacing w:after="0"/>
              <w:rPr>
                <w:sz w:val="20"/>
                <w:szCs w:val="20"/>
                <w:color w:val="auto"/>
              </w:rPr>
            </w:pPr>
            <w:r>
              <w:rPr>
                <w:rFonts w:ascii="Arial" w:cs="Arial" w:eastAsia="Arial" w:hAnsi="Arial"/>
                <w:sz w:val="18"/>
                <w:szCs w:val="18"/>
                <w:color w:val="auto"/>
                <w:w w:val="97"/>
              </w:rPr>
              <w:t>Secured note ($74,950 par, due</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10/2020)</w:t>
            </w:r>
          </w:p>
        </w:tc>
        <w:tc>
          <w:tcPr>
            <w:tcW w:w="960" w:type="dxa"/>
            <w:vAlign w:val="bottom"/>
          </w:tcPr>
          <w:p>
            <w:pPr>
              <w:jc w:val="right"/>
              <w:spacing w:after="0"/>
              <w:rPr>
                <w:sz w:val="20"/>
                <w:szCs w:val="20"/>
                <w:color w:val="auto"/>
              </w:rPr>
            </w:pPr>
            <w:r>
              <w:rPr>
                <w:rFonts w:ascii="Arial" w:cs="Arial" w:eastAsia="Arial" w:hAnsi="Arial"/>
                <w:sz w:val="18"/>
                <w:szCs w:val="18"/>
                <w:color w:val="auto"/>
              </w:rPr>
              <w:t>10/5/2015</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860" w:type="dxa"/>
            <w:vAlign w:val="bottom"/>
          </w:tcPr>
          <w:p>
            <w:pPr>
              <w:jc w:val="right"/>
              <w:spacing w:after="0"/>
              <w:rPr>
                <w:sz w:val="20"/>
                <w:szCs w:val="20"/>
                <w:color w:val="auto"/>
              </w:rPr>
            </w:pPr>
            <w:r>
              <w:rPr>
                <w:rFonts w:ascii="Arial" w:cs="Arial" w:eastAsia="Arial" w:hAnsi="Arial"/>
                <w:sz w:val="18"/>
                <w:szCs w:val="18"/>
                <w:color w:val="auto"/>
              </w:rPr>
              <w:t>74,363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76,449</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139,624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r>
      <w:tr>
        <w:trPr>
          <w:trHeight w:val="205"/>
        </w:trPr>
        <w:tc>
          <w:tcPr>
            <w:tcW w:w="252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Retail and consumer</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tcPr>
          <w:p>
            <w:pPr>
              <w:ind w:left="380"/>
              <w:spacing w:after="0"/>
              <w:rPr>
                <w:sz w:val="20"/>
                <w:szCs w:val="20"/>
                <w:color w:val="auto"/>
              </w:rPr>
            </w:pPr>
            <w:r>
              <w:rPr>
                <w:rFonts w:ascii="Arial" w:cs="Arial" w:eastAsia="Arial" w:hAnsi="Arial"/>
                <w:sz w:val="18"/>
                <w:szCs w:val="18"/>
                <w:b w:val="1"/>
                <w:bCs w:val="1"/>
                <w:color w:val="auto"/>
              </w:rPr>
              <w:t>products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ABL FILO term loan ($25,000</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par, due 4/2021)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9/6/2017</w:t>
            </w:r>
          </w:p>
        </w:tc>
        <w:tc>
          <w:tcPr>
            <w:tcW w:w="134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24,654</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American Achievement</w:t>
            </w:r>
          </w:p>
        </w:tc>
        <w:tc>
          <w:tcPr>
            <w:tcW w:w="2580" w:type="dxa"/>
            <w:vAlign w:val="bottom"/>
          </w:tcPr>
          <w:p>
            <w:pPr>
              <w:ind w:left="80"/>
              <w:spacing w:after="0"/>
              <w:rPr>
                <w:sz w:val="20"/>
                <w:szCs w:val="20"/>
                <w:color w:val="auto"/>
              </w:rPr>
            </w:pPr>
            <w:r>
              <w:rPr>
                <w:rFonts w:ascii="Arial" w:cs="Arial" w:eastAsia="Arial" w:hAnsi="Arial"/>
                <w:sz w:val="18"/>
                <w:szCs w:val="18"/>
                <w:color w:val="auto"/>
                <w:w w:val="97"/>
              </w:rPr>
              <w:t>First-lien loan ($23,161 par, due</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580" w:type="dxa"/>
            <w:vAlign w:val="bottom"/>
          </w:tcPr>
          <w:p>
            <w:pPr>
              <w:ind w:left="80"/>
              <w:spacing w:after="0"/>
              <w:rPr>
                <w:sz w:val="20"/>
                <w:szCs w:val="20"/>
                <w:color w:val="auto"/>
              </w:rPr>
            </w:pPr>
            <w:r>
              <w:rPr>
                <w:rFonts w:ascii="Arial" w:cs="Arial" w:eastAsia="Arial" w:hAnsi="Arial"/>
                <w:sz w:val="18"/>
                <w:szCs w:val="18"/>
                <w:color w:val="auto"/>
              </w:rPr>
              <w:t>9/2020)</w:t>
            </w:r>
          </w:p>
        </w:tc>
        <w:tc>
          <w:tcPr>
            <w:tcW w:w="960" w:type="dxa"/>
            <w:vAlign w:val="bottom"/>
          </w:tcPr>
          <w:p>
            <w:pPr>
              <w:jc w:val="right"/>
              <w:spacing w:after="0"/>
              <w:rPr>
                <w:sz w:val="20"/>
                <w:szCs w:val="20"/>
                <w:color w:val="auto"/>
              </w:rPr>
            </w:pPr>
            <w:r>
              <w:rPr>
                <w:rFonts w:ascii="Arial" w:cs="Arial" w:eastAsia="Arial" w:hAnsi="Arial"/>
                <w:sz w:val="18"/>
                <w:szCs w:val="18"/>
                <w:color w:val="auto"/>
              </w:rPr>
              <w:t>9/30/2015</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860" w:type="dxa"/>
            <w:vAlign w:val="bottom"/>
          </w:tcPr>
          <w:p>
            <w:pPr>
              <w:jc w:val="right"/>
              <w:spacing w:after="0"/>
              <w:rPr>
                <w:sz w:val="20"/>
                <w:szCs w:val="20"/>
                <w:color w:val="auto"/>
              </w:rPr>
            </w:pPr>
            <w:r>
              <w:rPr>
                <w:rFonts w:ascii="Arial" w:cs="Arial" w:eastAsia="Arial" w:hAnsi="Arial"/>
                <w:sz w:val="18"/>
                <w:szCs w:val="18"/>
                <w:color w:val="auto"/>
              </w:rPr>
              <w:t>22,964</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23,219</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Destination Maternity</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ABL FILO term loan ($15,420</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par, due 3/2021)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3/25/2016</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580" w:type="dxa"/>
            <w:vAlign w:val="bottom"/>
          </w:tcPr>
          <w:p>
            <w:pPr>
              <w:ind w:left="80"/>
              <w:spacing w:after="0"/>
              <w:rPr>
                <w:sz w:val="20"/>
                <w:szCs w:val="20"/>
                <w:color w:val="auto"/>
              </w:rPr>
            </w:pPr>
            <w:r>
              <w:rPr>
                <w:rFonts w:ascii="Arial" w:cs="Arial" w:eastAsia="Arial" w:hAnsi="Arial"/>
                <w:sz w:val="18"/>
                <w:szCs w:val="18"/>
                <w:color w:val="auto"/>
              </w:rPr>
              <w:t>ABL FILO term loan ($29,250</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par, due 6/2019)</w:t>
            </w:r>
          </w:p>
        </w:tc>
        <w:tc>
          <w:tcPr>
            <w:tcW w:w="960" w:type="dxa"/>
            <w:vAlign w:val="bottom"/>
          </w:tcPr>
          <w:p>
            <w:pPr>
              <w:jc w:val="right"/>
              <w:spacing w:after="0"/>
              <w:rPr>
                <w:sz w:val="20"/>
                <w:szCs w:val="20"/>
                <w:color w:val="auto"/>
              </w:rPr>
            </w:pPr>
            <w:r>
              <w:rPr>
                <w:rFonts w:ascii="Arial" w:cs="Arial" w:eastAsia="Arial" w:hAnsi="Arial"/>
                <w:sz w:val="18"/>
                <w:szCs w:val="18"/>
                <w:color w:val="auto"/>
              </w:rPr>
              <w:t>3/31/2017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+ 9.25%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860" w:type="dxa"/>
            <w:vAlign w:val="bottom"/>
          </w:tcPr>
          <w:p>
            <w:pPr>
              <w:jc w:val="right"/>
              <w:spacing w:after="0"/>
              <w:rPr>
                <w:sz w:val="20"/>
                <w:szCs w:val="20"/>
                <w:color w:val="auto"/>
              </w:rPr>
            </w:pPr>
            <w:r>
              <w:rPr>
                <w:rFonts w:ascii="Arial" w:cs="Arial" w:eastAsia="Arial" w:hAnsi="Arial"/>
                <w:sz w:val="18"/>
                <w:szCs w:val="18"/>
                <w:color w:val="auto"/>
              </w:rPr>
              <w:t>28,847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29,396</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(3)(4)(10)</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5"/>
              </w:rPr>
              <w:t>First-lien ABL loan ($17,296 par,</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due 7/2020)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3/18/2016</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108,592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110,640</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5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1,624,237</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1,642,255</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Equity and Other Investments</w:t>
            </w:r>
          </w:p>
        </w:tc>
        <w:tc>
          <w:tcPr>
            <w:tcW w:w="2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w w:val="92"/>
              </w:rPr>
              <w:t>Beverage, food and tobacco</w:t>
            </w:r>
          </w:p>
        </w:tc>
        <w:tc>
          <w:tcPr>
            <w:tcW w:w="2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(6)(12)</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3"/>
              </w:rPr>
              <w:t>Class A Preferred Units (125,000</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14,031</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w w:val="98"/>
              </w:rPr>
              <w:t>Class B Common Units (90,000</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units)</w:t>
            </w:r>
          </w:p>
        </w:tc>
        <w:tc>
          <w:tcPr>
            <w:tcW w:w="96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4,215</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18,246</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(12)</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Preferred Class A Units (990</w:t>
            </w:r>
          </w:p>
        </w:tc>
        <w:tc>
          <w:tcPr>
            <w:tcW w:w="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w w:val="94"/>
              </w:rPr>
              <w:t>Common Class B Units (959,018</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units)</w:t>
            </w:r>
          </w:p>
        </w:tc>
        <w:tc>
          <w:tcPr>
            <w:tcW w:w="96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Chemicals</w:t>
            </w:r>
          </w:p>
        </w:tc>
        <w:tc>
          <w:tcPr>
            <w:tcW w:w="2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(12)</w:t>
            </w:r>
          </w:p>
        </w:tc>
        <w:tc>
          <w:tcPr>
            <w:tcW w:w="2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5"/>
              </w:rPr>
              <w:t>Common Units (2,672,990 units)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10/31/2016</w:t>
            </w: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4"/>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2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F-8</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5"/>
        </w:trPr>
        <w:tc>
          <w:tcPr>
            <w:tcW w:w="2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(12)</w:t>
            </w:r>
          </w:p>
        </w:tc>
        <w:tc>
          <w:tcPr>
            <w:tcW w:w="2860" w:type="dxa"/>
            <w:vAlign w:val="bottom"/>
            <w:gridSpan w:val="5"/>
            <w:shd w:val="clear" w:color="auto" w:fill="CFF0FC"/>
          </w:tcPr>
          <w:p>
            <w:pPr>
              <w:ind w:left="320"/>
              <w:spacing w:after="0"/>
              <w:rPr>
                <w:sz w:val="20"/>
                <w:szCs w:val="20"/>
                <w:color w:val="auto"/>
              </w:rPr>
            </w:pPr>
            <w:r>
              <w:rPr>
                <w:rFonts w:ascii="Arial" w:cs="Arial" w:eastAsia="Arial" w:hAnsi="Arial"/>
                <w:sz w:val="18"/>
                <w:szCs w:val="18"/>
                <w:color w:val="auto"/>
                <w:w w:val="90"/>
              </w:rPr>
              <w:t>Series E Preferred Equity (214,132</w:t>
            </w: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ind w:left="320"/>
              <w:spacing w:after="0"/>
              <w:rPr>
                <w:sz w:val="20"/>
                <w:szCs w:val="20"/>
                <w:color w:val="auto"/>
              </w:rPr>
            </w:pPr>
            <w:r>
              <w:rPr>
                <w:rFonts w:ascii="Arial" w:cs="Arial" w:eastAsia="Arial" w:hAnsi="Arial"/>
                <w:sz w:val="18"/>
                <w:szCs w:val="18"/>
                <w:color w:val="auto"/>
              </w:rPr>
              <w:t>shares)</w:t>
            </w: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8/7/2015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(12)</w:t>
            </w:r>
          </w:p>
        </w:tc>
        <w:tc>
          <w:tcPr>
            <w:tcW w:w="2860" w:type="dxa"/>
            <w:vAlign w:val="bottom"/>
            <w:gridSpan w:val="5"/>
          </w:tcPr>
          <w:p>
            <w:pPr>
              <w:ind w:left="320"/>
              <w:spacing w:after="0"/>
              <w:rPr>
                <w:sz w:val="20"/>
                <w:szCs w:val="20"/>
                <w:color w:val="auto"/>
              </w:rPr>
            </w:pPr>
            <w:r>
              <w:rPr>
                <w:rFonts w:ascii="Arial" w:cs="Arial" w:eastAsia="Arial" w:hAnsi="Arial"/>
                <w:sz w:val="18"/>
                <w:szCs w:val="18"/>
                <w:color w:val="auto"/>
                <w:w w:val="94"/>
              </w:rPr>
              <w:t>Common Shares (35,000 shares)</w:t>
            </w:r>
          </w:p>
        </w:tc>
        <w:tc>
          <w:tcPr>
            <w:tcW w:w="1140" w:type="dxa"/>
            <w:vAlign w:val="bottom"/>
            <w:gridSpan w:val="2"/>
          </w:tcPr>
          <w:p>
            <w:pPr>
              <w:jc w:val="right"/>
              <w:ind w:right="119"/>
              <w:spacing w:after="0"/>
              <w:rPr>
                <w:sz w:val="20"/>
                <w:szCs w:val="20"/>
                <w:color w:val="auto"/>
              </w:rPr>
            </w:pPr>
            <w:r>
              <w:rPr>
                <w:rFonts w:ascii="Arial" w:cs="Arial" w:eastAsia="Arial" w:hAnsi="Arial"/>
                <w:sz w:val="18"/>
                <w:szCs w:val="18"/>
                <w:color w:val="auto"/>
              </w:rPr>
              <w:t>7/31/2017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5,066</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(4)(11)</w:t>
            </w:r>
          </w:p>
        </w:tc>
        <w:tc>
          <w:tcPr>
            <w:tcW w:w="2860" w:type="dxa"/>
            <w:vAlign w:val="bottom"/>
            <w:gridSpan w:val="5"/>
            <w:shd w:val="clear" w:color="auto" w:fill="CFF0FC"/>
          </w:tcPr>
          <w:p>
            <w:pPr>
              <w:ind w:left="320"/>
              <w:spacing w:after="0"/>
              <w:rPr>
                <w:sz w:val="20"/>
                <w:szCs w:val="20"/>
                <w:color w:val="auto"/>
              </w:rPr>
            </w:pPr>
            <w:r>
              <w:rPr>
                <w:rFonts w:ascii="Arial" w:cs="Arial" w:eastAsia="Arial" w:hAnsi="Arial"/>
                <w:sz w:val="18"/>
                <w:szCs w:val="18"/>
                <w:color w:val="auto"/>
                <w:w w:val="98"/>
              </w:rPr>
              <w:t>Common Shares (1,059 shares)</w:t>
            </w:r>
          </w:p>
        </w:tc>
        <w:tc>
          <w:tcPr>
            <w:tcW w:w="11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8/5/2015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320" w:type="dxa"/>
            <w:vAlign w:val="bottom"/>
            <w:gridSpan w:val="2"/>
          </w:tcPr>
          <w:p>
            <w:pPr>
              <w:spacing w:after="0"/>
              <w:rPr>
                <w:sz w:val="20"/>
                <w:szCs w:val="20"/>
                <w:color w:val="auto"/>
              </w:rPr>
            </w:pPr>
            <w:r>
              <w:rPr>
                <w:rFonts w:ascii="Arial" w:cs="Arial" w:eastAsia="Arial" w:hAnsi="Arial"/>
                <w:sz w:val="18"/>
                <w:szCs w:val="18"/>
                <w:color w:val="auto"/>
              </w:rPr>
              <w:t xml:space="preserve">Triangle Capital Corp. </w:t>
            </w:r>
            <w:r>
              <w:rPr>
                <w:rFonts w:ascii="Arial" w:cs="Arial" w:eastAsia="Arial" w:hAnsi="Arial"/>
                <w:sz w:val="15"/>
                <w:szCs w:val="15"/>
                <w:color w:val="auto"/>
              </w:rPr>
              <w:t>(4)(11)</w:t>
            </w:r>
          </w:p>
        </w:tc>
        <w:tc>
          <w:tcPr>
            <w:tcW w:w="2860" w:type="dxa"/>
            <w:vAlign w:val="bottom"/>
            <w:gridSpan w:val="5"/>
          </w:tcPr>
          <w:p>
            <w:pPr>
              <w:ind w:left="320"/>
              <w:spacing w:after="0"/>
              <w:rPr>
                <w:sz w:val="20"/>
                <w:szCs w:val="20"/>
                <w:color w:val="auto"/>
              </w:rPr>
            </w:pPr>
            <w:r>
              <w:rPr>
                <w:rFonts w:ascii="Arial" w:cs="Arial" w:eastAsia="Arial" w:hAnsi="Arial"/>
                <w:sz w:val="18"/>
                <w:szCs w:val="18"/>
                <w:color w:val="auto"/>
              </w:rPr>
              <w:t>Common Shares (1,384,570</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19"/>
              <w:spacing w:after="0"/>
              <w:rPr>
                <w:sz w:val="20"/>
                <w:szCs w:val="20"/>
                <w:color w:val="auto"/>
              </w:rPr>
            </w:pPr>
            <w:r>
              <w:rPr>
                <w:rFonts w:ascii="Arial" w:cs="Arial" w:eastAsia="Arial" w:hAnsi="Arial"/>
                <w:sz w:val="18"/>
                <w:szCs w:val="18"/>
                <w:color w:val="auto"/>
              </w:rPr>
              <w:t>11/3/2017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13,428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13,140</w:t>
            </w:r>
          </w:p>
        </w:tc>
        <w:tc>
          <w:tcPr>
            <w:tcW w:w="2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20,781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25,693</w:t>
            </w:r>
          </w:p>
        </w:tc>
        <w:tc>
          <w:tcPr>
            <w:tcW w:w="220" w:type="dxa"/>
            <w:vAlign w:val="bottom"/>
            <w:vMerge w:val="continue"/>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32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(4)(12)</w:t>
            </w:r>
          </w:p>
        </w:tc>
        <w:tc>
          <w:tcPr>
            <w:tcW w:w="1380" w:type="dxa"/>
            <w:vAlign w:val="bottom"/>
            <w:gridSpan w:val="3"/>
            <w:shd w:val="clear" w:color="auto" w:fill="CFF0FC"/>
          </w:tcPr>
          <w:p>
            <w:pPr>
              <w:ind w:left="320"/>
              <w:spacing w:after="0"/>
              <w:rPr>
                <w:sz w:val="20"/>
                <w:szCs w:val="20"/>
                <w:color w:val="auto"/>
              </w:rPr>
            </w:pPr>
            <w:r>
              <w:rPr>
                <w:rFonts w:ascii="Arial" w:cs="Arial" w:eastAsia="Arial" w:hAnsi="Arial"/>
                <w:sz w:val="18"/>
                <w:szCs w:val="18"/>
                <w:color w:val="auto"/>
              </w:rPr>
              <w:t>Warrants</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9/30/2014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140" w:type="dxa"/>
            <w:vAlign w:val="bottom"/>
            <w:gridSpan w:val="5"/>
            <w:shd w:val="clear" w:color="auto" w:fill="CFF0FC"/>
          </w:tcPr>
          <w:p>
            <w:pPr>
              <w:ind w:left="220"/>
              <w:spacing w:after="0"/>
              <w:rPr>
                <w:sz w:val="20"/>
                <w:szCs w:val="20"/>
                <w:color w:val="auto"/>
              </w:rPr>
            </w:pPr>
            <w:r>
              <w:rPr>
                <w:rFonts w:ascii="Arial" w:cs="Arial" w:eastAsia="Arial" w:hAnsi="Arial"/>
                <w:sz w:val="18"/>
                <w:szCs w:val="18"/>
                <w:color w:val="auto"/>
                <w:w w:val="89"/>
              </w:rPr>
              <w:t>(EUR 1,112)</w:t>
            </w: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320" w:type="dxa"/>
            <w:vAlign w:val="bottom"/>
            <w:gridSpan w:val="2"/>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(12)</w:t>
            </w:r>
          </w:p>
        </w:tc>
        <w:tc>
          <w:tcPr>
            <w:tcW w:w="2860" w:type="dxa"/>
            <w:vAlign w:val="bottom"/>
            <w:gridSpan w:val="5"/>
          </w:tcPr>
          <w:p>
            <w:pPr>
              <w:ind w:left="320"/>
              <w:spacing w:after="0"/>
              <w:rPr>
                <w:sz w:val="20"/>
                <w:szCs w:val="20"/>
                <w:color w:val="auto"/>
              </w:rPr>
            </w:pPr>
            <w:r>
              <w:rPr>
                <w:rFonts w:ascii="Arial" w:cs="Arial" w:eastAsia="Arial" w:hAnsi="Arial"/>
                <w:sz w:val="18"/>
                <w:szCs w:val="18"/>
                <w:color w:val="auto"/>
              </w:rPr>
              <w:t>Common Shares Class A</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color w:val="auto"/>
                <w:w w:val="89"/>
              </w:rPr>
              <w:t>(1,980 shares)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19"/>
              <w:spacing w:after="0"/>
              <w:rPr>
                <w:sz w:val="20"/>
                <w:szCs w:val="20"/>
                <w:color w:val="auto"/>
              </w:rPr>
            </w:pPr>
            <w:r>
              <w:rPr>
                <w:rFonts w:ascii="Arial" w:cs="Arial" w:eastAsia="Arial" w:hAnsi="Arial"/>
                <w:sz w:val="18"/>
                <w:szCs w:val="18"/>
                <w:color w:val="auto"/>
              </w:rPr>
              <w:t>12/28/2012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60" w:type="dxa"/>
            <w:vAlign w:val="bottom"/>
            <w:gridSpan w:val="5"/>
            <w:shd w:val="clear" w:color="auto" w:fill="CFF0FC"/>
          </w:tcPr>
          <w:p>
            <w:pPr>
              <w:ind w:left="320"/>
              <w:spacing w:after="0"/>
              <w:rPr>
                <w:sz w:val="20"/>
                <w:szCs w:val="20"/>
                <w:color w:val="auto"/>
              </w:rPr>
            </w:pPr>
            <w:r>
              <w:rPr>
                <w:rFonts w:ascii="Arial" w:cs="Arial" w:eastAsia="Arial" w:hAnsi="Arial"/>
                <w:sz w:val="18"/>
                <w:szCs w:val="18"/>
                <w:color w:val="auto"/>
              </w:rPr>
              <w:t>Common Shares Class B</w:t>
            </w: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60" w:type="dxa"/>
            <w:vAlign w:val="bottom"/>
            <w:gridSpan w:val="5"/>
            <w:shd w:val="clear" w:color="auto" w:fill="CFF0FC"/>
          </w:tcPr>
          <w:p>
            <w:pPr>
              <w:ind w:left="320"/>
              <w:spacing w:after="0"/>
              <w:rPr>
                <w:sz w:val="20"/>
                <w:szCs w:val="20"/>
                <w:color w:val="auto"/>
              </w:rPr>
            </w:pPr>
            <w:r>
              <w:rPr>
                <w:rFonts w:ascii="Arial" w:cs="Arial" w:eastAsia="Arial" w:hAnsi="Arial"/>
                <w:sz w:val="18"/>
                <w:szCs w:val="18"/>
                <w:color w:val="auto"/>
              </w:rPr>
              <w:t>(2,953,020 shares)</w:t>
            </w:r>
          </w:p>
        </w:tc>
        <w:tc>
          <w:tcPr>
            <w:tcW w:w="11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12/28/2012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2,441</w:t>
            </w:r>
          </w:p>
        </w:tc>
        <w:tc>
          <w:tcPr>
            <w:tcW w:w="220" w:type="dxa"/>
            <w:vAlign w:val="bottom"/>
            <w:vMerge w:val="continue"/>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w w:val="91"/>
              </w:rPr>
              <w:t>Hotel, gaming, and leisure</w:t>
            </w: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(6)(12)</w:t>
            </w:r>
          </w:p>
        </w:tc>
        <w:tc>
          <w:tcPr>
            <w:tcW w:w="2860" w:type="dxa"/>
            <w:vAlign w:val="bottom"/>
            <w:gridSpan w:val="5"/>
          </w:tcPr>
          <w:p>
            <w:pPr>
              <w:ind w:left="320"/>
              <w:spacing w:after="0"/>
              <w:rPr>
                <w:sz w:val="20"/>
                <w:szCs w:val="20"/>
                <w:color w:val="auto"/>
              </w:rPr>
            </w:pPr>
            <w:r>
              <w:rPr>
                <w:rFonts w:ascii="Arial" w:cs="Arial" w:eastAsia="Arial" w:hAnsi="Arial"/>
                <w:sz w:val="18"/>
                <w:szCs w:val="18"/>
                <w:color w:val="auto"/>
              </w:rPr>
              <w:t>Class A Units (5,000,000 units)</w:t>
            </w:r>
          </w:p>
        </w:tc>
        <w:tc>
          <w:tcPr>
            <w:tcW w:w="1140" w:type="dxa"/>
            <w:vAlign w:val="bottom"/>
            <w:gridSpan w:val="2"/>
          </w:tcPr>
          <w:p>
            <w:pPr>
              <w:jc w:val="right"/>
              <w:ind w:right="119"/>
              <w:spacing w:after="0"/>
              <w:rPr>
                <w:sz w:val="20"/>
                <w:szCs w:val="20"/>
                <w:color w:val="auto"/>
              </w:rPr>
            </w:pPr>
            <w:r>
              <w:rPr>
                <w:rFonts w:ascii="Arial" w:cs="Arial" w:eastAsia="Arial" w:hAnsi="Arial"/>
                <w:sz w:val="18"/>
                <w:szCs w:val="18"/>
                <w:color w:val="auto"/>
              </w:rPr>
              <w:t>9/29/2015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60" w:type="dxa"/>
            <w:vAlign w:val="bottom"/>
            <w:gridSpan w:val="5"/>
            <w:shd w:val="clear" w:color="auto" w:fill="CFF0FC"/>
          </w:tcPr>
          <w:p>
            <w:pPr>
              <w:ind w:left="320"/>
              <w:spacing w:after="0"/>
              <w:rPr>
                <w:sz w:val="20"/>
                <w:szCs w:val="20"/>
                <w:color w:val="auto"/>
              </w:rPr>
            </w:pPr>
            <w:r>
              <w:rPr>
                <w:rFonts w:ascii="Arial" w:cs="Arial" w:eastAsia="Arial" w:hAnsi="Arial"/>
                <w:sz w:val="18"/>
                <w:szCs w:val="18"/>
                <w:color w:val="auto"/>
                <w:w w:val="95"/>
              </w:rPr>
              <w:t>Class C-1 Units (8,800,000 units)</w:t>
            </w:r>
          </w:p>
        </w:tc>
        <w:tc>
          <w:tcPr>
            <w:tcW w:w="11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9/29/2015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20" w:type="dxa"/>
            <w:vAlign w:val="bottom"/>
            <w:vMerge w:val="continue"/>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320" w:type="dxa"/>
            <w:vAlign w:val="bottom"/>
            <w:tcBorders>
              <w:top w:val="single" w:sz="8" w:color="CFF0FC"/>
            </w:tcBorders>
            <w:gridSpan w:val="2"/>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w w:val="96"/>
              </w:rPr>
              <w:t>Oil, gas and consumable</w:t>
            </w:r>
          </w:p>
        </w:tc>
        <w:tc>
          <w:tcPr>
            <w:tcW w:w="10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2"/>
            <w:shd w:val="clear" w:color="auto" w:fill="CFF0FC"/>
          </w:tcPr>
          <w:p>
            <w:pPr>
              <w:ind w:left="380"/>
              <w:spacing w:after="0"/>
              <w:rPr>
                <w:sz w:val="20"/>
                <w:szCs w:val="20"/>
                <w:color w:val="auto"/>
              </w:rPr>
            </w:pPr>
            <w:r>
              <w:rPr>
                <w:rFonts w:ascii="Arial" w:cs="Arial" w:eastAsia="Arial" w:hAnsi="Arial"/>
                <w:sz w:val="18"/>
                <w:szCs w:val="18"/>
                <w:b w:val="1"/>
                <w:bCs w:val="1"/>
                <w:color w:val="auto"/>
              </w:rPr>
              <w:t>fuels</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spacing w:after="0"/>
              <w:rPr>
                <w:sz w:val="20"/>
                <w:szCs w:val="20"/>
                <w:color w:val="auto"/>
              </w:rPr>
            </w:pPr>
            <w:r>
              <w:rPr>
                <w:rFonts w:ascii="Arial" w:cs="Arial" w:eastAsia="Arial" w:hAnsi="Arial"/>
                <w:sz w:val="18"/>
                <w:szCs w:val="18"/>
                <w:color w:val="auto"/>
                <w:w w:val="94"/>
              </w:rPr>
              <w:t xml:space="preserve">Mississippi Resources, LLC </w:t>
            </w:r>
            <w:r>
              <w:rPr>
                <w:rFonts w:ascii="Arial" w:cs="Arial" w:eastAsia="Arial" w:hAnsi="Arial"/>
                <w:sz w:val="15"/>
                <w:szCs w:val="15"/>
                <w:color w:val="auto"/>
                <w:w w:val="94"/>
              </w:rPr>
              <w:t>(6)</w:t>
            </w:r>
          </w:p>
        </w:tc>
        <w:tc>
          <w:tcPr>
            <w:tcW w:w="2860" w:type="dxa"/>
            <w:vAlign w:val="bottom"/>
            <w:gridSpan w:val="5"/>
          </w:tcPr>
          <w:p>
            <w:pPr>
              <w:ind w:left="320"/>
              <w:spacing w:after="0"/>
              <w:rPr>
                <w:sz w:val="20"/>
                <w:szCs w:val="20"/>
                <w:color w:val="auto"/>
              </w:rPr>
            </w:pPr>
            <w:r>
              <w:rPr>
                <w:rFonts w:ascii="Arial" w:cs="Arial" w:eastAsia="Arial" w:hAnsi="Arial"/>
                <w:sz w:val="18"/>
                <w:szCs w:val="18"/>
                <w:color w:val="auto"/>
              </w:rPr>
              <w:t>Class A-1 Member Units (1,000</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5"/>
                <w:szCs w:val="15"/>
                <w:color w:val="auto"/>
              </w:rPr>
              <w:t>(12)</w:t>
            </w:r>
          </w:p>
        </w:tc>
        <w:tc>
          <w:tcPr>
            <w:tcW w:w="440" w:type="dxa"/>
            <w:vAlign w:val="bottom"/>
          </w:tcPr>
          <w:p>
            <w:pPr>
              <w:spacing w:after="0"/>
              <w:rPr>
                <w:sz w:val="20"/>
                <w:szCs w:val="20"/>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color w:val="auto"/>
              </w:rPr>
              <w:t>units)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19"/>
              <w:spacing w:after="0"/>
              <w:rPr>
                <w:sz w:val="20"/>
                <w:szCs w:val="20"/>
                <w:color w:val="auto"/>
              </w:rPr>
            </w:pPr>
            <w:r>
              <w:rPr>
                <w:rFonts w:ascii="Arial" w:cs="Arial" w:eastAsia="Arial" w:hAnsi="Arial"/>
                <w:sz w:val="18"/>
                <w:szCs w:val="18"/>
                <w:color w:val="auto"/>
              </w:rPr>
              <w:t>5/3/2017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8,155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1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60" w:type="dxa"/>
            <w:vAlign w:val="bottom"/>
            <w:gridSpan w:val="5"/>
            <w:shd w:val="clear" w:color="auto" w:fill="CFF0FC"/>
          </w:tcPr>
          <w:p>
            <w:pPr>
              <w:ind w:left="320"/>
              <w:spacing w:after="0"/>
              <w:rPr>
                <w:sz w:val="20"/>
                <w:szCs w:val="20"/>
                <w:color w:val="auto"/>
              </w:rPr>
            </w:pPr>
            <w:r>
              <w:rPr>
                <w:rFonts w:ascii="Arial" w:cs="Arial" w:eastAsia="Arial" w:hAnsi="Arial"/>
                <w:sz w:val="18"/>
                <w:szCs w:val="18"/>
                <w:color w:val="auto"/>
              </w:rPr>
              <w:t>Class A-2 Member Units (933</w:t>
            </w: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ind w:left="320"/>
              <w:spacing w:after="0"/>
              <w:rPr>
                <w:sz w:val="20"/>
                <w:szCs w:val="20"/>
                <w:color w:val="auto"/>
              </w:rPr>
            </w:pPr>
            <w:r>
              <w:rPr>
                <w:rFonts w:ascii="Arial" w:cs="Arial" w:eastAsia="Arial" w:hAnsi="Arial"/>
                <w:sz w:val="18"/>
                <w:szCs w:val="18"/>
                <w:color w:val="auto"/>
              </w:rPr>
              <w:t>units)</w:t>
            </w: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6/4/2014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17,029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20" w:type="dxa"/>
            <w:vAlign w:val="bottom"/>
            <w:vMerge w:val="continue"/>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320" w:type="dxa"/>
            <w:vAlign w:val="bottom"/>
            <w:tcBorders>
              <w:top w:val="single" w:sz="8" w:color="CFF0FC"/>
            </w:tcBorders>
            <w:gridSpan w:val="2"/>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10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2"/>
            <w:shd w:val="clear" w:color="auto" w:fill="CFF0FC"/>
          </w:tcPr>
          <w:p>
            <w:pPr>
              <w:ind w:left="380"/>
              <w:spacing w:after="0"/>
              <w:rPr>
                <w:sz w:val="20"/>
                <w:szCs w:val="20"/>
                <w:color w:val="auto"/>
              </w:rPr>
            </w:pPr>
            <w:r>
              <w:rPr>
                <w:rFonts w:ascii="Arial" w:cs="Arial" w:eastAsia="Arial" w:hAnsi="Arial"/>
                <w:sz w:val="18"/>
                <w:szCs w:val="18"/>
                <w:b w:val="1"/>
                <w:bCs w:val="1"/>
                <w:color w:val="auto"/>
              </w:rPr>
              <w:t>Investments</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62,013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51,468</w:t>
            </w: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$ 1,686,250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1,693,723</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2"/>
              </w:rPr>
              <w:t>Interest Rate Swaps as of December 31, 2017</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ind w:left="141"/>
              <w:spacing w:after="0" w:line="133" w:lineRule="exact"/>
              <w:rPr>
                <w:sz w:val="20"/>
                <w:szCs w:val="20"/>
                <w:color w:val="auto"/>
              </w:rPr>
            </w:pPr>
            <w:r>
              <w:rPr>
                <w:rFonts w:ascii="Arial" w:cs="Arial" w:eastAsia="Arial" w:hAnsi="Arial"/>
                <w:sz w:val="14"/>
                <w:szCs w:val="14"/>
                <w:b w:val="1"/>
                <w:bCs w:val="1"/>
                <w:color w:val="auto"/>
                <w:w w:val="98"/>
              </w:rPr>
              <w:t>Upfront</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27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2"/>
              </w:rPr>
              <w:t xml:space="preserve">Company Receives </w:t>
            </w:r>
            <w:r>
              <w:rPr>
                <w:rFonts w:ascii="Arial" w:cs="Arial" w:eastAsia="Arial" w:hAnsi="Arial"/>
                <w:sz w:val="12"/>
                <w:szCs w:val="12"/>
                <w:b w:val="1"/>
                <w:bCs w:val="1"/>
                <w:color w:val="auto"/>
                <w:w w:val="92"/>
              </w:rPr>
              <w:t>(b)</w:t>
            </w: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 xml:space="preserve">Company Pays </w:t>
            </w:r>
            <w:r>
              <w:rPr>
                <w:rFonts w:ascii="Arial" w:cs="Arial" w:eastAsia="Arial" w:hAnsi="Arial"/>
                <w:sz w:val="12"/>
                <w:szCs w:val="12"/>
                <w:b w:val="1"/>
                <w:bCs w:val="1"/>
                <w:color w:val="auto"/>
                <w:w w:val="93"/>
              </w:rPr>
              <w:t>(b)</w:t>
            </w:r>
          </w:p>
        </w:tc>
        <w:tc>
          <w:tcPr>
            <w:tcW w:w="60" w:type="dxa"/>
            <w:vAlign w:val="bottom"/>
          </w:tcPr>
          <w:p>
            <w:pPr>
              <w:spacing w:after="0"/>
              <w:rPr>
                <w:sz w:val="12"/>
                <w:szCs w:val="12"/>
                <w:color w:val="auto"/>
              </w:rPr>
            </w:pPr>
          </w:p>
        </w:tc>
        <w:tc>
          <w:tcPr>
            <w:tcW w:w="138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rPr>
              <w:t>Maturity Date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Payments /</w:t>
            </w:r>
          </w:p>
        </w:tc>
        <w:tc>
          <w:tcPr>
            <w:tcW w:w="260" w:type="dxa"/>
            <w:vAlign w:val="bottom"/>
          </w:tcPr>
          <w:p>
            <w:pPr>
              <w:spacing w:after="0"/>
              <w:rPr>
                <w:sz w:val="12"/>
                <w:szCs w:val="12"/>
                <w:color w:val="auto"/>
              </w:rPr>
            </w:pPr>
          </w:p>
        </w:tc>
        <w:tc>
          <w:tcPr>
            <w:tcW w:w="14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76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4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ind w:right="370"/>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ind w:right="54"/>
              <w:spacing w:after="0"/>
              <w:rPr>
                <w:sz w:val="20"/>
                <w:szCs w:val="20"/>
                <w:color w:val="auto"/>
              </w:rPr>
            </w:pPr>
            <w:r>
              <w:rPr>
                <w:rFonts w:ascii="Arial" w:cs="Arial" w:eastAsia="Arial" w:hAnsi="Arial"/>
                <w:sz w:val="18"/>
                <w:szCs w:val="18"/>
                <w:color w:val="auto"/>
                <w:w w:val="90"/>
              </w:rPr>
              <w:t>1.16%</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20" w:type="dxa"/>
            <w:vAlign w:val="bottom"/>
          </w:tcPr>
          <w:p>
            <w:pPr>
              <w:jc w:val="center"/>
              <w:ind w:right="370"/>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 + 2.86%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80" w:type="dxa"/>
            <w:vAlign w:val="bottom"/>
            <w:gridSpan w:val="3"/>
            <w:shd w:val="clear" w:color="auto" w:fill="CFF0FC"/>
          </w:tcPr>
          <w:p>
            <w:pPr>
              <w:jc w:val="center"/>
              <w:ind w:right="820"/>
              <w:spacing w:after="0"/>
              <w:rPr>
                <w:sz w:val="20"/>
                <w:szCs w:val="20"/>
                <w:color w:val="auto"/>
              </w:rPr>
            </w:pPr>
            <w:r>
              <w:rPr>
                <w:rFonts w:ascii="Arial" w:cs="Arial" w:eastAsia="Arial" w:hAnsi="Arial"/>
                <w:sz w:val="18"/>
                <w:szCs w:val="18"/>
                <w:color w:val="auto"/>
              </w:rPr>
              <w:t>L</w:t>
            </w:r>
          </w:p>
        </w:tc>
        <w:tc>
          <w:tcPr>
            <w:tcW w:w="1280" w:type="dxa"/>
            <w:vAlign w:val="bottom"/>
            <w:shd w:val="clear" w:color="auto" w:fill="CFF0FC"/>
          </w:tcPr>
          <w:p>
            <w:pPr>
              <w:jc w:val="center"/>
              <w:ind w:right="54"/>
              <w:spacing w:after="0"/>
              <w:rPr>
                <w:sz w:val="20"/>
                <w:szCs w:val="20"/>
                <w:color w:val="auto"/>
              </w:rPr>
            </w:pPr>
            <w:r>
              <w:rPr>
                <w:rFonts w:ascii="Arial" w:cs="Arial" w:eastAsia="Arial" w:hAnsi="Arial"/>
                <w:sz w:val="18"/>
                <w:szCs w:val="18"/>
                <w:color w:val="auto"/>
                <w:w w:val="90"/>
              </w:rPr>
              <w:t>1.72%</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20" w:type="dxa"/>
            <w:vAlign w:val="bottom"/>
          </w:tcPr>
          <w:p>
            <w:pPr>
              <w:jc w:val="center"/>
              <w:ind w:right="370"/>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 + 2.37%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040" w:hanging="519"/>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3"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0" w:name="page91"/>
    <w:bookmarkEnd w:id="90"/>
    <w:p>
      <w:pPr>
        <w:jc w:val="both"/>
        <w:ind w:left="520" w:right="40" w:hanging="512"/>
        <w:spacing w:after="0" w:line="271" w:lineRule="auto"/>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14.7% of total assets as of December 31, 2017.</w:t>
      </w:r>
    </w:p>
    <w:p>
      <w:pPr>
        <w:ind w:left="520" w:right="20" w:hanging="512"/>
        <w:spacing w:after="0" w:line="250"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Realized</w:t>
            </w:r>
          </w:p>
        </w:tc>
        <w:tc>
          <w:tcPr>
            <w:tcW w:w="12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(21,776)</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60" w:hanging="519"/>
        <w:spacing w:after="0" w:line="258"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5" w:lineRule="exact"/>
        <w:rPr>
          <w:rFonts w:ascii="Arial" w:cs="Arial" w:eastAsia="Arial" w:hAnsi="Arial"/>
          <w:sz w:val="18"/>
          <w:szCs w:val="18"/>
          <w:color w:val="auto"/>
        </w:rPr>
      </w:pPr>
    </w:p>
    <w:p>
      <w:pPr>
        <w:ind w:left="520" w:hanging="51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December 31, 2017,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Reference</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80" w:type="dxa"/>
            <w:vAlign w:val="bottom"/>
          </w:tcPr>
          <w:p>
            <w:pPr>
              <w:spacing w:after="0"/>
              <w:rPr>
                <w:sz w:val="12"/>
                <w:szCs w:val="12"/>
                <w:color w:val="auto"/>
              </w:rPr>
            </w:pPr>
          </w:p>
        </w:tc>
        <w:tc>
          <w:tcPr>
            <w:tcW w:w="23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Rate and</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(10)</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Automotive</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($29,233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6/2017)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+ 8.25%</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29,136</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revolving loan</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($1,417 par, due 6/2017)</w:t>
            </w:r>
          </w:p>
        </w:tc>
        <w:tc>
          <w:tcPr>
            <w:tcW w:w="960" w:type="dxa"/>
            <w:vAlign w:val="bottom"/>
          </w:tcPr>
          <w:p>
            <w:pPr>
              <w:jc w:val="right"/>
              <w:spacing w:after="0"/>
              <w:rPr>
                <w:sz w:val="20"/>
                <w:szCs w:val="20"/>
                <w:color w:val="auto"/>
              </w:rPr>
            </w:pPr>
            <w:r>
              <w:rPr>
                <w:rFonts w:ascii="Arial" w:cs="Arial" w:eastAsia="Arial" w:hAnsi="Arial"/>
                <w:sz w:val="18"/>
                <w:szCs w:val="18"/>
                <w:color w:val="auto"/>
              </w:rPr>
              <w:t>8/28/2012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P + 7.00%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30,562</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Arial" w:cs="Arial" w:eastAsia="Arial" w:hAnsi="Arial"/>
                <w:sz w:val="18"/>
                <w:szCs w:val="18"/>
                <w:b w:val="1"/>
                <w:bCs w:val="1"/>
                <w:color w:val="auto"/>
                <w:w w:val="88"/>
              </w:rPr>
              <w:t>Beverage, food and tobacco</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($61,542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3/2020)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+ 7.75%</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60,698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57,850</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Business services</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($54,982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4/2018)</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+ 6.50%</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56,219</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loan ($19,719 par,</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due 4/2019)</w:t>
            </w:r>
          </w:p>
        </w:tc>
        <w:tc>
          <w:tcPr>
            <w:tcW w:w="960" w:type="dxa"/>
            <w:vAlign w:val="bottom"/>
          </w:tcPr>
          <w:p>
            <w:pPr>
              <w:jc w:val="right"/>
              <w:spacing w:after="0"/>
              <w:rPr>
                <w:sz w:val="20"/>
                <w:szCs w:val="20"/>
                <w:color w:val="auto"/>
              </w:rPr>
            </w:pPr>
            <w:r>
              <w:rPr>
                <w:rFonts w:ascii="Arial" w:cs="Arial" w:eastAsia="Arial" w:hAnsi="Arial"/>
                <w:sz w:val="18"/>
                <w:szCs w:val="18"/>
                <w:color w:val="auto"/>
              </w:rPr>
              <w:t>5/20/2015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19,774</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(3)(11)</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($61,875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4/2021)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+ 5.50%</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56,817</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61,875</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loan ($27,090 par,</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due 6/2019)</w:t>
            </w:r>
          </w:p>
        </w:tc>
        <w:tc>
          <w:tcPr>
            <w:tcW w:w="960" w:type="dxa"/>
            <w:vAlign w:val="bottom"/>
          </w:tcPr>
          <w:p>
            <w:pPr>
              <w:jc w:val="right"/>
              <w:spacing w:after="0"/>
              <w:rPr>
                <w:sz w:val="20"/>
                <w:szCs w:val="20"/>
                <w:color w:val="auto"/>
              </w:rPr>
            </w:pPr>
            <w:r>
              <w:rPr>
                <w:rFonts w:ascii="Arial" w:cs="Arial" w:eastAsia="Arial" w:hAnsi="Arial"/>
                <w:sz w:val="18"/>
                <w:szCs w:val="18"/>
                <w:color w:val="auto"/>
              </w:rPr>
              <w:t>6/30/2014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L + 6.50%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27,163</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8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(incl.</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($20,157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7/2021)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+ 10.00%</w:t>
            </w: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PIK)</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Qlik Technologies, Inc. </w:t>
            </w:r>
            <w:r>
              <w:rPr>
                <w:rFonts w:ascii="Arial" w:cs="Arial" w:eastAsia="Arial" w:hAnsi="Arial"/>
                <w:sz w:val="15"/>
                <w:szCs w:val="15"/>
                <w:color w:val="auto"/>
              </w:rPr>
              <w:t>(3)</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loan ($40,399 par,</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due 8/2022)</w:t>
            </w:r>
          </w:p>
        </w:tc>
        <w:tc>
          <w:tcPr>
            <w:tcW w:w="960" w:type="dxa"/>
            <w:vAlign w:val="bottom"/>
          </w:tcPr>
          <w:p>
            <w:pPr>
              <w:jc w:val="right"/>
              <w:spacing w:after="0"/>
              <w:rPr>
                <w:sz w:val="20"/>
                <w:szCs w:val="20"/>
                <w:color w:val="auto"/>
              </w:rPr>
            </w:pPr>
            <w:r>
              <w:rPr>
                <w:rFonts w:ascii="Arial" w:cs="Arial" w:eastAsia="Arial" w:hAnsi="Arial"/>
                <w:sz w:val="18"/>
                <w:szCs w:val="18"/>
                <w:color w:val="auto"/>
              </w:rPr>
              <w:t>8/22/2016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L + 8.25%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40,096</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SailPoint Technologies, Inc. </w:t>
            </w:r>
            <w:r>
              <w:rPr>
                <w:rFonts w:ascii="Arial" w:cs="Arial" w:eastAsia="Arial" w:hAnsi="Arial"/>
                <w:sz w:val="15"/>
                <w:szCs w:val="15"/>
                <w:color w:val="auto"/>
                <w:w w:val="97"/>
              </w:rPr>
              <w:t>(3)</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($27,500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8/2021)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+ 8.00%</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loan ($29,177 par,</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due 3/2022)</w:t>
            </w:r>
          </w:p>
        </w:tc>
        <w:tc>
          <w:tcPr>
            <w:tcW w:w="960" w:type="dxa"/>
            <w:vAlign w:val="bottom"/>
          </w:tcPr>
          <w:p>
            <w:pPr>
              <w:jc w:val="right"/>
              <w:spacing w:after="0"/>
              <w:rPr>
                <w:sz w:val="20"/>
                <w:szCs w:val="20"/>
                <w:color w:val="auto"/>
              </w:rPr>
            </w:pPr>
            <w:r>
              <w:rPr>
                <w:rFonts w:ascii="Arial" w:cs="Arial" w:eastAsia="Arial" w:hAnsi="Arial"/>
                <w:sz w:val="18"/>
                <w:szCs w:val="18"/>
                <w:color w:val="auto"/>
              </w:rPr>
              <w:t>7/1/2016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L + 7.25%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29,027</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(3)(11)</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($247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12/2020)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1/26/2016</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+ 5.50%</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272,574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281,793</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loan ($4,967 par,</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due 4/2018)</w:t>
            </w:r>
          </w:p>
        </w:tc>
        <w:tc>
          <w:tcPr>
            <w:tcW w:w="960" w:type="dxa"/>
            <w:vAlign w:val="bottom"/>
          </w:tcPr>
          <w:p>
            <w:pPr>
              <w:jc w:val="right"/>
              <w:spacing w:after="0"/>
              <w:rPr>
                <w:sz w:val="20"/>
                <w:szCs w:val="20"/>
                <w:color w:val="auto"/>
              </w:rPr>
            </w:pPr>
            <w:r>
              <w:rPr>
                <w:rFonts w:ascii="Arial" w:cs="Arial" w:eastAsia="Arial" w:hAnsi="Arial"/>
                <w:sz w:val="18"/>
                <w:szCs w:val="18"/>
                <w:color w:val="auto"/>
              </w:rPr>
              <w:t>10/31/2016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L + 9.00%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6"/>
              </w:rPr>
              <w:t>Second-lien loan ($3,341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10/2021)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10/31/2016</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+ 12.00%</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8,292</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First-lien loan ($45,000 par,</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due 8/2022)</w:t>
            </w:r>
          </w:p>
        </w:tc>
        <w:tc>
          <w:tcPr>
            <w:tcW w:w="960" w:type="dxa"/>
            <w:vAlign w:val="bottom"/>
          </w:tcPr>
          <w:p>
            <w:pPr>
              <w:jc w:val="right"/>
              <w:spacing w:after="0"/>
              <w:rPr>
                <w:sz w:val="20"/>
                <w:szCs w:val="20"/>
                <w:color w:val="auto"/>
              </w:rPr>
            </w:pPr>
            <w:r>
              <w:rPr>
                <w:rFonts w:ascii="Arial" w:cs="Arial" w:eastAsia="Arial" w:hAnsi="Arial"/>
                <w:sz w:val="18"/>
                <w:szCs w:val="18"/>
                <w:color w:val="auto"/>
              </w:rPr>
              <w:t>8/31/2016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L + 7.00%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44,325</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($54,725 par,</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4/2021)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4/1/2016</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+ 6.75%</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53,447</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99,187</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w w:val="97"/>
              </w:rPr>
              <w:t>F-11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($63,761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due 1/2019)</w:t>
            </w:r>
          </w:p>
        </w:tc>
        <w:tc>
          <w:tcPr>
            <w:tcW w:w="980" w:type="dxa"/>
            <w:vAlign w:val="bottom"/>
          </w:tcPr>
          <w:p>
            <w:pPr>
              <w:jc w:val="right"/>
              <w:spacing w:after="0"/>
              <w:rPr>
                <w:sz w:val="20"/>
                <w:szCs w:val="20"/>
                <w:color w:val="auto"/>
              </w:rPr>
            </w:pPr>
            <w:r>
              <w:rPr>
                <w:rFonts w:ascii="Arial" w:cs="Arial" w:eastAsia="Arial" w:hAnsi="Arial"/>
                <w:sz w:val="18"/>
                <w:szCs w:val="18"/>
                <w:color w:val="auto"/>
              </w:rPr>
              <w:t>1/9/2014</w:t>
            </w:r>
          </w:p>
        </w:tc>
        <w:tc>
          <w:tcPr>
            <w:tcW w:w="1180" w:type="dxa"/>
            <w:vAlign w:val="bottom"/>
          </w:tcPr>
          <w:p>
            <w:pPr>
              <w:jc w:val="right"/>
              <w:spacing w:after="0"/>
              <w:rPr>
                <w:sz w:val="20"/>
                <w:szCs w:val="20"/>
                <w:color w:val="auto"/>
              </w:rPr>
            </w:pPr>
            <w:r>
              <w:rPr>
                <w:rFonts w:ascii="Arial" w:cs="Arial" w:eastAsia="Arial" w:hAnsi="Arial"/>
                <w:sz w:val="18"/>
                <w:szCs w:val="18"/>
                <w:color w:val="auto"/>
              </w:rPr>
              <w:t>L + 8.00%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920" w:type="dxa"/>
            <w:vAlign w:val="bottom"/>
          </w:tcPr>
          <w:p>
            <w:pPr>
              <w:jc w:val="right"/>
              <w:spacing w:after="0"/>
              <w:rPr>
                <w:sz w:val="20"/>
                <w:szCs w:val="20"/>
                <w:color w:val="auto"/>
              </w:rPr>
            </w:pPr>
            <w:r>
              <w:rPr>
                <w:rFonts w:ascii="Arial" w:cs="Arial" w:eastAsia="Arial" w:hAnsi="Arial"/>
                <w:sz w:val="18"/>
                <w:szCs w:val="18"/>
                <w:color w:val="auto"/>
              </w:rPr>
              <w:t>63,342</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64,568</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APX Group Inc. </w:t>
            </w:r>
            <w:r>
              <w:rPr>
                <w:rFonts w:ascii="Arial" w:cs="Arial" w:eastAsia="Arial" w:hAnsi="Arial"/>
                <w:sz w:val="15"/>
                <w:szCs w:val="15"/>
                <w:color w:val="auto"/>
              </w:rPr>
              <w:t>(11)</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6"/>
              </w:rPr>
              <w:t>Senior notes 8.75% ($5,470</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12/2020)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12/11/2014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68,059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70,079</w:t>
            </w: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r>
      <w:tr>
        <w:trPr>
          <w:trHeight w:val="223"/>
        </w:trPr>
        <w:tc>
          <w:tcPr>
            <w:tcW w:w="2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($22,200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due 8/2020)</w:t>
            </w:r>
          </w:p>
        </w:tc>
        <w:tc>
          <w:tcPr>
            <w:tcW w:w="980" w:type="dxa"/>
            <w:vAlign w:val="bottom"/>
          </w:tcPr>
          <w:p>
            <w:pPr>
              <w:jc w:val="right"/>
              <w:spacing w:after="0"/>
              <w:rPr>
                <w:sz w:val="20"/>
                <w:szCs w:val="20"/>
                <w:color w:val="auto"/>
              </w:rPr>
            </w:pPr>
            <w:r>
              <w:rPr>
                <w:rFonts w:ascii="Arial" w:cs="Arial" w:eastAsia="Arial" w:hAnsi="Arial"/>
                <w:sz w:val="18"/>
                <w:szCs w:val="18"/>
                <w:color w:val="auto"/>
              </w:rPr>
              <w:t>8/18/2015</w:t>
            </w:r>
          </w:p>
        </w:tc>
        <w:tc>
          <w:tcPr>
            <w:tcW w:w="1180" w:type="dxa"/>
            <w:vAlign w:val="bottom"/>
          </w:tcPr>
          <w:p>
            <w:pPr>
              <w:jc w:val="right"/>
              <w:spacing w:after="0"/>
              <w:rPr>
                <w:sz w:val="20"/>
                <w:szCs w:val="20"/>
                <w:color w:val="auto"/>
              </w:rPr>
            </w:pPr>
            <w:r>
              <w:rPr>
                <w:rFonts w:ascii="Arial" w:cs="Arial" w:eastAsia="Arial" w:hAnsi="Arial"/>
                <w:sz w:val="18"/>
                <w:szCs w:val="18"/>
                <w:color w:val="auto"/>
              </w:rPr>
              <w:t>L + 8.00%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920" w:type="dxa"/>
            <w:vAlign w:val="bottom"/>
          </w:tcPr>
          <w:p>
            <w:pPr>
              <w:jc w:val="right"/>
              <w:spacing w:after="0"/>
              <w:rPr>
                <w:sz w:val="20"/>
                <w:szCs w:val="20"/>
                <w:color w:val="auto"/>
              </w:rPr>
            </w:pPr>
            <w:r>
              <w:rPr>
                <w:rFonts w:ascii="Arial" w:cs="Arial" w:eastAsia="Arial" w:hAnsi="Arial"/>
                <w:sz w:val="18"/>
                <w:szCs w:val="18"/>
                <w:color w:val="auto"/>
              </w:rPr>
              <w:t>21,781</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($53,528 par,</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10.50% (incl.</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8/2020)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2.38%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52,779</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53,394</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($25,782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due 9/2018)</w:t>
            </w:r>
          </w:p>
        </w:tc>
        <w:tc>
          <w:tcPr>
            <w:tcW w:w="980" w:type="dxa"/>
            <w:vAlign w:val="bottom"/>
          </w:tcPr>
          <w:p>
            <w:pPr>
              <w:jc w:val="right"/>
              <w:spacing w:after="0"/>
              <w:rPr>
                <w:sz w:val="20"/>
                <w:szCs w:val="20"/>
                <w:color w:val="auto"/>
              </w:rPr>
            </w:pPr>
            <w:r>
              <w:rPr>
                <w:rFonts w:ascii="Arial" w:cs="Arial" w:eastAsia="Arial" w:hAnsi="Arial"/>
                <w:sz w:val="18"/>
                <w:szCs w:val="18"/>
                <w:color w:val="auto"/>
              </w:rPr>
              <w:t>9/12/2013</w:t>
            </w:r>
          </w:p>
        </w:tc>
        <w:tc>
          <w:tcPr>
            <w:tcW w:w="1180" w:type="dxa"/>
            <w:vAlign w:val="bottom"/>
          </w:tcPr>
          <w:p>
            <w:pPr>
              <w:jc w:val="right"/>
              <w:spacing w:after="0"/>
              <w:rPr>
                <w:sz w:val="20"/>
                <w:szCs w:val="20"/>
                <w:color w:val="auto"/>
              </w:rPr>
            </w:pPr>
            <w:r>
              <w:rPr>
                <w:rFonts w:ascii="Arial" w:cs="Arial" w:eastAsia="Arial" w:hAnsi="Arial"/>
                <w:sz w:val="18"/>
                <w:szCs w:val="18"/>
                <w:color w:val="auto"/>
              </w:rPr>
              <w:t>L + 6.50%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920" w:type="dxa"/>
            <w:vAlign w:val="bottom"/>
          </w:tcPr>
          <w:p>
            <w:pPr>
              <w:jc w:val="right"/>
              <w:spacing w:after="0"/>
              <w:rPr>
                <w:sz w:val="20"/>
                <w:szCs w:val="20"/>
                <w:color w:val="auto"/>
              </w:rPr>
            </w:pPr>
            <w:r>
              <w:rPr>
                <w:rFonts w:ascii="Arial" w:cs="Arial" w:eastAsia="Arial" w:hAnsi="Arial"/>
                <w:sz w:val="18"/>
                <w:szCs w:val="18"/>
                <w:color w:val="auto"/>
              </w:rPr>
              <w:t>25,585</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25,981</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($34,502 par,</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10.00% (incl.</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3/2020)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+ 9.00%</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2.50%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33,979</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($30,000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due 1/2021)</w:t>
            </w:r>
          </w:p>
        </w:tc>
        <w:tc>
          <w:tcPr>
            <w:tcW w:w="980" w:type="dxa"/>
            <w:vAlign w:val="bottom"/>
          </w:tcPr>
          <w:p>
            <w:pPr>
              <w:jc w:val="right"/>
              <w:spacing w:after="0"/>
              <w:rPr>
                <w:sz w:val="20"/>
                <w:szCs w:val="20"/>
                <w:color w:val="auto"/>
              </w:rPr>
            </w:pPr>
            <w:r>
              <w:rPr>
                <w:rFonts w:ascii="Arial" w:cs="Arial" w:eastAsia="Arial" w:hAnsi="Arial"/>
                <w:sz w:val="18"/>
                <w:szCs w:val="18"/>
                <w:color w:val="auto"/>
              </w:rPr>
              <w:t>1/7/2016</w:t>
            </w:r>
          </w:p>
        </w:tc>
        <w:tc>
          <w:tcPr>
            <w:tcW w:w="1180" w:type="dxa"/>
            <w:vAlign w:val="bottom"/>
          </w:tcPr>
          <w:p>
            <w:pPr>
              <w:jc w:val="right"/>
              <w:spacing w:after="0"/>
              <w:rPr>
                <w:sz w:val="20"/>
                <w:szCs w:val="20"/>
                <w:color w:val="auto"/>
              </w:rPr>
            </w:pPr>
            <w:r>
              <w:rPr>
                <w:rFonts w:ascii="Arial" w:cs="Arial" w:eastAsia="Arial" w:hAnsi="Arial"/>
                <w:sz w:val="18"/>
                <w:szCs w:val="18"/>
                <w:color w:val="auto"/>
              </w:rPr>
              <w:t>L + 7.50%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920" w:type="dxa"/>
            <w:vAlign w:val="bottom"/>
          </w:tcPr>
          <w:p>
            <w:pPr>
              <w:jc w:val="right"/>
              <w:spacing w:after="0"/>
              <w:rPr>
                <w:sz w:val="20"/>
                <w:szCs w:val="20"/>
                <w:color w:val="auto"/>
              </w:rPr>
            </w:pPr>
            <w:r>
              <w:rPr>
                <w:rFonts w:ascii="Arial" w:cs="Arial" w:eastAsia="Arial" w:hAnsi="Arial"/>
                <w:sz w:val="18"/>
                <w:szCs w:val="18"/>
                <w:color w:val="auto"/>
              </w:rPr>
              <w:t>29,343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30,300</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32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163,467</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166,636</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r>
      <w:tr>
        <w:trPr>
          <w:trHeight w:val="223"/>
        </w:trPr>
        <w:tc>
          <w:tcPr>
            <w:tcW w:w="232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2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(EUR 40,573</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44,934</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9/2019)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47,830</w:t>
            </w: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(EUR 43,158)</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3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w w:val="99"/>
              </w:rPr>
              <w:t>(EUR 300 par, due 9/2019)</w:t>
            </w:r>
          </w:p>
        </w:tc>
        <w:tc>
          <w:tcPr>
            <w:tcW w:w="980" w:type="dxa"/>
            <w:vAlign w:val="bottom"/>
          </w:tcPr>
          <w:p>
            <w:pPr>
              <w:jc w:val="right"/>
              <w:spacing w:after="0"/>
              <w:rPr>
                <w:sz w:val="20"/>
                <w:szCs w:val="20"/>
                <w:color w:val="auto"/>
              </w:rPr>
            </w:pPr>
            <w:r>
              <w:rPr>
                <w:rFonts w:ascii="Arial" w:cs="Arial" w:eastAsia="Arial" w:hAnsi="Arial"/>
                <w:sz w:val="18"/>
                <w:szCs w:val="18"/>
                <w:color w:val="auto"/>
              </w:rPr>
              <w:t>9/30/2014</w:t>
            </w:r>
          </w:p>
        </w:tc>
        <w:tc>
          <w:tcPr>
            <w:tcW w:w="1180" w:type="dxa"/>
            <w:vAlign w:val="bottom"/>
          </w:tcPr>
          <w:p>
            <w:pPr>
              <w:jc w:val="right"/>
              <w:spacing w:after="0"/>
              <w:rPr>
                <w:sz w:val="20"/>
                <w:szCs w:val="20"/>
                <w:color w:val="auto"/>
              </w:rPr>
            </w:pPr>
            <w:r>
              <w:rPr>
                <w:rFonts w:ascii="Arial" w:cs="Arial" w:eastAsia="Arial" w:hAnsi="Arial"/>
                <w:sz w:val="18"/>
                <w:szCs w:val="18"/>
                <w:color w:val="auto"/>
              </w:rPr>
              <w:t>E + 10.50%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(EUR 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($44,663 par,</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12/2021)</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+ 5.25%</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43,959</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45,109</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($47,066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9.50% (incl.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due 9/2020)</w:t>
            </w:r>
          </w:p>
        </w:tc>
        <w:tc>
          <w:tcPr>
            <w:tcW w:w="980" w:type="dxa"/>
            <w:vAlign w:val="bottom"/>
          </w:tcPr>
          <w:p>
            <w:pPr>
              <w:jc w:val="right"/>
              <w:spacing w:after="0"/>
              <w:rPr>
                <w:sz w:val="20"/>
                <w:szCs w:val="20"/>
                <w:color w:val="auto"/>
              </w:rPr>
            </w:pPr>
            <w:r>
              <w:rPr>
                <w:rFonts w:ascii="Arial" w:cs="Arial" w:eastAsia="Arial" w:hAnsi="Arial"/>
                <w:sz w:val="18"/>
                <w:szCs w:val="18"/>
                <w:color w:val="auto"/>
              </w:rPr>
              <w:t>9/30/2015</w:t>
            </w:r>
          </w:p>
        </w:tc>
        <w:tc>
          <w:tcPr>
            <w:tcW w:w="1180" w:type="dxa"/>
            <w:vAlign w:val="bottom"/>
          </w:tcPr>
          <w:p>
            <w:pPr>
              <w:jc w:val="right"/>
              <w:spacing w:after="0"/>
              <w:rPr>
                <w:sz w:val="20"/>
                <w:szCs w:val="20"/>
                <w:color w:val="auto"/>
              </w:rPr>
            </w:pPr>
            <w:r>
              <w:rPr>
                <w:rFonts w:ascii="Arial" w:cs="Arial" w:eastAsia="Arial" w:hAnsi="Arial"/>
                <w:sz w:val="18"/>
                <w:szCs w:val="18"/>
                <w:color w:val="auto"/>
              </w:rPr>
              <w:t>L + 8.50%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2.50% PIK)</w:t>
            </w:r>
          </w:p>
        </w:tc>
        <w:tc>
          <w:tcPr>
            <w:tcW w:w="920" w:type="dxa"/>
            <w:vAlign w:val="bottom"/>
          </w:tcPr>
          <w:p>
            <w:pPr>
              <w:jc w:val="right"/>
              <w:spacing w:after="0"/>
              <w:rPr>
                <w:sz w:val="20"/>
                <w:szCs w:val="20"/>
                <w:color w:val="auto"/>
              </w:rPr>
            </w:pPr>
            <w:r>
              <w:rPr>
                <w:rFonts w:ascii="Arial" w:cs="Arial" w:eastAsia="Arial" w:hAnsi="Arial"/>
                <w:sz w:val="18"/>
                <w:szCs w:val="18"/>
                <w:color w:val="auto"/>
              </w:rPr>
              <w:t>45,920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47,184</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($29,775 par,</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2/2021)</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+ 7.75%</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28,894</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29,849</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($30,000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due 12/2017)</w:t>
            </w:r>
          </w:p>
        </w:tc>
        <w:tc>
          <w:tcPr>
            <w:tcW w:w="980" w:type="dxa"/>
            <w:vAlign w:val="bottom"/>
          </w:tcPr>
          <w:p>
            <w:pPr>
              <w:jc w:val="right"/>
              <w:spacing w:after="0"/>
              <w:rPr>
                <w:sz w:val="20"/>
                <w:szCs w:val="20"/>
                <w:color w:val="auto"/>
              </w:rPr>
            </w:pPr>
            <w:r>
              <w:rPr>
                <w:rFonts w:ascii="Arial" w:cs="Arial" w:eastAsia="Arial" w:hAnsi="Arial"/>
                <w:sz w:val="18"/>
                <w:szCs w:val="18"/>
                <w:color w:val="auto"/>
              </w:rPr>
              <w:t>12/28/2012</w:t>
            </w:r>
          </w:p>
        </w:tc>
        <w:tc>
          <w:tcPr>
            <w:tcW w:w="1180" w:type="dxa"/>
            <w:vAlign w:val="bottom"/>
          </w:tcPr>
          <w:p>
            <w:pPr>
              <w:jc w:val="right"/>
              <w:spacing w:after="0"/>
              <w:rPr>
                <w:sz w:val="20"/>
                <w:szCs w:val="20"/>
                <w:color w:val="auto"/>
              </w:rPr>
            </w:pPr>
            <w:r>
              <w:rPr>
                <w:rFonts w:ascii="Arial" w:cs="Arial" w:eastAsia="Arial" w:hAnsi="Arial"/>
                <w:sz w:val="18"/>
                <w:szCs w:val="18"/>
                <w:color w:val="auto"/>
              </w:rPr>
              <w:t>L + 7.50%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920" w:type="dxa"/>
            <w:vAlign w:val="bottom"/>
          </w:tcPr>
          <w:p>
            <w:pPr>
              <w:jc w:val="right"/>
              <w:spacing w:after="0"/>
              <w:rPr>
                <w:sz w:val="20"/>
                <w:szCs w:val="20"/>
                <w:color w:val="auto"/>
              </w:rPr>
            </w:pPr>
            <w:r>
              <w:rPr>
                <w:rFonts w:ascii="Arial" w:cs="Arial" w:eastAsia="Arial" w:hAnsi="Arial"/>
                <w:sz w:val="18"/>
                <w:szCs w:val="18"/>
                <w:color w:val="auto"/>
              </w:rPr>
              <w:t>29,820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18"/>
                <w:szCs w:val="18"/>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revolving loan</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($2,000 par, due 12/2017)</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+ 7.50%</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198,667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199,603</w:t>
            </w: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r>
      <w:tr>
        <w:trPr>
          <w:trHeight w:val="223"/>
        </w:trPr>
        <w:tc>
          <w:tcPr>
            <w:tcW w:w="2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w w:val="91"/>
              </w:rPr>
              <w:t>Hotel, gaming, and leisure</w:t>
            </w:r>
          </w:p>
        </w:tc>
        <w:tc>
          <w:tcPr>
            <w:tcW w:w="2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CrunchTime Information</w:t>
            </w:r>
          </w:p>
        </w:tc>
        <w:tc>
          <w:tcPr>
            <w:tcW w:w="2240" w:type="dxa"/>
            <w:vAlign w:val="bottom"/>
          </w:tcPr>
          <w:p>
            <w:pPr>
              <w:ind w:left="60"/>
              <w:spacing w:after="0"/>
              <w:rPr>
                <w:sz w:val="20"/>
                <w:szCs w:val="20"/>
                <w:color w:val="auto"/>
              </w:rPr>
            </w:pPr>
            <w:r>
              <w:rPr>
                <w:rFonts w:ascii="Arial" w:cs="Arial" w:eastAsia="Arial" w:hAnsi="Arial"/>
                <w:sz w:val="18"/>
                <w:szCs w:val="18"/>
                <w:color w:val="auto"/>
                <w:w w:val="98"/>
              </w:rPr>
              <w:t>First-lien loan ($26,104 par,</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9.27% (incl.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240" w:type="dxa"/>
            <w:vAlign w:val="bottom"/>
          </w:tcPr>
          <w:p>
            <w:pPr>
              <w:ind w:left="60"/>
              <w:spacing w:after="0"/>
              <w:rPr>
                <w:sz w:val="20"/>
                <w:szCs w:val="20"/>
                <w:color w:val="auto"/>
              </w:rPr>
            </w:pPr>
            <w:r>
              <w:rPr>
                <w:rFonts w:ascii="Arial" w:cs="Arial" w:eastAsia="Arial" w:hAnsi="Arial"/>
                <w:sz w:val="18"/>
                <w:szCs w:val="18"/>
                <w:color w:val="auto"/>
              </w:rPr>
              <w:t>due 4/2020)</w:t>
            </w:r>
          </w:p>
        </w:tc>
        <w:tc>
          <w:tcPr>
            <w:tcW w:w="980" w:type="dxa"/>
            <w:vAlign w:val="bottom"/>
          </w:tcPr>
          <w:p>
            <w:pPr>
              <w:jc w:val="right"/>
              <w:spacing w:after="0"/>
              <w:rPr>
                <w:sz w:val="20"/>
                <w:szCs w:val="20"/>
                <w:color w:val="auto"/>
              </w:rPr>
            </w:pPr>
            <w:r>
              <w:rPr>
                <w:rFonts w:ascii="Arial" w:cs="Arial" w:eastAsia="Arial" w:hAnsi="Arial"/>
                <w:sz w:val="18"/>
                <w:szCs w:val="18"/>
                <w:color w:val="auto"/>
              </w:rPr>
              <w:t>4/16/2015</w:t>
            </w:r>
          </w:p>
        </w:tc>
        <w:tc>
          <w:tcPr>
            <w:tcW w:w="1180" w:type="dxa"/>
            <w:vAlign w:val="bottom"/>
          </w:tcPr>
          <w:p>
            <w:pPr>
              <w:jc w:val="right"/>
              <w:spacing w:after="0"/>
              <w:rPr>
                <w:sz w:val="20"/>
                <w:szCs w:val="20"/>
                <w:color w:val="auto"/>
              </w:rPr>
            </w:pPr>
            <w:r>
              <w:rPr>
                <w:rFonts w:ascii="Arial" w:cs="Arial" w:eastAsia="Arial" w:hAnsi="Arial"/>
                <w:sz w:val="18"/>
                <w:szCs w:val="18"/>
                <w:color w:val="auto"/>
              </w:rPr>
              <w:t>L + 8.50%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2.50% PIK)</w:t>
            </w:r>
          </w:p>
        </w:tc>
        <w:tc>
          <w:tcPr>
            <w:tcW w:w="920" w:type="dxa"/>
            <w:vAlign w:val="bottom"/>
          </w:tcPr>
          <w:p>
            <w:pPr>
              <w:jc w:val="right"/>
              <w:spacing w:after="0"/>
              <w:rPr>
                <w:sz w:val="20"/>
                <w:szCs w:val="20"/>
                <w:color w:val="auto"/>
              </w:rPr>
            </w:pPr>
            <w:r>
              <w:rPr>
                <w:rFonts w:ascii="Arial" w:cs="Arial" w:eastAsia="Arial" w:hAnsi="Arial"/>
                <w:sz w:val="18"/>
                <w:szCs w:val="18"/>
                <w:color w:val="auto"/>
              </w:rPr>
              <w:t>25,643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26,104</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($21,311 par,</w:t>
            </w:r>
          </w:p>
        </w:tc>
        <w:tc>
          <w:tcPr>
            <w:tcW w:w="9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10.50% (incl.</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p>
        </w:tc>
        <w:tc>
          <w:tcPr>
            <w:tcW w:w="2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5.00%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21,311</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18,807</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215"/>
        </w:trPr>
        <w:tc>
          <w:tcPr>
            <w:tcW w:w="23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First-lien revolver loan</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w w:val="99"/>
              </w:rPr>
              <w:t>10.50% (incl.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($14,755 par, due 9/2019)</w:t>
            </w:r>
          </w:p>
        </w:tc>
        <w:tc>
          <w:tcPr>
            <w:tcW w:w="980" w:type="dxa"/>
            <w:vAlign w:val="bottom"/>
          </w:tcPr>
          <w:p>
            <w:pPr>
              <w:jc w:val="right"/>
              <w:spacing w:after="0"/>
              <w:rPr>
                <w:sz w:val="20"/>
                <w:szCs w:val="20"/>
                <w:color w:val="auto"/>
              </w:rPr>
            </w:pPr>
            <w:r>
              <w:rPr>
                <w:rFonts w:ascii="Arial" w:cs="Arial" w:eastAsia="Arial" w:hAnsi="Arial"/>
                <w:sz w:val="18"/>
                <w:szCs w:val="18"/>
                <w:color w:val="auto"/>
              </w:rPr>
              <w:t>9/29/2015</w:t>
            </w:r>
          </w:p>
        </w:tc>
        <w:tc>
          <w:tcPr>
            <w:tcW w:w="1180" w:type="dxa"/>
            <w:vAlign w:val="bottom"/>
          </w:tcPr>
          <w:p>
            <w:pPr>
              <w:jc w:val="right"/>
              <w:spacing w:after="0"/>
              <w:rPr>
                <w:sz w:val="20"/>
                <w:szCs w:val="20"/>
                <w:color w:val="auto"/>
              </w:rPr>
            </w:pPr>
            <w:r>
              <w:rPr>
                <w:rFonts w:ascii="Arial" w:cs="Arial" w:eastAsia="Arial" w:hAnsi="Arial"/>
                <w:sz w:val="18"/>
                <w:szCs w:val="18"/>
                <w:color w:val="auto"/>
              </w:rPr>
              <w:t>L + 9.50%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5.00% PIK)</w:t>
            </w:r>
          </w:p>
        </w:tc>
        <w:tc>
          <w:tcPr>
            <w:tcW w:w="920" w:type="dxa"/>
            <w:vAlign w:val="bottom"/>
          </w:tcPr>
          <w:p>
            <w:pPr>
              <w:jc w:val="right"/>
              <w:spacing w:after="0"/>
              <w:rPr>
                <w:sz w:val="20"/>
                <w:szCs w:val="20"/>
                <w:color w:val="auto"/>
              </w:rPr>
            </w:pPr>
            <w:r>
              <w:rPr>
                <w:rFonts w:ascii="Arial" w:cs="Arial" w:eastAsia="Arial" w:hAnsi="Arial"/>
                <w:sz w:val="18"/>
                <w:szCs w:val="18"/>
                <w:color w:val="auto"/>
              </w:rPr>
              <w:t>14,755</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432"/>
        </w:trPr>
        <w:tc>
          <w:tcPr>
            <w:tcW w:w="2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jc w:val="right"/>
              <w:ind w:right="750"/>
              <w:spacing w:after="0"/>
              <w:rPr>
                <w:sz w:val="20"/>
                <w:szCs w:val="20"/>
                <w:color w:val="auto"/>
              </w:rPr>
            </w:pPr>
            <w:r>
              <w:rPr>
                <w:rFonts w:ascii="Arial" w:cs="Arial" w:eastAsia="Arial" w:hAnsi="Arial"/>
                <w:sz w:val="18"/>
                <w:szCs w:val="18"/>
                <w:color w:val="auto"/>
                <w:w w:val="86"/>
              </w:rPr>
              <w:t>F-12</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(4)(11)</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Second-lien bond (GBP</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16,227</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12,875 par, due 10/2018)</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9/20/2013</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9.13%</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20,618</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(GBP 13,133)</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r>
      <w:tr>
        <w:trPr>
          <w:trHeight w:val="20"/>
        </w:trPr>
        <w:tc>
          <w:tcPr>
            <w:tcW w:w="2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82,327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74,159</w:t>
            </w: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r>
      <w:tr>
        <w:trPr>
          <w:trHeight w:val="205"/>
        </w:trPr>
        <w:tc>
          <w:tcPr>
            <w:tcW w:w="250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26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0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services</w:t>
            </w:r>
          </w:p>
        </w:tc>
        <w:tc>
          <w:tcPr>
            <w:tcW w:w="2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($45,000 par,</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11/2020)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11/12/2015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L + 7.50%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940" w:type="dxa"/>
            <w:vAlign w:val="bottom"/>
          </w:tcPr>
          <w:p>
            <w:pPr>
              <w:jc w:val="right"/>
              <w:spacing w:after="0"/>
              <w:rPr>
                <w:sz w:val="20"/>
                <w:szCs w:val="20"/>
                <w:color w:val="auto"/>
              </w:rPr>
            </w:pPr>
            <w:r>
              <w:rPr>
                <w:rFonts w:ascii="Arial" w:cs="Arial" w:eastAsia="Arial" w:hAnsi="Arial"/>
                <w:sz w:val="18"/>
                <w:szCs w:val="18"/>
                <w:color w:val="auto"/>
              </w:rPr>
              <w:t>44,095</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45,225</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($54,175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3/2021)</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3/30/2015</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+ 8.75%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53,680</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54,310</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(3)(11)</w:t>
            </w:r>
          </w:p>
        </w:tc>
        <w:tc>
          <w:tcPr>
            <w:tcW w:w="2260" w:type="dxa"/>
            <w:vAlign w:val="bottom"/>
          </w:tcPr>
          <w:p>
            <w:pPr>
              <w:ind w:left="60"/>
              <w:spacing w:after="0"/>
              <w:rPr>
                <w:sz w:val="20"/>
                <w:szCs w:val="20"/>
                <w:color w:val="auto"/>
              </w:rPr>
            </w:pPr>
            <w:r>
              <w:rPr>
                <w:rFonts w:ascii="Arial" w:cs="Arial" w:eastAsia="Arial" w:hAnsi="Arial"/>
                <w:sz w:val="18"/>
                <w:szCs w:val="18"/>
                <w:color w:val="auto"/>
              </w:rPr>
              <w:t>First-lien loan ($9,571 par,</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4/2021)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11/5/2015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L + 4.75%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940" w:type="dxa"/>
            <w:vAlign w:val="bottom"/>
          </w:tcPr>
          <w:p>
            <w:pPr>
              <w:jc w:val="right"/>
              <w:spacing w:after="0"/>
              <w:rPr>
                <w:sz w:val="20"/>
                <w:szCs w:val="20"/>
                <w:color w:val="auto"/>
              </w:rPr>
            </w:pPr>
            <w:r>
              <w:rPr>
                <w:rFonts w:ascii="Arial" w:cs="Arial" w:eastAsia="Arial" w:hAnsi="Arial"/>
                <w:sz w:val="18"/>
                <w:szCs w:val="18"/>
                <w:color w:val="auto"/>
              </w:rPr>
              <w:t>7,629</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8,709</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0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105,404</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108,244</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23"/>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($64,978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10/2020)</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10/31/2014</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+ 6.25%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64,423</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65,952</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($47,988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7/2018)</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3/7/2014</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+ 7.50%</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47,679</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48,588</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r>
      <w:tr>
        <w:trPr>
          <w:trHeight w:val="215"/>
        </w:trPr>
        <w:tc>
          <w:tcPr>
            <w:tcW w:w="250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($3,000 par, due 7/2018)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3/7/2014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L + 7.50%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940" w:type="dxa"/>
            <w:vAlign w:val="bottom"/>
          </w:tcPr>
          <w:p>
            <w:pPr>
              <w:jc w:val="right"/>
              <w:spacing w:after="0"/>
              <w:rPr>
                <w:sz w:val="20"/>
                <w:szCs w:val="20"/>
                <w:color w:val="auto"/>
              </w:rPr>
            </w:pPr>
            <w:r>
              <w:rPr>
                <w:rFonts w:ascii="Arial" w:cs="Arial" w:eastAsia="Arial" w:hAnsi="Arial"/>
                <w:sz w:val="18"/>
                <w:szCs w:val="18"/>
                <w:color w:val="auto"/>
              </w:rPr>
              <w:t>2,985</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3,038</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0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50,664</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51,626</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23"/>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Power Solutions International,</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ABL FILO term loan</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($53,550 par, due 6/2021)</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6/28/2016</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+ 9.75%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47,285</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52,613</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($19,986 par,</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12/2019)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12/30/2014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L + 6.50%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rPr>
              <w:t>19,717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20,263</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0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67,002</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72,876</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23"/>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Marketing Services</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($28,125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8/2021)</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8/16/2016</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+ 9.50%</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27,278</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27,750</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($36,529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3/2019)</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3/11/2014</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+ 6.25%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36,627</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1"/>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0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2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(3)(11)</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($10,771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12/2021)</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5/27/2015</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+ 10.25%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w w:val="94"/>
              </w:rPr>
              <w:t xml:space="preserve">Mississippi Resources, LLC </w:t>
            </w:r>
            <w:r>
              <w:rPr>
                <w:rFonts w:ascii="Arial" w:cs="Arial" w:eastAsia="Arial" w:hAnsi="Arial"/>
                <w:sz w:val="15"/>
                <w:szCs w:val="15"/>
                <w:color w:val="auto"/>
                <w:w w:val="94"/>
              </w:rPr>
              <w:t>(3)(7)</w:t>
            </w: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13.00%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(incl.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($51,537 par,</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1.50%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6/2018)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6/4/2014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L + 12.00%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PIK)</w:t>
            </w:r>
          </w:p>
        </w:tc>
        <w:tc>
          <w:tcPr>
            <w:tcW w:w="940" w:type="dxa"/>
            <w:vAlign w:val="bottom"/>
          </w:tcPr>
          <w:p>
            <w:pPr>
              <w:jc w:val="right"/>
              <w:spacing w:after="0"/>
              <w:rPr>
                <w:sz w:val="20"/>
                <w:szCs w:val="20"/>
                <w:color w:val="auto"/>
              </w:rPr>
            </w:pPr>
            <w:r>
              <w:rPr>
                <w:rFonts w:ascii="Arial" w:cs="Arial" w:eastAsia="Arial" w:hAnsi="Arial"/>
                <w:sz w:val="18"/>
                <w:szCs w:val="18"/>
                <w:color w:val="auto"/>
              </w:rPr>
              <w:t>51,078</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33,885</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0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61,532</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23"/>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Secured note ($74,950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10/2020)</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10/5/2015</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74,184</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74,575</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11"/>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00" w:type="dxa"/>
            <w:vAlign w:val="bottom"/>
          </w:tcPr>
          <w:p>
            <w:pPr>
              <w:ind w:left="380"/>
              <w:spacing w:after="0"/>
              <w:rPr>
                <w:sz w:val="20"/>
                <w:szCs w:val="20"/>
                <w:color w:val="auto"/>
              </w:rPr>
            </w:pPr>
            <w:r>
              <w:rPr>
                <w:rFonts w:ascii="Arial" w:cs="Arial" w:eastAsia="Arial" w:hAnsi="Arial"/>
                <w:sz w:val="18"/>
                <w:szCs w:val="18"/>
                <w:b w:val="1"/>
                <w:bCs w:val="1"/>
                <w:color w:val="auto"/>
              </w:rPr>
              <w:t>products</w:t>
            </w:r>
          </w:p>
        </w:tc>
        <w:tc>
          <w:tcPr>
            <w:tcW w:w="2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($23,918 par,</w:t>
            </w:r>
          </w:p>
        </w:tc>
        <w:tc>
          <w:tcPr>
            <w:tcW w:w="1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9/2020)</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9/30/2015</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L + 7.25%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23,652</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23,858</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Destination Maternity</w:t>
            </w:r>
          </w:p>
        </w:tc>
        <w:tc>
          <w:tcPr>
            <w:tcW w:w="2260" w:type="dxa"/>
            <w:vAlign w:val="bottom"/>
          </w:tcPr>
          <w:p>
            <w:pPr>
              <w:ind w:left="60"/>
              <w:spacing w:after="0"/>
              <w:rPr>
                <w:sz w:val="20"/>
                <w:szCs w:val="20"/>
                <w:color w:val="auto"/>
              </w:rPr>
            </w:pPr>
            <w:r>
              <w:rPr>
                <w:rFonts w:ascii="Arial" w:cs="Arial" w:eastAsia="Arial" w:hAnsi="Arial"/>
                <w:sz w:val="18"/>
                <w:szCs w:val="18"/>
                <w:color w:val="auto"/>
              </w:rPr>
              <w:t>ABL FILO term loan</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0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rPr>
              <w:t>($17,371 par, due 3/2021)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3/25/2016</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L + 7.50%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940" w:type="dxa"/>
            <w:vAlign w:val="bottom"/>
          </w:tcPr>
          <w:p>
            <w:pPr>
              <w:jc w:val="right"/>
              <w:spacing w:after="0"/>
              <w:rPr>
                <w:sz w:val="20"/>
                <w:szCs w:val="20"/>
                <w:color w:val="auto"/>
              </w:rPr>
            </w:pPr>
            <w:r>
              <w:rPr>
                <w:rFonts w:ascii="Arial" w:cs="Arial" w:eastAsia="Arial" w:hAnsi="Arial"/>
                <w:sz w:val="18"/>
                <w:szCs w:val="18"/>
                <w:color w:val="auto"/>
              </w:rPr>
              <w:t>17,013</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17,328</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432"/>
        </w:trPr>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F-13</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7"/>
              </w:rPr>
              <w:t>ABL FILO term loan ($50,000</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par, due 3/2019)</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10/3/2016</w:t>
            </w:r>
          </w:p>
        </w:tc>
        <w:tc>
          <w:tcPr>
            <w:tcW w:w="11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L + 7.00%</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48,736</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49,125</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w w:val="96"/>
              </w:rPr>
              <w:t xml:space="preserve">Quiksilver - Boardriders SA </w:t>
            </w:r>
            <w:r>
              <w:rPr>
                <w:rFonts w:ascii="Arial" w:cs="Arial" w:eastAsia="Arial" w:hAnsi="Arial"/>
                <w:sz w:val="15"/>
                <w:szCs w:val="15"/>
                <w:color w:val="auto"/>
                <w:w w:val="96"/>
              </w:rPr>
              <w:t>(11)</w:t>
            </w:r>
          </w:p>
        </w:tc>
        <w:tc>
          <w:tcPr>
            <w:tcW w:w="2400" w:type="dxa"/>
            <w:vAlign w:val="bottom"/>
          </w:tcPr>
          <w:p>
            <w:pPr>
              <w:ind w:left="80"/>
              <w:spacing w:after="0"/>
              <w:rPr>
                <w:sz w:val="20"/>
                <w:szCs w:val="20"/>
                <w:color w:val="auto"/>
              </w:rPr>
            </w:pPr>
            <w:r>
              <w:rPr>
                <w:rFonts w:ascii="Arial" w:cs="Arial" w:eastAsia="Arial" w:hAnsi="Arial"/>
                <w:sz w:val="18"/>
                <w:szCs w:val="18"/>
                <w:color w:val="auto"/>
              </w:rPr>
              <w:t>Bond (EUR 5,699 par,</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due 12/2020)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5/26/2015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9.50%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960" w:type="dxa"/>
            <w:vAlign w:val="bottom"/>
          </w:tcPr>
          <w:p>
            <w:pPr>
              <w:jc w:val="right"/>
              <w:spacing w:after="0"/>
              <w:rPr>
                <w:sz w:val="20"/>
                <w:szCs w:val="20"/>
                <w:color w:val="auto"/>
              </w:rPr>
            </w:pPr>
            <w:r>
              <w:rPr>
                <w:rFonts w:ascii="Arial" w:cs="Arial" w:eastAsia="Arial" w:hAnsi="Arial"/>
                <w:sz w:val="18"/>
                <w:szCs w:val="18"/>
                <w:color w:val="auto"/>
              </w:rPr>
              <w:t>6,036</w:t>
            </w:r>
          </w:p>
        </w:tc>
        <w:tc>
          <w:tcPr>
            <w:tcW w:w="1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(EUR 4,901)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(3)(4)(11)</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First-lien loan ($3,642 par,</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due 6/2018)</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1/28/2016</w:t>
            </w:r>
          </w:p>
        </w:tc>
        <w:tc>
          <w:tcPr>
            <w:tcW w:w="11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L + 4.50%</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First-lien ABL loan ($22,727</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par, due 7/2020)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3/18/2016</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L + 7.50%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960" w:type="dxa"/>
            <w:vAlign w:val="bottom"/>
          </w:tcPr>
          <w:p>
            <w:pPr>
              <w:jc w:val="right"/>
              <w:spacing w:after="0"/>
              <w:rPr>
                <w:sz w:val="20"/>
                <w:szCs w:val="20"/>
                <w:color w:val="auto"/>
              </w:rPr>
            </w:pPr>
            <w:r>
              <w:rPr>
                <w:rFonts w:ascii="Arial" w:cs="Arial" w:eastAsia="Arial" w:hAnsi="Arial"/>
                <w:sz w:val="18"/>
                <w:szCs w:val="18"/>
                <w:color w:val="auto"/>
              </w:rPr>
              <w:t>22,143</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22,727</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7"/>
              </w:rPr>
              <w:t>ABL FILO term loan ($25,500</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5"/>
                <w:szCs w:val="15"/>
                <w:color w:val="auto"/>
              </w:rPr>
              <w:t>(11)</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par, due 10/2019)</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10/9/2014</w:t>
            </w:r>
          </w:p>
        </w:tc>
        <w:tc>
          <w:tcPr>
            <w:tcW w:w="11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L + 7.25%</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25,118</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146,386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146,813</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Transportation</w:t>
            </w:r>
          </w:p>
        </w:tc>
        <w:tc>
          <w:tcPr>
            <w:tcW w:w="24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(3)(11)</w:t>
            </w:r>
          </w:p>
        </w:tc>
        <w:tc>
          <w:tcPr>
            <w:tcW w:w="2400" w:type="dxa"/>
            <w:vAlign w:val="bottom"/>
          </w:tcPr>
          <w:p>
            <w:pPr>
              <w:ind w:left="80"/>
              <w:spacing w:after="0"/>
              <w:rPr>
                <w:sz w:val="20"/>
                <w:szCs w:val="20"/>
                <w:color w:val="auto"/>
              </w:rPr>
            </w:pPr>
            <w:r>
              <w:rPr>
                <w:rFonts w:ascii="Arial" w:cs="Arial" w:eastAsia="Arial" w:hAnsi="Arial"/>
                <w:sz w:val="18"/>
                <w:szCs w:val="18"/>
                <w:color w:val="auto"/>
              </w:rPr>
              <w:t>First-lien loan ($12,878 par,</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due 1/2019)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3/17/2015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L + 3.50%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960" w:type="dxa"/>
            <w:vAlign w:val="bottom"/>
          </w:tcPr>
          <w:p>
            <w:pPr>
              <w:jc w:val="right"/>
              <w:spacing w:after="0"/>
              <w:rPr>
                <w:sz w:val="20"/>
                <w:szCs w:val="20"/>
                <w:color w:val="auto"/>
              </w:rPr>
            </w:pPr>
            <w:r>
              <w:rPr>
                <w:rFonts w:ascii="Arial" w:cs="Arial" w:eastAsia="Arial" w:hAnsi="Arial"/>
                <w:sz w:val="18"/>
                <w:szCs w:val="18"/>
                <w:color w:val="auto"/>
              </w:rPr>
              <w:t>12,342</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12,610</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24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4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1,627,465</w:t>
            </w:r>
          </w:p>
        </w:tc>
        <w:tc>
          <w:tcPr>
            <w:tcW w:w="1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1,629,836</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4"/>
              </w:rPr>
              <w:t>Equity and Other Investments</w:t>
            </w:r>
          </w:p>
        </w:tc>
        <w:tc>
          <w:tcPr>
            <w:tcW w:w="2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Chemicals</w:t>
            </w:r>
          </w:p>
        </w:tc>
        <w:tc>
          <w:tcPr>
            <w:tcW w:w="2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Units (2,672,990</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10/31/2016</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0"/>
        </w:trPr>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Series E Preferred Equity</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(214,132 shares)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8/7/2015</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(13)</w:t>
            </w:r>
          </w:p>
        </w:tc>
        <w:tc>
          <w:tcPr>
            <w:tcW w:w="2400" w:type="dxa"/>
            <w:vAlign w:val="bottom"/>
          </w:tcPr>
          <w:p>
            <w:pPr>
              <w:ind w:left="80"/>
              <w:spacing w:after="0"/>
              <w:rPr>
                <w:sz w:val="20"/>
                <w:szCs w:val="20"/>
                <w:color w:val="auto"/>
              </w:rPr>
            </w:pPr>
            <w:r>
              <w:rPr>
                <w:rFonts w:ascii="Arial" w:cs="Arial" w:eastAsia="Arial" w:hAnsi="Arial"/>
                <w:sz w:val="18"/>
                <w:szCs w:val="18"/>
                <w:color w:val="auto"/>
              </w:rPr>
              <w:t>Non-Voting Preferred Units</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(774,099 units)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9/12/2013</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(4)(12)</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Shares (995,419</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8/5/2015</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6,673</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11,299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12,678</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4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2400" w:type="dxa"/>
            <w:vAlign w:val="bottom"/>
          </w:tcPr>
          <w:p>
            <w:pPr>
              <w:ind w:left="80"/>
              <w:spacing w:after="0"/>
              <w:rPr>
                <w:sz w:val="20"/>
                <w:szCs w:val="20"/>
                <w:color w:val="auto"/>
              </w:rPr>
            </w:pPr>
            <w:r>
              <w:rPr>
                <w:rFonts w:ascii="Arial" w:cs="Arial" w:eastAsia="Arial" w:hAnsi="Arial"/>
                <w:sz w:val="18"/>
                <w:szCs w:val="18"/>
                <w:color w:val="auto"/>
                <w:w w:val="94"/>
              </w:rPr>
              <w:t>Common Shares Class A (358</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(13)</w:t>
            </w:r>
          </w:p>
        </w:tc>
        <w:tc>
          <w:tcPr>
            <w:tcW w:w="2400" w:type="dxa"/>
            <w:vAlign w:val="bottom"/>
          </w:tcPr>
          <w:p>
            <w:pPr>
              <w:ind w:left="80"/>
              <w:spacing w:after="0"/>
              <w:rPr>
                <w:sz w:val="20"/>
                <w:szCs w:val="20"/>
                <w:color w:val="auto"/>
              </w:rPr>
            </w:pPr>
            <w:r>
              <w:rPr>
                <w:rFonts w:ascii="Arial" w:cs="Arial" w:eastAsia="Arial" w:hAnsi="Arial"/>
                <w:sz w:val="18"/>
                <w:szCs w:val="18"/>
                <w:color w:val="auto"/>
              </w:rPr>
              <w:t>shares)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3/11/2014</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42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4"/>
              </w:rPr>
              <w:t>Common Shares Class B (196</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3/11/2014</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(4)(13)</w:t>
            </w:r>
          </w:p>
        </w:tc>
        <w:tc>
          <w:tcPr>
            <w:tcW w:w="2400" w:type="dxa"/>
            <w:vAlign w:val="bottom"/>
          </w:tcPr>
          <w:p>
            <w:pPr>
              <w:ind w:left="80"/>
              <w:spacing w:after="0"/>
              <w:rPr>
                <w:sz w:val="20"/>
                <w:szCs w:val="20"/>
                <w:color w:val="auto"/>
              </w:rPr>
            </w:pPr>
            <w:r>
              <w:rPr>
                <w:rFonts w:ascii="Arial" w:cs="Arial" w:eastAsia="Arial" w:hAnsi="Arial"/>
                <w:sz w:val="18"/>
                <w:szCs w:val="18"/>
                <w:color w:val="auto"/>
              </w:rPr>
              <w:t>Warrants</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9/30/2014</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(EUR 648)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Shares Class A</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(1,980 shares)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12/28/2012</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Common Shares Class B</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(2,953,020 shares)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12/28/2012</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23"/>
        </w:trPr>
        <w:tc>
          <w:tcPr>
            <w:tcW w:w="2420" w:type="dxa"/>
            <w:vAlign w:val="bottom"/>
          </w:tcPr>
          <w:p>
            <w:pPr>
              <w:ind w:left="260"/>
              <w:spacing w:after="0"/>
              <w:rPr>
                <w:sz w:val="20"/>
                <w:szCs w:val="20"/>
                <w:color w:val="auto"/>
              </w:rPr>
            </w:pPr>
            <w:r>
              <w:rPr>
                <w:rFonts w:ascii="Arial" w:cs="Arial" w:eastAsia="Arial" w:hAnsi="Arial"/>
                <w:sz w:val="18"/>
                <w:szCs w:val="18"/>
                <w:b w:val="1"/>
                <w:bCs w:val="1"/>
                <w:color w:val="auto"/>
                <w:w w:val="95"/>
              </w:rPr>
              <w:t>Hotel, gaming, and leisure</w:t>
            </w:r>
          </w:p>
        </w:tc>
        <w:tc>
          <w:tcPr>
            <w:tcW w:w="2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Class A Units (5,000,000</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9/29/2015</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Class C-1 Units (8,800,000</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units)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9/29/2015</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5"/>
        </w:trPr>
        <w:tc>
          <w:tcPr>
            <w:tcW w:w="242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2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2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Mississippi Resources, LLC </w:t>
            </w:r>
            <w:r>
              <w:rPr>
                <w:rFonts w:ascii="Arial" w:cs="Arial" w:eastAsia="Arial" w:hAnsi="Arial"/>
                <w:sz w:val="15"/>
                <w:szCs w:val="15"/>
                <w:color w:val="auto"/>
                <w:w w:val="98"/>
              </w:rPr>
              <w:t>(7)</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Class A Member Units (933</w:t>
            </w:r>
          </w:p>
        </w:tc>
        <w:tc>
          <w:tcPr>
            <w:tcW w:w="1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5"/>
                <w:szCs w:val="15"/>
                <w:color w:val="auto"/>
              </w:rPr>
              <w:t>(13)</w:t>
            </w:r>
          </w:p>
        </w:tc>
        <w:tc>
          <w:tcPr>
            <w:tcW w:w="2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6/4/2014</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432"/>
        </w:trPr>
        <w:tc>
          <w:tcPr>
            <w:tcW w:w="2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F-14</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38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2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Oak Hill Credit Partners VIII,</w:t>
            </w:r>
          </w:p>
        </w:tc>
        <w:tc>
          <w:tcPr>
            <w:tcW w:w="23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Structured Product (Class F</w:t>
            </w:r>
          </w:p>
        </w:tc>
        <w:tc>
          <w:tcPr>
            <w:tcW w:w="1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Ltd. </w:t>
            </w:r>
            <w:r>
              <w:rPr>
                <w:rFonts w:ascii="Arial" w:cs="Arial" w:eastAsia="Arial" w:hAnsi="Arial"/>
                <w:sz w:val="15"/>
                <w:szCs w:val="15"/>
                <w:color w:val="auto"/>
              </w:rPr>
              <w:t>(4)(6)(11)</w:t>
            </w:r>
          </w:p>
        </w:tc>
        <w:tc>
          <w:tcPr>
            <w:tcW w:w="2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 + 5.50%</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w w:val="99"/>
              </w:rPr>
              <w:t xml:space="preserve">Symphony CLO XV, Ltd. </w:t>
            </w:r>
            <w:r>
              <w:rPr>
                <w:rFonts w:ascii="Arial" w:cs="Arial" w:eastAsia="Arial" w:hAnsi="Arial"/>
                <w:sz w:val="15"/>
                <w:szCs w:val="15"/>
                <w:color w:val="auto"/>
                <w:w w:val="99"/>
              </w:rPr>
              <w:t>(4)(6)</w:t>
            </w:r>
          </w:p>
        </w:tc>
        <w:tc>
          <w:tcPr>
            <w:tcW w:w="2340" w:type="dxa"/>
            <w:vAlign w:val="bottom"/>
          </w:tcPr>
          <w:p>
            <w:pPr>
              <w:ind w:left="120"/>
              <w:spacing w:after="0"/>
              <w:rPr>
                <w:sz w:val="20"/>
                <w:szCs w:val="20"/>
                <w:color w:val="auto"/>
              </w:rPr>
            </w:pPr>
            <w:r>
              <w:rPr>
                <w:rFonts w:ascii="Arial" w:cs="Arial" w:eastAsia="Arial" w:hAnsi="Arial"/>
                <w:sz w:val="18"/>
                <w:szCs w:val="18"/>
                <w:color w:val="auto"/>
                <w:w w:val="99"/>
              </w:rPr>
              <w:t>Structured Product (Class F</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5"/>
                <w:szCs w:val="15"/>
                <w:color w:val="auto"/>
              </w:rPr>
              <w:t>(11)</w:t>
            </w:r>
          </w:p>
        </w:tc>
        <w:tc>
          <w:tcPr>
            <w:tcW w:w="2340" w:type="dxa"/>
            <w:vAlign w:val="bottom"/>
          </w:tcPr>
          <w:p>
            <w:pPr>
              <w:ind w:left="120"/>
              <w:spacing w:after="0"/>
              <w:rPr>
                <w:sz w:val="20"/>
                <w:szCs w:val="20"/>
                <w:color w:val="auto"/>
              </w:rPr>
            </w:pPr>
            <w:r>
              <w:rPr>
                <w:rFonts w:ascii="Arial" w:cs="Arial" w:eastAsia="Arial" w:hAnsi="Arial"/>
                <w:sz w:val="18"/>
                <w:szCs w:val="18"/>
                <w:color w:val="auto"/>
              </w:rPr>
              <w:t>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11/17/2014</w:t>
            </w:r>
          </w:p>
        </w:tc>
        <w:tc>
          <w:tcPr>
            <w:tcW w:w="1200" w:type="dxa"/>
            <w:vAlign w:val="bottom"/>
          </w:tcPr>
          <w:p>
            <w:pPr>
              <w:ind w:left="100"/>
              <w:spacing w:after="0"/>
              <w:rPr>
                <w:sz w:val="20"/>
                <w:szCs w:val="20"/>
                <w:color w:val="auto"/>
              </w:rPr>
            </w:pPr>
            <w:r>
              <w:rPr>
                <w:rFonts w:ascii="Arial" w:cs="Arial" w:eastAsia="Arial" w:hAnsi="Arial"/>
                <w:sz w:val="18"/>
                <w:szCs w:val="18"/>
                <w:color w:val="auto"/>
              </w:rPr>
              <w:t>L + 5.75%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5,360</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238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3"/>
        </w:trPr>
        <w:tc>
          <w:tcPr>
            <w:tcW w:w="238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05"/>
        </w:trPr>
        <w:tc>
          <w:tcPr>
            <w:tcW w:w="23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2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27,567</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3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1,667,687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1,657,403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173.8</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70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w w:val="98"/>
              </w:rPr>
              <w:t>Interest Rate Swaps as of December 31, 2016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4"/>
              </w:rPr>
              <w:t>Upfront</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19"/>
              <w:spacing w:after="0" w:line="133"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 xml:space="preserve">Company Receives </w:t>
            </w:r>
            <w:r>
              <w:rPr>
                <w:rFonts w:ascii="Arial" w:cs="Arial" w:eastAsia="Arial" w:hAnsi="Arial"/>
                <w:sz w:val="12"/>
                <w:szCs w:val="12"/>
                <w:b w:val="1"/>
                <w:bCs w:val="1"/>
                <w:color w:val="auto"/>
                <w:w w:val="91"/>
              </w:rPr>
              <w:t>(a)</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xml:space="preserve">Company Pays </w:t>
            </w:r>
            <w:r>
              <w:rPr>
                <w:rFonts w:ascii="Arial" w:cs="Arial" w:eastAsia="Arial" w:hAnsi="Arial"/>
                <w:sz w:val="12"/>
                <w:szCs w:val="12"/>
                <w:b w:val="1"/>
                <w:bCs w:val="1"/>
                <w:color w:val="auto"/>
                <w:w w:val="92"/>
              </w:rPr>
              <w:t>(a)</w:t>
            </w:r>
          </w:p>
        </w:tc>
        <w:tc>
          <w:tcPr>
            <w:tcW w:w="240" w:type="dxa"/>
            <w:vAlign w:val="bottom"/>
          </w:tcPr>
          <w:p>
            <w:pPr>
              <w:spacing w:after="0"/>
              <w:rPr>
                <w:sz w:val="12"/>
                <w:szCs w:val="12"/>
                <w:color w:val="auto"/>
              </w:rPr>
            </w:pPr>
          </w:p>
        </w:tc>
        <w:tc>
          <w:tcPr>
            <w:tcW w:w="140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Maturity Date</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Payments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Receipts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1.16%</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Interest rate swap</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L + 2.86%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040" w:hanging="519"/>
        <w:spacing w:after="0"/>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30" w:lineRule="exact"/>
        <w:rPr>
          <w:rFonts w:ascii="Arial" w:cs="Arial" w:eastAsia="Arial" w:hAnsi="Arial"/>
          <w:sz w:val="18"/>
          <w:szCs w:val="18"/>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2016.</w:t>
      </w:r>
    </w:p>
    <w:p>
      <w:pPr>
        <w:spacing w:after="0" w:line="2" w:lineRule="exact"/>
        <w:rPr>
          <w:rFonts w:ascii="Arial" w:cs="Arial" w:eastAsia="Arial" w:hAnsi="Arial"/>
          <w:sz w:val="18"/>
          <w:szCs w:val="18"/>
          <w:color w:val="auto"/>
        </w:rPr>
      </w:pPr>
    </w:p>
    <w:p>
      <w:pPr>
        <w:ind w:left="520" w:right="120" w:hanging="512"/>
        <w:spacing w:after="0" w:line="250"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12.3% of total assets as of December 31, 2016.</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7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040" w:right="260" w:hanging="519"/>
        <w:spacing w:after="0" w:line="258"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360" w:hanging="519"/>
        <w:spacing w:after="0" w:line="261"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2016, the tax cost of the Company’s investments approximates the amortized cost.</w:t>
      </w:r>
    </w:p>
    <w:p>
      <w:pPr>
        <w:spacing w:after="0" w:line="2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 on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6" w:name="page97"/>
    <w:bookmarkEnd w:id="96"/>
    <w:p>
      <w:pPr>
        <w:ind w:left="512" w:right="40" w:hanging="512"/>
        <w:spacing w:after="0" w:line="256" w:lineRule="auto"/>
        <w:tabs>
          <w:tab w:leader="none" w:pos="5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ind w:left="512" w:hanging="512"/>
        <w:spacing w:after="0" w:line="250" w:lineRule="auto"/>
        <w:tabs>
          <w:tab w:leader="none" w:pos="5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12" w:hanging="512"/>
        <w:spacing w:after="0" w:line="250" w:lineRule="auto"/>
        <w:tabs>
          <w:tab w:leader="none" w:pos="5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21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34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December 31, 2016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2015</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investment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120,259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107,333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95,298</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(28,568)</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realized losses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(13,945)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(3,162)</w:t>
            </w:r>
          </w:p>
        </w:tc>
      </w:tr>
      <w:tr>
        <w:trPr>
          <w:trHeight w:val="223"/>
        </w:trPr>
        <w:tc>
          <w:tcPr>
            <w:tcW w:w="5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80" w:type="dxa"/>
            <w:vAlign w:val="bottom"/>
            <w:tcBorders>
              <w:top w:val="single" w:sz="8" w:color="CFF0FC"/>
            </w:tcBorders>
            <w:shd w:val="clear" w:color="auto" w:fill="CFF0FC"/>
          </w:tcPr>
          <w:p>
            <w:pPr>
              <w:spacing w:after="0"/>
              <w:rPr>
                <w:sz w:val="19"/>
                <w:szCs w:val="19"/>
                <w:color w:val="auto"/>
              </w:rPr>
            </w:pPr>
          </w:p>
        </w:tc>
      </w:tr>
      <w:tr>
        <w:trPr>
          <w:trHeight w:val="205"/>
        </w:trPr>
        <w:tc>
          <w:tcPr>
            <w:tcW w:w="548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80" w:type="dxa"/>
            <w:vAlign w:val="bottom"/>
          </w:tcPr>
          <w:p>
            <w:pPr>
              <w:ind w:left="140"/>
              <w:spacing w:after="0"/>
              <w:rPr>
                <w:sz w:val="20"/>
                <w:szCs w:val="20"/>
                <w:color w:val="auto"/>
              </w:rPr>
            </w:pPr>
            <w:r>
              <w:rPr>
                <w:rFonts w:ascii="Arial" w:cs="Arial" w:eastAsia="Arial" w:hAnsi="Arial"/>
                <w:sz w:val="18"/>
                <w:szCs w:val="18"/>
                <w:b w:val="1"/>
                <w:bCs w:val="1"/>
                <w:color w:val="auto"/>
              </w:rPr>
              <w:t>Capital Share Transactions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Issuance of convertible notes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Reinvestment of dividends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net investment income</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(92,027)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(82,777)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(62,332)</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(21,966)</w:t>
            </w:r>
          </w:p>
        </w:tc>
      </w:tr>
      <w:tr>
        <w:trPr>
          <w:trHeight w:val="205"/>
        </w:trPr>
        <w:tc>
          <w:tcPr>
            <w:tcW w:w="548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Decrease in Net Assets Resulting from Capital Share</w:t>
            </w:r>
          </w:p>
        </w:tc>
        <w:tc>
          <w:tcPr>
            <w:tcW w:w="6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Transactions</w:t>
            </w: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(94,537)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(5,536)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(78,232)</w:t>
            </w:r>
          </w:p>
        </w:tc>
      </w:tr>
      <w:tr>
        <w:trPr>
          <w:trHeight w:val="223"/>
        </w:trPr>
        <w:tc>
          <w:tcPr>
            <w:tcW w:w="5480" w:type="dxa"/>
            <w:vAlign w:val="bottom"/>
          </w:tcPr>
          <w:p>
            <w:pPr>
              <w:ind w:left="260"/>
              <w:spacing w:after="0"/>
              <w:rPr>
                <w:sz w:val="20"/>
                <w:szCs w:val="20"/>
                <w:color w:val="auto"/>
              </w:rPr>
            </w:pPr>
            <w:r>
              <w:rPr>
                <w:rFonts w:ascii="Arial" w:cs="Arial" w:eastAsia="Arial" w:hAnsi="Arial"/>
                <w:sz w:val="18"/>
                <w:szCs w:val="18"/>
                <w:b w:val="1"/>
                <w:bCs w:val="1"/>
                <w:color w:val="auto"/>
              </w:rPr>
              <w:t>Total Increase (Decrease) in Net Assets</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(14,664)</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assets, beginning of period</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80" w:type="dxa"/>
            <w:vAlign w:val="bottom"/>
            <w:shd w:val="clear" w:color="auto" w:fill="CFF0FC"/>
          </w:tcPr>
          <w:p>
            <w:pPr>
              <w:spacing w:after="0"/>
              <w:rPr>
                <w:sz w:val="19"/>
                <w:szCs w:val="19"/>
                <w:color w:val="auto"/>
              </w:rPr>
            </w:pPr>
          </w:p>
        </w:tc>
      </w:tr>
      <w:tr>
        <w:trPr>
          <w:trHeight w:val="263"/>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6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820,741</w:t>
            </w:r>
          </w:p>
        </w:tc>
        <w:tc>
          <w:tcPr>
            <w:tcW w:w="80" w:type="dxa"/>
            <w:vAlign w:val="bottom"/>
            <w:tcBorders>
              <w:bottom w:val="single" w:sz="8" w:color="CFF0FC"/>
            </w:tcBorders>
          </w:tcPr>
          <w:p>
            <w:pPr>
              <w:spacing w:after="0"/>
              <w:rPr>
                <w:sz w:val="22"/>
                <w:szCs w:val="22"/>
                <w:color w:val="auto"/>
              </w:rPr>
            </w:pPr>
          </w:p>
        </w:tc>
      </w:tr>
      <w:tr>
        <w:trPr>
          <w:trHeight w:val="192"/>
        </w:trPr>
        <w:tc>
          <w:tcPr>
            <w:tcW w:w="548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Undistributed Net Investment Income Included in Net</w:t>
            </w: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54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Assets at the End of the Period</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27,521</w:t>
            </w:r>
          </w:p>
        </w:tc>
        <w:tc>
          <w:tcPr>
            <w:tcW w:w="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2015</w:t>
            </w: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111,609</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137,007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63,568</w:t>
            </w:r>
          </w:p>
        </w:tc>
        <w:tc>
          <w:tcPr>
            <w:tcW w:w="100" w:type="dxa"/>
            <w:vAlign w:val="bottom"/>
          </w:tcPr>
          <w:p>
            <w:pPr>
              <w:spacing w:after="0"/>
              <w:rPr>
                <w:sz w:val="19"/>
                <w:szCs w:val="19"/>
                <w:color w:val="auto"/>
              </w:rPr>
            </w:pPr>
          </w:p>
        </w:tc>
      </w:tr>
      <w:tr>
        <w:trPr>
          <w:trHeight w:val="215"/>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(17,758)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(33,682)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34,225</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(6,275)</w:t>
            </w: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investments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(1,851)</w:t>
            </w: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(29,606)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(15,624)</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(12,729)</w:t>
            </w: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Amortization of discount on Convertible Senior Notes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(1,027,978)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(720,728)</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(757,295)</w:t>
            </w: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39,077</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474,483</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(6,206)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(5,410)</w:t>
            </w: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(3,725)</w:t>
            </w: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(298)</w:t>
            </w: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(10,660)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(1,040)</w:t>
            </w: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w:t>
            </w: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(27,378)</w:t>
            </w:r>
          </w:p>
        </w:tc>
      </w:tr>
      <w:tr>
        <w:trPr>
          <w:trHeight w:val="223"/>
        </w:trPr>
        <w:tc>
          <w:tcPr>
            <w:tcW w:w="6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1,188,532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847,547</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Repayments on debt</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(1,171,592)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(533,772)</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(584,481)</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(1,452)</w:t>
            </w:r>
          </w:p>
        </w:tc>
      </w:tr>
      <w:tr>
        <w:trPr>
          <w:trHeight w:val="215"/>
        </w:trPr>
        <w:tc>
          <w:tcPr>
            <w:tcW w:w="650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underwriting costs</w:t>
            </w:r>
          </w:p>
        </w:tc>
        <w:tc>
          <w:tcPr>
            <w:tcW w:w="1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(94,695)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(80,291)</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(78,063)</w:t>
            </w:r>
          </w:p>
        </w:tc>
      </w:tr>
      <w:tr>
        <w:trPr>
          <w:trHeight w:val="223"/>
        </w:trPr>
        <w:tc>
          <w:tcPr>
            <w:tcW w:w="6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shd w:val="clear" w:color="auto" w:fill="CFF0FC"/>
          </w:tcPr>
          <w:p>
            <w:pPr>
              <w:spacing w:after="0"/>
              <w:rPr>
                <w:sz w:val="19"/>
                <w:szCs w:val="19"/>
                <w:color w:val="auto"/>
              </w:rPr>
            </w:pPr>
          </w:p>
        </w:tc>
      </w:tr>
      <w:tr>
        <w:trPr>
          <w:trHeight w:val="263"/>
        </w:trPr>
        <w:tc>
          <w:tcPr>
            <w:tcW w:w="6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21,148</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22,008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105,051</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92,794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84,297</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0" w:name="page101"/>
    <w:bookmarkEnd w:id="100"/>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2017,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1" w:name="page102"/>
    <w:bookmarkEnd w:id="101"/>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The Company records expenses related to initial registration statement filings and applicable offering costs as deferred financing costs in other assets and a portion of these expenses are charged as a reduction of capital upon completion of an offering of registered securities. The costs associated with subsequent renewals of the Company’s shelf registration statement are expensed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8"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4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03" w:name="page104"/>
    <w:bookmarkEnd w:id="103"/>
    <w:p>
      <w:pPr>
        <w:ind w:right="40" w:firstLine="259"/>
        <w:spacing w:after="0" w:line="290" w:lineRule="auto"/>
        <w:rPr>
          <w:sz w:val="20"/>
          <w:szCs w:val="20"/>
          <w:color w:val="auto"/>
        </w:rPr>
      </w:pPr>
      <w:r>
        <w:rPr>
          <w:rFonts w:ascii="Arial" w:cs="Arial" w:eastAsia="Arial" w:hAnsi="Arial"/>
          <w:sz w:val="16"/>
          <w:szCs w:val="16"/>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2017, the Company did not have any uncertain tax positions that met the recognition or measurement criteria, nor did the Company have any unrecognized tax benefits. Conclusions regarding tax positions are subject to review and may be adjusted at a later date based on factors including on-going analyses of tax laws, regulations and interpretations thereof. The Company’s 2016, 2015 and 2014 tax year returns remain subject to examination by the relevant federal, state, and local tax authorities.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2017</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(“ASU 2016-18”), “Statement of Cash Flows (Topic 230) - 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adopted this guidance during the quarter ended March 31, 2017 and adjusted the prior period consolidated statement of cash flows to reflect the 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expects that the adoption of this guidance will not have a material impact on the Company’s financial position, results of operations or cash flows.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For the years ended December 31, 2017, 2016 and 2015, the Company incurred expenses of $3.5 million, $3.1 million and $3.6 million, respectively, for administrative services payable to the Adviser under the terms of the Administration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4" w:name="page105"/>
    <w:bookmarkEnd w:id="104"/>
    <w:p>
      <w:pPr>
        <w:ind w:right="320" w:firstLine="259"/>
        <w:spacing w:after="0" w:line="264" w:lineRule="auto"/>
        <w:rPr>
          <w:sz w:val="20"/>
          <w:szCs w:val="20"/>
          <w:color w:val="auto"/>
        </w:rPr>
      </w:pPr>
      <w:r>
        <w:rPr>
          <w:rFonts w:ascii="Arial" w:cs="Arial" w:eastAsia="Arial" w:hAnsi="Arial"/>
          <w:sz w:val="18"/>
          <w:szCs w:val="18"/>
          <w:color w:val="auto"/>
        </w:rPr>
        <w:t>On February 22, 2017, the Board of Directors of the Company and the Adviser entered into an amended and restated administration agreement (the “Amended and Restated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On November 7,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For the years ended December 31, 2017, 2016 and 2015, Management Fees were $24.3 million, $24.3 million and $21.3 million, respectively, of which less than $0.1 million, $0.1 million and $0.1 million were waived.</w:t>
      </w:r>
    </w:p>
    <w:p>
      <w:pPr>
        <w:spacing w:after="0" w:line="170"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For the periods ended December 31, 2016 and prior, the Adviser voluntarily waived the Management Fee on the Company’s ownership of shares of common stock in TICC Capital Corp.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addition, the Adviser has voluntarily waived the Management Fee on the Company’s ownership of shares of common stock in Triangle Capital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any period in which Triangle Capital Corp. remains the Company’s portfolio company.</w:t>
      </w:r>
    </w:p>
    <w:p>
      <w:pPr>
        <w:spacing w:after="0" w:line="21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For the year ended December 31, 2017, Management Fees of less than $0.1 million were waived consisting solely of Management Fees attributable to the Company’s ownership of the TCAP Shares. For the years ended December 31, 2016 and 2015, Management Fees of $0.1 million and $0.1 million, respectively, were waived consisting solely of Management Fees attributable to the Company’s ownership of the TICC Shares. Any waived Management Fees are not subject to recoupment by the Adviser.</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60" w:hanging="255"/>
        <w:spacing w:after="0" w:line="286" w:lineRule="auto"/>
        <w:tabs>
          <w:tab w:leader="none" w:pos="5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5" w:name="page106"/>
    <w:bookmarkEnd w:id="105"/>
    <w:p>
      <w:pPr>
        <w:ind w:right="20" w:firstLine="259"/>
        <w:spacing w:after="0" w:line="273" w:lineRule="auto"/>
        <w:rPr>
          <w:sz w:val="20"/>
          <w:szCs w:val="20"/>
          <w:color w:val="auto"/>
        </w:rPr>
      </w:pPr>
      <w:r>
        <w:rPr>
          <w:rFonts w:ascii="Arial" w:cs="Arial" w:eastAsia="Arial" w:hAnsi="Arial"/>
          <w:sz w:val="17"/>
          <w:szCs w:val="17"/>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70" w:lineRule="exact"/>
        <w:rPr>
          <w:sz w:val="20"/>
          <w:szCs w:val="20"/>
          <w:color w:val="auto"/>
        </w:rPr>
      </w:pPr>
    </w:p>
    <w:p>
      <w:pPr>
        <w:ind w:left="520" w:hanging="255"/>
        <w:spacing w:after="0" w:line="289" w:lineRule="auto"/>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jc w:val="both"/>
        <w:ind w:right="300" w:firstLine="259"/>
        <w:spacing w:after="0" w:line="342" w:lineRule="auto"/>
        <w:rPr>
          <w:sz w:val="20"/>
          <w:szCs w:val="20"/>
          <w:color w:val="auto"/>
        </w:rPr>
      </w:pPr>
      <w:r>
        <w:rPr>
          <w:rFonts w:ascii="Arial" w:cs="Arial" w:eastAsia="Arial" w:hAnsi="Arial"/>
          <w:sz w:val="16"/>
          <w:szCs w:val="16"/>
          <w:color w:val="auto"/>
        </w:rPr>
        <w:t>For the years ended December 31, 2017, 2016 and 2015, Incentive Fees were $25.5 million, $22.7 million and $20.2 million, respectively, all of which were realized and payable to the Adviser. For the years ended December 31, 2017, 2016 and 2015, no incentive fees were accrued related to capital gains.</w:t>
      </w:r>
    </w:p>
    <w:p>
      <w:pPr>
        <w:spacing w:after="0" w:line="124" w:lineRule="exact"/>
        <w:rPr>
          <w:sz w:val="20"/>
          <w:szCs w:val="20"/>
          <w:color w:val="auto"/>
        </w:rPr>
      </w:pPr>
    </w:p>
    <w:p>
      <w:pPr>
        <w:ind w:right="140" w:firstLine="259"/>
        <w:spacing w:after="0" w:line="302" w:lineRule="auto"/>
        <w:rPr>
          <w:sz w:val="20"/>
          <w:szCs w:val="20"/>
          <w:color w:val="auto"/>
        </w:rPr>
      </w:pPr>
      <w:r>
        <w:rPr>
          <w:rFonts w:ascii="Arial" w:cs="Arial" w:eastAsia="Arial" w:hAnsi="Arial"/>
          <w:sz w:val="16"/>
          <w:szCs w:val="16"/>
          <w:color w:val="auto"/>
        </w:rPr>
        <w:t>For the periods ended December 31, 2016 and prior, the Adviser voluntarily waived the Incentive Fees attributable to pre-Incentive Fee net investment income accrued by the Company as a result of its ownership of the TICC Shares. The Adviser did not waive any part of the Capital Gains Fee attributable to the Company’s ownership of the TICC Shares and, accordingly, any realized capital gains or losses and unrealized capital depreciation with respect to the TICC Shares apply against the Company’s cumulative realized capital gains on which the Capital Gains Fee is calculated.</w:t>
      </w:r>
    </w:p>
    <w:p>
      <w:pPr>
        <w:spacing w:after="0" w:line="154"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In addition, the Adviser has voluntarily waived the Incentive Fees attributable to pre-Incentive Fee net investment income accrued by the Company as a result of its ownership of the TCAP Shares for any period in which Triangle Capital Corp. remains the Company’s portfolio company. The Adviser has not waived any part of the Capital Gains Fee attributable to the Company’s ownership of the TCAP Shares and, accordingly, any realized capital gains or losses and unrealized capital depreciation with respect to the TCAP Shares will be applied against the Company’s cumulative realized capital gains on which the Capital Gains Fee is calculated.</w:t>
      </w:r>
    </w:p>
    <w:p>
      <w:pPr>
        <w:spacing w:after="0" w:line="188"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For the year ended December 31, 2017, Incentive Fees of less than $0.1 million were waived consisting solely of Incentive Fees attributable to the Company’s ownership of the TCAP Shares. For the years ended December 31, 2016 and 2015, Incentive Fees of $0.3 million and $0.2 million were waived, respectively, consisting solely of Incentive Fees attributable to the Company’s ownership of the TICC Shares. Any waived Incentive Fees are not subject to recoupment by the Adviser.</w:t>
      </w:r>
    </w:p>
    <w:p>
      <w:pPr>
        <w:spacing w:after="0" w:line="18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the TCAP Shares and TICC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80" w:firstLine="259"/>
        <w:spacing w:after="0" w:line="312" w:lineRule="auto"/>
        <w:rPr>
          <w:sz w:val="20"/>
          <w:szCs w:val="20"/>
          <w:color w:val="auto"/>
        </w:rPr>
      </w:pPr>
      <w:r>
        <w:rPr>
          <w:rFonts w:ascii="Arial" w:cs="Arial" w:eastAsia="Arial" w:hAnsi="Arial"/>
          <w:sz w:val="16"/>
          <w:szCs w:val="16"/>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ind w:right="14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December 31, 2017 and 2016:</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1,561,275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(2,062)</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(10,545)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(12,655)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60" w:hanging="512"/>
        <w:spacing w:after="0" w:line="277"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07" w:name="page108"/>
    <w:bookmarkEnd w:id="107"/>
    <w:p>
      <w:pPr>
        <w:ind w:left="260"/>
        <w:spacing w:after="0"/>
        <w:rPr>
          <w:sz w:val="20"/>
          <w:szCs w:val="20"/>
          <w:color w:val="auto"/>
        </w:rPr>
      </w:pPr>
      <w:r>
        <w:rPr>
          <w:rFonts w:ascii="Arial" w:cs="Arial" w:eastAsia="Arial" w:hAnsi="Arial"/>
          <w:sz w:val="18"/>
          <w:szCs w:val="18"/>
          <w:color w:val="auto"/>
        </w:rPr>
        <w:t>The industry composition of Investments at fair value at December 31, 2017 and 2016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Chemicals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Education</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Financial services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Insurance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Manufacturing</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Office products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2017 and 2016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40.6%</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London Interbank Offered Rate (“LIBOR”) plus 286 basis points. The swap transactions mature on December 15, 2019.</w:t>
      </w:r>
    </w:p>
    <w:p>
      <w:pPr>
        <w:spacing w:after="0" w:line="181"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In January 2017, in connection with a fixed rate investment, the Company entered into an interest rate swap transaction with a $33.3 million notional amount. On a net basis, the Company receives three-month LIBOR and pays fixed rate interest at 1.7225%. The swap transaction matures on January 10, 2020.</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557" w:right="479" w:bottom="1440" w:gutter="0" w:footer="0" w:header="0"/>
        </w:sectPr>
      </w:pPr>
    </w:p>
    <w:bookmarkStart w:id="108" w:name="page109"/>
    <w:bookmarkEnd w:id="108"/>
    <w:p>
      <w:pPr>
        <w:jc w:val="both"/>
        <w:ind w:right="20" w:firstLine="259"/>
        <w:spacing w:after="0" w:line="264" w:lineRule="auto"/>
        <w:rPr>
          <w:sz w:val="20"/>
          <w:szCs w:val="20"/>
          <w:color w:val="auto"/>
        </w:rPr>
      </w:pPr>
      <w:r>
        <w:rPr>
          <w:rFonts w:ascii="Arial" w:cs="Arial" w:eastAsia="Arial" w:hAnsi="Arial"/>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237.2 basis points. The swap transaction matures on August 1, 2022.</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December 31, 2017 and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1"/>
                <w:szCs w:val="11"/>
                <w:color w:val="auto"/>
              </w:rPr>
            </w:pPr>
          </w:p>
        </w:tc>
        <w:tc>
          <w:tcPr>
            <w:tcW w:w="11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2"/>
                <w:szCs w:val="12"/>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Account in the Consolidated Balance Sheets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Asset (Liability)</w:t>
            </w: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80" w:hanging="512"/>
        <w:spacing w:after="0" w:line="277"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 Consolidated Balance Sheets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80" w:hanging="512"/>
        <w:spacing w:after="0" w:line="277"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During the years ended December 31, 2017, and 2016, the Company received $5.2 million and $5.2 million, respectively, and paid $4.7 million and $4.1 million, respectively, related to the settlements of its $115 million notional amount interest rate swaps, which mature on December 15, 2019. The net amounts of these settlements are reductions to interest expense in the Company’s consolidated statements of operations.</w:t>
      </w:r>
    </w:p>
    <w:p>
      <w:pPr>
        <w:spacing w:after="0" w:line="166"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During the year ended December 31, 2017, the Company received $4.7 million and paid $3.8 million related to the settlement of its $115 million notional amount interest rate swap, which matures on August 1, 2022. The net amounts of these settlements are reductions to interest expense in the Company’s consolidated statements of operations.</w:t>
      </w:r>
    </w:p>
    <w:p>
      <w:pPr>
        <w:spacing w:after="0" w:line="181" w:lineRule="exact"/>
        <w:rPr>
          <w:sz w:val="20"/>
          <w:szCs w:val="20"/>
          <w:color w:val="auto"/>
        </w:rPr>
      </w:pPr>
    </w:p>
    <w:p>
      <w:pPr>
        <w:ind w:right="120" w:firstLine="259"/>
        <w:spacing w:after="0" w:line="286" w:lineRule="auto"/>
        <w:rPr>
          <w:sz w:val="20"/>
          <w:szCs w:val="20"/>
          <w:color w:val="auto"/>
        </w:rPr>
      </w:pPr>
      <w:r>
        <w:rPr>
          <w:rFonts w:ascii="Arial" w:cs="Arial" w:eastAsia="Arial" w:hAnsi="Arial"/>
          <w:sz w:val="17"/>
          <w:szCs w:val="17"/>
          <w:color w:val="auto"/>
        </w:rPr>
        <w:t>During the year ended December 31, 2017, and 2016, the Company received $1.0 million and $0.5 million, respectively, and paid $1.1 million and $1.1 million, respectively, related to the settlement of its $92.5 million notional amount interest rate swaps, which mature on October 5, 2018. The net amounts of these settlements are reductions to interest income in the Company’s consolidated statements of operations.</w:t>
      </w:r>
    </w:p>
    <w:p>
      <w:pPr>
        <w:spacing w:after="0" w:line="166" w:lineRule="exact"/>
        <w:rPr>
          <w:sz w:val="20"/>
          <w:szCs w:val="20"/>
          <w:color w:val="auto"/>
        </w:rPr>
      </w:pPr>
    </w:p>
    <w:p>
      <w:pPr>
        <w:ind w:right="560" w:firstLine="259"/>
        <w:spacing w:after="0" w:line="264" w:lineRule="auto"/>
        <w:rPr>
          <w:sz w:val="20"/>
          <w:szCs w:val="20"/>
          <w:color w:val="auto"/>
        </w:rPr>
      </w:pPr>
      <w:r>
        <w:rPr>
          <w:rFonts w:ascii="Arial" w:cs="Arial" w:eastAsia="Arial" w:hAnsi="Arial"/>
          <w:sz w:val="18"/>
          <w:szCs w:val="18"/>
          <w:color w:val="auto"/>
        </w:rPr>
        <w:t>During the year ended December 31, 2017, the Company received $2.5 million and paid $2.6 million, related to the settlements of its $33.3 million notional amount interest rate swap, which matures on January 10, 2020. The net amounts of these settlements are reductions to interest income in the Company’s consolidated statements of operations.</w:t>
      </w:r>
    </w:p>
    <w:p>
      <w:pPr>
        <w:spacing w:after="0" w:line="181"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For the years ended December 31, 2017 and 2016, the Company recognized ($1.0) million and ($0.3) million, respectively, in unrealized depreciation on interest rate swaps in the consolidated statement of operations related to the swap transactions. As of December 31, 2017, the swap transactions had a fair value of ($1.0) million which is netted against restricted cash collateral on the Company’s consolidated balance sheet. As of December 31, 2016, the swap transactions had a fair value of $0.1 million which is included in receivable for interest rate swaps on the Company’s consolidated balance sheet.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ind w:right="100" w:firstLine="259"/>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2017, $4.1 million of cash is pledged as collateral under the Company’s derivative instruments and is included in restricted cash as a component of cash and cash equivalents on the Company’s consolidated balance sheet. The Company also had $1.1 million of cash collateral posted as of December 31, 2016, which is also included in restricted cash as a component of cash and cash equivalents on the Company’s consolidated balance sheet.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2017 and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40" w:type="dxa"/>
            <w:vAlign w:val="bottom"/>
            <w:gridSpan w:val="7"/>
          </w:tcPr>
          <w:p>
            <w:pPr>
              <w:ind w:left="180"/>
              <w:spacing w:after="0"/>
              <w:rPr>
                <w:sz w:val="20"/>
                <w:szCs w:val="20"/>
                <w:color w:val="auto"/>
              </w:rPr>
            </w:pPr>
            <w:r>
              <w:rPr>
                <w:rFonts w:ascii="Arial" w:cs="Arial" w:eastAsia="Arial" w:hAnsi="Arial"/>
                <w:sz w:val="14"/>
                <w:szCs w:val="14"/>
                <w:b w:val="1"/>
                <w:bCs w:val="1"/>
                <w:color w:val="auto"/>
                <w:w w:val="97"/>
              </w:rPr>
              <w:t>Fair Value Hierarchy at December 31, 2017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4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4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 at fair value</w:t>
            </w:r>
          </w:p>
        </w:tc>
        <w:tc>
          <w:tcPr>
            <w:tcW w:w="1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1,663,194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Interest rate swaps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9"/>
                <w:szCs w:val="19"/>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1,663,194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1,692,761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1"/>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40" w:type="dxa"/>
            <w:vAlign w:val="bottom"/>
            <w:gridSpan w:val="7"/>
          </w:tcPr>
          <w:p>
            <w:pPr>
              <w:ind w:left="180"/>
              <w:spacing w:after="0"/>
              <w:rPr>
                <w:sz w:val="20"/>
                <w:szCs w:val="20"/>
                <w:color w:val="auto"/>
              </w:rPr>
            </w:pPr>
            <w:r>
              <w:rPr>
                <w:rFonts w:ascii="Arial" w:cs="Arial" w:eastAsia="Arial" w:hAnsi="Arial"/>
                <w:sz w:val="14"/>
                <w:szCs w:val="14"/>
                <w:b w:val="1"/>
                <w:bCs w:val="1"/>
                <w:color w:val="auto"/>
                <w:w w:val="97"/>
              </w:rPr>
              <w:t>Fair Value Hierarchy at December 31, 2016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4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4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investments at fair value</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Interest rate swaps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F-29</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0" w:name="page111"/>
    <w:bookmarkEnd w:id="110"/>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7"/>
          </w:tcPr>
          <w:p>
            <w:pPr>
              <w:jc w:val="center"/>
              <w:ind w:left="695"/>
              <w:spacing w:after="0"/>
              <w:rPr>
                <w:sz w:val="20"/>
                <w:szCs w:val="20"/>
                <w:color w:val="auto"/>
              </w:rPr>
            </w:pPr>
            <w:r>
              <w:rPr>
                <w:rFonts w:ascii="Arial" w:cs="Arial" w:eastAsia="Arial" w:hAnsi="Arial"/>
                <w:sz w:val="14"/>
                <w:szCs w:val="14"/>
                <w:b w:val="1"/>
                <w:bCs w:val="1"/>
                <w:color w:val="auto"/>
                <w:w w:val="92"/>
              </w:rPr>
              <w:t>As of and for the Year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1,469,902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1,012,968</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(846,714)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(851,547)</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(17,323)</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(67,775)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1,563,972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1,663,194</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jc w:val="center"/>
              <w:ind w:left="695"/>
              <w:spacing w:after="0"/>
              <w:rPr>
                <w:sz w:val="20"/>
                <w:szCs w:val="20"/>
                <w:color w:val="auto"/>
              </w:rPr>
            </w:pPr>
            <w:r>
              <w:rPr>
                <w:rFonts w:ascii="Arial" w:cs="Arial" w:eastAsia="Arial" w:hAnsi="Arial"/>
                <w:sz w:val="14"/>
                <w:szCs w:val="14"/>
                <w:b w:val="1"/>
                <w:bCs w:val="1"/>
                <w:color w:val="auto"/>
                <w:w w:val="92"/>
              </w:rPr>
              <w:t>As of and for the Year Ended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1,335,940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675,808</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(455,697)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(520,362)</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22,106</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(8,585)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(8,506)</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Transfers within Level 3</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(57,310)</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Idera and Quiksilver – Boardriders SA were transferred out of Level 3 for fair value measurement purposes during the year ended December 31, 2016, as a result of changes in the observability of inputs into these securities valuations. Vertellus was transferred into Level 3 for fair value measurement purposes as a result of changes in the observability of inputs into the valuation. APX Group was transferred into Level 1 as a result of changes in the observability of inputs into the valuation.</w:t>
      </w:r>
    </w:p>
    <w:p>
      <w:pPr>
        <w:spacing w:after="0" w:line="18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2017 and 2016:</w:t>
      </w:r>
    </w:p>
    <w:p>
      <w:pPr>
        <w:sectPr>
          <w:pgSz w:w="11900" w:h="16838" w:orient="portrait"/>
          <w:cols w:equalWidth="0" w:num="1">
            <w:col w:w="11440"/>
          </w:cols>
          <w:pgMar w:left="240" w:top="341" w:right="219" w:bottom="1440" w:gutter="0" w:footer="0" w:header="0"/>
        </w:sectPr>
      </w:pPr>
    </w:p>
    <w:p>
      <w:pPr>
        <w:spacing w:after="0" w:line="243"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left="562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December 31, 2017 on</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Investments Held at</w:t>
      </w:r>
    </w:p>
    <w:p>
      <w:pPr>
        <w:ind w:left="5980"/>
        <w:spacing w:after="0" w:line="233" w:lineRule="auto"/>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right="182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December 31, 2016 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Investments Held at</w:t>
      </w:r>
    </w:p>
    <w:p>
      <w:pPr>
        <w:ind w:left="360"/>
        <w:spacing w:after="0" w:line="233" w:lineRule="auto"/>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p>
    <w:p>
      <w:pPr>
        <w:sectPr>
          <w:pgSz w:w="11900" w:h="16838" w:orient="portrait"/>
          <w:cols w:equalWidth="0" w:num="2">
            <w:col w:w="7500" w:space="220"/>
            <w:col w:w="3720"/>
          </w:cols>
          <w:pgMar w:left="240" w:top="341" w:right="2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720" w:type="dxa"/>
            <w:vAlign w:val="bottom"/>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0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First-lien debt investments</w:t>
            </w:r>
          </w:p>
        </w:tc>
        <w:tc>
          <w:tcPr>
            <w:tcW w:w="1720" w:type="dxa"/>
            <w:vAlign w:val="bottom"/>
            <w:gridSpan w:val="2"/>
            <w:shd w:val="clear" w:color="auto" w:fill="CFF0FC"/>
          </w:tcPr>
          <w:p>
            <w:pPr>
              <w:jc w:val="right"/>
              <w:ind w:right="705"/>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16,835</w:t>
            </w:r>
          </w:p>
        </w:tc>
        <w:tc>
          <w:tcPr>
            <w:tcW w:w="16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18,229</w:t>
            </w:r>
          </w:p>
        </w:tc>
        <w:tc>
          <w:tcPr>
            <w:tcW w:w="1740" w:type="dxa"/>
            <w:vAlign w:val="bottom"/>
          </w:tcPr>
          <w:p>
            <w:pPr>
              <w:spacing w:after="0"/>
              <w:rPr>
                <w:sz w:val="17"/>
                <w:szCs w:val="17"/>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8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8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0"/>
                <w:szCs w:val="20"/>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(5,737)</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0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9,028</w:t>
            </w:r>
          </w:p>
        </w:tc>
        <w:tc>
          <w:tcPr>
            <w:tcW w:w="1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18,909</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20" w:type="dxa"/>
            <w:vAlign w:val="bottom"/>
            <w:gridSpan w:val="2"/>
          </w:tcPr>
          <w:p>
            <w:pPr>
              <w:jc w:val="right"/>
              <w:ind w:right="505"/>
              <w:spacing w:after="0"/>
              <w:rPr>
                <w:sz w:val="20"/>
                <w:szCs w:val="20"/>
                <w:color w:val="auto"/>
              </w:rPr>
            </w:pPr>
            <w:r>
              <w:rPr>
                <w:rFonts w:ascii="Arial" w:cs="Arial" w:eastAsia="Arial" w:hAnsi="Arial"/>
                <w:sz w:val="18"/>
                <w:szCs w:val="18"/>
                <w:color w:val="auto"/>
              </w:rPr>
              <w:t>F-30</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11" w:name="page112"/>
    <w:bookmarkEnd w:id="111"/>
    <w:p>
      <w:pPr>
        <w:ind w:right="640" w:firstLine="259"/>
        <w:spacing w:after="0" w:line="264"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December 31, 2017 and 2016. The tables are not intended to be all-inclusive, but instead capture the significant unobservable inputs relevant to the Company’s determination of fair values.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0"/>
              </w:rPr>
              <w:t>December 31, 2017</w:t>
            </w: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1,563,972</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7.3% — 14.6% (10.2%)</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60,900</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12.9% — 14.0% (13.0%)</w:t>
            </w: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4.6x — 13.2x (11.2x)</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1,663,194</w:t>
            </w: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$34.6 million of first-lien debt investments which were valued using an asset valuation waterfall.</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$18.6 million of equity investments which were valued using a weighted valuation approach.</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1"/>
              </w:rPr>
              <w:t>December 31, 2016</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500" w:type="dxa"/>
            <w:vAlign w:val="bottom"/>
          </w:tcPr>
          <w:p>
            <w:pPr>
              <w:spacing w:after="0"/>
              <w:rPr>
                <w:sz w:val="14"/>
                <w:szCs w:val="14"/>
                <w:color w:val="auto"/>
              </w:rPr>
            </w:pPr>
          </w:p>
        </w:tc>
        <w:tc>
          <w:tcPr>
            <w:tcW w:w="720" w:type="dxa"/>
            <w:vAlign w:val="bottom"/>
          </w:tcPr>
          <w:p>
            <w:pPr>
              <w:jc w:val="center"/>
              <w:ind w:left="36"/>
              <w:spacing w:after="0"/>
              <w:rPr>
                <w:sz w:val="20"/>
                <w:szCs w:val="20"/>
                <w:color w:val="auto"/>
              </w:rPr>
            </w:pPr>
            <w:r>
              <w:rPr>
                <w:rFonts w:ascii="Arial" w:cs="Arial" w:eastAsia="Arial" w:hAnsi="Arial"/>
                <w:sz w:val="14"/>
                <w:szCs w:val="14"/>
                <w:b w:val="1"/>
                <w:bCs w:val="1"/>
                <w:color w:val="auto"/>
                <w:w w:val="93"/>
              </w:rPr>
              <w:t>Average)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1,454,087</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1"/>
              </w:rPr>
              <w:t>— 12.9%</w:t>
            </w:r>
          </w:p>
        </w:tc>
        <w:tc>
          <w:tcPr>
            <w:tcW w:w="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3,350</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13.6%</w:t>
            </w:r>
          </w:p>
        </w:tc>
        <w:tc>
          <w:tcPr>
            <w:tcW w:w="720" w:type="dxa"/>
            <w:vAlign w:val="bottom"/>
          </w:tcPr>
          <w:p>
            <w:pPr>
              <w:ind w:left="20"/>
              <w:spacing w:after="0"/>
              <w:rPr>
                <w:sz w:val="20"/>
                <w:szCs w:val="20"/>
                <w:color w:val="auto"/>
              </w:rPr>
            </w:pPr>
            <w:r>
              <w:rPr>
                <w:rFonts w:ascii="Arial" w:cs="Arial" w:eastAsia="Arial" w:hAnsi="Arial"/>
                <w:sz w:val="18"/>
                <w:szCs w:val="18"/>
                <w:color w:val="auto"/>
                <w:w w:val="91"/>
              </w:rPr>
              <w:t>— 13.6%</w:t>
            </w:r>
          </w:p>
        </w:tc>
        <w:tc>
          <w:tcPr>
            <w:tcW w:w="620" w:type="dxa"/>
            <w:vAlign w:val="bottom"/>
          </w:tcPr>
          <w:p>
            <w:pPr>
              <w:ind w:left="20"/>
              <w:spacing w:after="0"/>
              <w:rPr>
                <w:sz w:val="20"/>
                <w:szCs w:val="20"/>
                <w:color w:val="auto"/>
              </w:rPr>
            </w:pPr>
            <w:r>
              <w:rPr>
                <w:rFonts w:ascii="Arial" w:cs="Arial" w:eastAsia="Arial" w:hAnsi="Arial"/>
                <w:sz w:val="18"/>
                <w:szCs w:val="18"/>
                <w:color w:val="auto"/>
                <w:w w:val="91"/>
              </w:rPr>
              <w:t>(13.6%)</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3"/>
              </w:rPr>
              <w:t>8.4x — 13.5x (10.1x)</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1,469,902</w:t>
            </w:r>
          </w:p>
        </w:tc>
        <w:tc>
          <w:tcPr>
            <w:tcW w:w="2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an asset valuation waterfall.</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1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December 31, 2017, approximates its carrying value as the outstanding balance is callable at carrying value. The fair value of the Company’s Convertible Senior Notes, which are categorized as Level 2 within the fair value hierarchy, as of December 31, 2017, was $237.9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2017 and 2016, the Company’s asset coverage was 235.5% and 237.7% respectively.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7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488,192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716,808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and 2022 Convertible Senior Notes are presented net of deferred financing costs of $7.1 million, $1.5 million, and $3.2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693,657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13" w:name="page114"/>
    <w:bookmarkEnd w:id="113"/>
    <w:p>
      <w:pPr>
        <w:ind w:left="260"/>
        <w:spacing w:after="0"/>
        <w:rPr>
          <w:sz w:val="20"/>
          <w:szCs w:val="20"/>
          <w:color w:val="auto"/>
        </w:rPr>
      </w:pPr>
      <w:r>
        <w:rPr>
          <w:rFonts w:ascii="Arial" w:cs="Arial" w:eastAsia="Arial" w:hAnsi="Arial"/>
          <w:sz w:val="18"/>
          <w:szCs w:val="18"/>
          <w:color w:val="auto"/>
        </w:rPr>
        <w:t>For the years ended December 31, 2017, 2016 and 2015, the components of interest expense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Commitment fees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Swap settlement </w:t>
            </w:r>
            <w:r>
              <w:rPr>
                <w:rFonts w:ascii="Arial" w:cs="Arial" w:eastAsia="Arial" w:hAnsi="Arial"/>
                <w:sz w:val="15"/>
                <w:szCs w:val="15"/>
                <w:color w:val="auto"/>
              </w:rPr>
              <w:t>(1)</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(1,539)</w:t>
            </w:r>
          </w:p>
        </w:tc>
      </w:tr>
      <w:tr>
        <w:trPr>
          <w:trHeight w:val="263"/>
        </w:trPr>
        <w:tc>
          <w:tcPr>
            <w:tcW w:w="20" w:type="dxa"/>
            <w:vAlign w:val="bottom"/>
          </w:tcPr>
          <w:p>
            <w:pPr>
              <w:spacing w:after="0"/>
              <w:rPr>
                <w:sz w:val="22"/>
                <w:szCs w:val="22"/>
                <w:color w:val="auto"/>
              </w:rPr>
            </w:pPr>
          </w:p>
        </w:tc>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9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1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the settlement of the interest rate swaps related to the Company’s 2019 and 2022 Convertible Senior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the “Revolving Credit Facility”).</w:t>
      </w:r>
    </w:p>
    <w:p>
      <w:pPr>
        <w:spacing w:after="0" w:line="170"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As of December 31, 2017, aggregate commitments under the facility were $975 million. The facility includes an uncommitted accordion feature that allows the Company, under certain circumstances, to increase the size of the facility to up to $1.25 billion.</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With respect to $915 million in commitments, the revolving period, during which period the Company, subject to certain conditions, may make borrowings under the facility, ends December 22, 2020 and the stated maturity date is December 22, 2021. For the remaining $60 million of commitments, the revolving period ends October 2, 2019 and the stated maturity date is October 2, 2020.</w:t>
      </w:r>
    </w:p>
    <w:p>
      <w:pPr>
        <w:spacing w:after="0" w:line="181" w:lineRule="exact"/>
        <w:rPr>
          <w:sz w:val="20"/>
          <w:szCs w:val="20"/>
          <w:color w:val="auto"/>
        </w:rPr>
      </w:pPr>
    </w:p>
    <w:p>
      <w:pPr>
        <w:ind w:right="260" w:firstLine="259"/>
        <w:spacing w:after="0" w:line="342" w:lineRule="auto"/>
        <w:rPr>
          <w:sz w:val="20"/>
          <w:szCs w:val="20"/>
          <w:color w:val="auto"/>
        </w:rPr>
      </w:pPr>
      <w:r>
        <w:rPr>
          <w:rFonts w:ascii="Arial" w:cs="Arial" w:eastAsia="Arial" w:hAnsi="Arial"/>
          <w:sz w:val="16"/>
          <w:szCs w:val="16"/>
          <w:color w:val="auto"/>
        </w:rPr>
        <w:t>The Company may borrow amounts in U.S. dollars or certain other permitted currencies. As of December 31, 2017, the Company had outstanding debt denominated in Euro (EUR) of 59.4 million on its Revolving Credit Facility, included in the Outstanding Principal amount in the table above.</w:t>
      </w:r>
    </w:p>
    <w:p>
      <w:pPr>
        <w:spacing w:after="0" w:line="124"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December 31, 2017 and December 31, 2016,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2.00%, or the prime rate plus a margin of either 0.75% or 1.00%, in each case, based on the total amount of the borrowing base relative to the sum of the total commitments (or, if greater, the total exposure) under the Revolving Credit Facility plus certain other designated secured debt.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540" w:right="5100" w:hanging="5275"/>
        <w:spacing w:after="0" w:line="624" w:lineRule="auto"/>
        <w:tabs>
          <w:tab w:leader="none" w:pos="517"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 asset coverage ratio of no less than 2 to 1 on the last day of any fiscal quarter;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4" w:name="page115"/>
    <w:bookmarkEnd w:id="114"/>
    <w:p>
      <w:pPr>
        <w:ind w:left="520" w:hanging="255"/>
        <w:spacing w:after="0" w:line="26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2016 and net proceeds received from the issuance of the 2022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In June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As of December 31, 2017, the estimated adjusted conversion price was approximately $25.41.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firstLine="8"/>
        <w:spacing w:after="0" w:line="281" w:lineRule="auto"/>
        <w:tabs>
          <w:tab w:leader="none" w:pos="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00" w:firstLine="8"/>
        <w:spacing w:after="0" w:line="292" w:lineRule="auto"/>
        <w:tabs>
          <w:tab w:leader="none" w:pos="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the Company’s common stock, subject to customary anti-dilution adjustments. As of December 31, 2017, the estimated adjusted conversion price was approximately $21.15.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237.2 basis points. See Note 5 for further information related to the Company’s interest rate swaps.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Holders may convert their 2022 Convertible Senior Notes at their option at any time prior to February 1, 2022 only under the following circumstances:</w:t>
      </w:r>
    </w:p>
    <w:p>
      <w:pPr>
        <w:spacing w:after="0" w:line="35" w:lineRule="exact"/>
        <w:rPr>
          <w:sz w:val="20"/>
          <w:szCs w:val="20"/>
          <w:color w:val="auto"/>
        </w:rPr>
      </w:pPr>
    </w:p>
    <w:p>
      <w:pPr>
        <w:ind w:right="200" w:firstLine="8"/>
        <w:spacing w:after="0" w:line="255"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15" w:name="page116"/>
    <w:bookmarkEnd w:id="115"/>
    <w:p>
      <w:pPr>
        <w:spacing w:after="0" w:line="273" w:lineRule="auto"/>
        <w:rPr>
          <w:sz w:val="20"/>
          <w:szCs w:val="20"/>
          <w:color w:val="auto"/>
        </w:rPr>
      </w:pPr>
      <w:r>
        <w:rPr>
          <w:rFonts w:ascii="Arial" w:cs="Arial" w:eastAsia="Arial" w:hAnsi="Arial"/>
          <w:sz w:val="17"/>
          <w:szCs w:val="17"/>
          <w:color w:val="auto"/>
        </w:rPr>
        <w:t>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8"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years ended December 31, 2017, 2016, and 2015 the components of interest expense related to the Convertible Senior Notes were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years ended December 31, 2017, 2016 and 2015, the Company received $9.9 million, $5.2 million, and $5.2 million, respectively, and paid $8.5 million, $4.1 million, and $3.7 million, respectively, related to the quarterly settlement of its interest rate swaps. These net amounts are reductions to interest expense in the Company’s consolidated statements of operations.</w:t>
      </w:r>
    </w:p>
    <w:p>
      <w:pPr>
        <w:spacing w:after="0" w:line="187"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As of December 31, 2017 and December 31, 2016, the principal amount of the 2019 and 2022 Convertible Senior Notes exceeded the value of the underlying shares multiplied by the per share closing price of the Company’s common stock.</w:t>
      </w:r>
    </w:p>
    <w:p>
      <w:pPr>
        <w:spacing w:after="0" w:line="170"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of December 31, 2017 and December 31, 2016, the components of the carrying value of the 2019 and 2022 Convertible Senior Notes and the stated interest rate were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December 31, 2017</w:t>
            </w:r>
          </w:p>
        </w:tc>
      </w:tr>
      <w:tr>
        <w:trPr>
          <w:trHeight w:val="146"/>
        </w:trPr>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center"/>
              <w:ind w:right="228"/>
              <w:spacing w:after="0" w:line="147" w:lineRule="exact"/>
              <w:rPr>
                <w:sz w:val="20"/>
                <w:szCs w:val="20"/>
                <w:color w:val="auto"/>
              </w:rPr>
            </w:pPr>
            <w:r>
              <w:rPr>
                <w:rFonts w:ascii="Arial" w:cs="Arial" w:eastAsia="Arial" w:hAnsi="Arial"/>
                <w:sz w:val="14"/>
                <w:szCs w:val="14"/>
                <w:b w:val="1"/>
                <w:bCs w:val="1"/>
                <w:color w:val="auto"/>
                <w:w w:val="91"/>
              </w:rPr>
              <w:t>December 2019</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August 2022</w:t>
            </w:r>
          </w:p>
        </w:tc>
        <w:tc>
          <w:tcPr>
            <w:tcW w:w="180" w:type="dxa"/>
            <w:vAlign w:val="bottom"/>
          </w:tcPr>
          <w:p>
            <w:pPr>
              <w:spacing w:after="0"/>
              <w:rPr>
                <w:sz w:val="12"/>
                <w:szCs w:val="12"/>
                <w:color w:val="auto"/>
              </w:rPr>
            </w:pPr>
          </w:p>
        </w:tc>
      </w:tr>
      <w:tr>
        <w:trPr>
          <w:trHeight w:val="149"/>
        </w:trPr>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Convertible</w:t>
            </w:r>
          </w:p>
        </w:tc>
      </w:tr>
      <w:tr>
        <w:trPr>
          <w:trHeight w:val="17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0"/>
              </w:rPr>
              <w:t>Senior Notes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Senior Notes</w:t>
            </w: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8"/>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(1,510)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(3,176)</w:t>
            </w:r>
          </w:p>
        </w:tc>
      </w:tr>
      <w:tr>
        <w:trPr>
          <w:trHeight w:val="26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112,182</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111,522</w:t>
            </w:r>
          </w:p>
        </w:tc>
        <w:tc>
          <w:tcPr>
            <w:tcW w:w="180" w:type="dxa"/>
            <w:vAlign w:val="bottom"/>
            <w:tcBorders>
              <w:bottom w:val="single" w:sz="8" w:color="CFF0FC"/>
            </w:tcBorders>
          </w:tcPr>
          <w:p>
            <w:pPr>
              <w:spacing w:after="0"/>
              <w:rPr>
                <w:sz w:val="22"/>
                <w:szCs w:val="22"/>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r>
        <w:trPr>
          <w:trHeight w:val="459"/>
        </w:trPr>
        <w:tc>
          <w:tcPr>
            <w:tcW w:w="4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r>
      <w:tr>
        <w:trPr>
          <w:trHeight w:val="146"/>
        </w:trPr>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174"/>
              <w:spacing w:after="0" w:line="147" w:lineRule="exact"/>
              <w:rPr>
                <w:sz w:val="20"/>
                <w:szCs w:val="20"/>
                <w:color w:val="auto"/>
              </w:rPr>
            </w:pPr>
            <w:r>
              <w:rPr>
                <w:rFonts w:ascii="Arial" w:cs="Arial" w:eastAsia="Arial" w:hAnsi="Arial"/>
                <w:sz w:val="14"/>
                <w:szCs w:val="14"/>
                <w:b w:val="1"/>
                <w:bCs w:val="1"/>
                <w:color w:val="auto"/>
                <w:w w:val="91"/>
              </w:rPr>
              <w:t>December 2019</w:t>
            </w:r>
          </w:p>
        </w:tc>
        <w:tc>
          <w:tcPr>
            <w:tcW w:w="180" w:type="dxa"/>
            <w:vAlign w:val="bottom"/>
          </w:tcPr>
          <w:p>
            <w:pPr>
              <w:spacing w:after="0"/>
              <w:rPr>
                <w:sz w:val="12"/>
                <w:szCs w:val="12"/>
                <w:color w:val="auto"/>
              </w:rPr>
            </w:pPr>
          </w:p>
        </w:tc>
      </w:tr>
      <w:tr>
        <w:trPr>
          <w:trHeight w:val="149"/>
        </w:trPr>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Convertible</w:t>
            </w:r>
          </w:p>
        </w:tc>
      </w:tr>
      <w:tr>
        <w:trPr>
          <w:trHeight w:val="17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0"/>
              </w:rPr>
              <w:t>Senior Notes</w:t>
            </w: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(1,928)</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(2,282)</w:t>
            </w:r>
          </w:p>
        </w:tc>
      </w:tr>
      <w:tr>
        <w:trPr>
          <w:trHeight w:val="26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1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110,790</w:t>
            </w:r>
          </w:p>
        </w:tc>
        <w:tc>
          <w:tcPr>
            <w:tcW w:w="180" w:type="dxa"/>
            <w:vAlign w:val="bottom"/>
            <w:tcBorders>
              <w:bottom w:val="single" w:sz="8" w:color="CFF0FC"/>
            </w:tcBorders>
          </w:tcPr>
          <w:p>
            <w:pPr>
              <w:spacing w:after="0"/>
              <w:rPr>
                <w:sz w:val="22"/>
                <w:szCs w:val="22"/>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16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2019 and 2022 Convertible Senior Notes is three month LIBOR plus 286 basis points, and three month LIBOR plus 237.2 basis points, respectively. Please see Note 5 for further information about the Company’s interest rate swaps.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6" w:name="page117"/>
    <w:bookmarkEnd w:id="116"/>
    <w:p>
      <w:pPr>
        <w:ind w:right="140" w:firstLine="259"/>
        <w:spacing w:after="0" w:line="276" w:lineRule="auto"/>
        <w:rPr>
          <w:sz w:val="20"/>
          <w:szCs w:val="20"/>
          <w:color w:val="auto"/>
        </w:rPr>
      </w:pPr>
      <w:r>
        <w:rPr>
          <w:rFonts w:ascii="Arial" w:cs="Arial" w:eastAsia="Arial" w:hAnsi="Arial"/>
          <w:sz w:val="17"/>
          <w:szCs w:val="17"/>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December 31, 2017, the Company was in compliance with the terms of the indentures governing the 2019 and 2022 Convertible Senior Notes.</w:t>
      </w:r>
    </w:p>
    <w:p>
      <w:pPr>
        <w:spacing w:after="0" w:line="173"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2017 and December 31, 2016,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7" w:name="page118"/>
    <w:bookmarkEnd w:id="117"/>
    <w:p>
      <w:pPr>
        <w:ind w:left="260"/>
        <w:spacing w:after="0"/>
        <w:rPr>
          <w:sz w:val="20"/>
          <w:szCs w:val="20"/>
          <w:color w:val="auto"/>
        </w:rPr>
      </w:pPr>
      <w:r>
        <w:rPr>
          <w:rFonts w:ascii="Arial" w:cs="Arial" w:eastAsia="Arial" w:hAnsi="Arial"/>
          <w:sz w:val="16"/>
          <w:szCs w:val="16"/>
          <w:color w:val="auto"/>
        </w:rPr>
        <w:t>As of December 31, 2017 and December 31, 2016, the Company had the following commitments to fund investments in current portfolio companies: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 LLC - Revolver</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Marketo, Inc.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Northern Oil &amp; Gas - Delayed Draw</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My Alarm Center, LLC - Delayed Draw</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PaySimple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Rex Energy Corporation - Delayed Draw</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Riskonnect,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Sailpoint Technologies, Inc. - Revolver</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of December 31, 2017, the Company did not have any unfunded commitments to fund investments to new borrowers that were not current portfolio companies as of such date. As of December 31, 2016, the Company had additional unfunded commitments of $50.0 million to fund investments to new borrowers that were not current portfolio companies as of such date.</w:t>
      </w:r>
    </w:p>
    <w:p>
      <w:pPr>
        <w:spacing w:after="0" w:line="18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2017,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18" w:name="page119"/>
    <w:bookmarkEnd w:id="118"/>
    <w:p>
      <w:pPr>
        <w:jc w:val="both"/>
        <w:ind w:right="18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2017 and 2016. All shares issued to stockholders in the tables below are newly issued shares.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left="1996"/>
              <w:spacing w:after="0"/>
              <w:rPr>
                <w:sz w:val="20"/>
                <w:szCs w:val="20"/>
                <w:color w:val="auto"/>
              </w:rPr>
            </w:pPr>
            <w:r>
              <w:rPr>
                <w:rFonts w:ascii="Arial" w:cs="Arial" w:eastAsia="Arial" w:hAnsi="Arial"/>
                <w:sz w:val="14"/>
                <w:szCs w:val="14"/>
                <w:b w:val="1"/>
                <w:bCs w:val="1"/>
                <w:color w:val="auto"/>
                <w:w w:val="96"/>
              </w:rPr>
              <w:t>Year Ended</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5"/>
          </w:tcPr>
          <w:p>
            <w:pPr>
              <w:jc w:val="center"/>
              <w:ind w:left="376"/>
              <w:spacing w:after="0"/>
              <w:rPr>
                <w:sz w:val="20"/>
                <w:szCs w:val="20"/>
                <w:color w:val="auto"/>
              </w:rPr>
            </w:pPr>
            <w:r>
              <w:rPr>
                <w:rFonts w:ascii="Arial" w:cs="Arial" w:eastAsia="Arial" w:hAnsi="Arial"/>
                <w:sz w:val="14"/>
                <w:szCs w:val="14"/>
                <w:b w:val="1"/>
                <w:bCs w:val="1"/>
                <w:color w:val="auto"/>
                <w:w w:val="91"/>
              </w:rPr>
              <w:t>December 31, 2017</w:t>
            </w: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8"/>
              </w:rPr>
              <w:t>Date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900" w:type="dxa"/>
            <w:vAlign w:val="bottom"/>
            <w:gridSpan w:val="3"/>
          </w:tcPr>
          <w:p>
            <w:pPr>
              <w:ind w:left="72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Shares Issued</w:t>
            </w: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2016</w:t>
            </w:r>
          </w:p>
        </w:tc>
        <w:tc>
          <w:tcPr>
            <w:tcW w:w="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2016</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2017</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February 22, 2017</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Base</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May 1, 2017</w:t>
            </w:r>
          </w:p>
        </w:tc>
        <w:tc>
          <w:tcPr>
            <w:tcW w:w="1680" w:type="dxa"/>
            <w:vAlign w:val="bottom"/>
          </w:tcPr>
          <w:p>
            <w:pPr>
              <w:jc w:val="right"/>
              <w:spacing w:after="0"/>
              <w:rPr>
                <w:sz w:val="20"/>
                <w:szCs w:val="20"/>
                <w:color w:val="auto"/>
              </w:rPr>
            </w:pPr>
            <w:r>
              <w:rPr>
                <w:rFonts w:ascii="Arial" w:cs="Arial" w:eastAsia="Arial" w:hAnsi="Arial"/>
                <w:sz w:val="18"/>
                <w:szCs w:val="18"/>
                <w:color w:val="auto"/>
              </w:rPr>
              <w:t>109,847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3, 2017</w:t>
            </w:r>
          </w:p>
        </w:tc>
        <w:tc>
          <w:tcPr>
            <w:tcW w:w="12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May 31, 2017</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June 30, 2017</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Base</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June 15, 2017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July 14, 2017</w:t>
            </w:r>
          </w:p>
        </w:tc>
        <w:tc>
          <w:tcPr>
            <w:tcW w:w="1680" w:type="dxa"/>
            <w:vAlign w:val="bottom"/>
          </w:tcPr>
          <w:p>
            <w:pPr>
              <w:jc w:val="right"/>
              <w:spacing w:after="0"/>
              <w:rPr>
                <w:sz w:val="20"/>
                <w:szCs w:val="20"/>
                <w:color w:val="auto"/>
              </w:rPr>
            </w:pPr>
            <w:r>
              <w:rPr>
                <w:rFonts w:ascii="Arial" w:cs="Arial" w:eastAsia="Arial" w:hAnsi="Arial"/>
                <w:sz w:val="18"/>
                <w:szCs w:val="18"/>
                <w:color w:val="auto"/>
              </w:rPr>
              <w:t>112,166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2, 2017</w:t>
            </w:r>
          </w:p>
        </w:tc>
        <w:tc>
          <w:tcPr>
            <w:tcW w:w="12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August 31, 2017</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9"/>
              </w:rPr>
              <w:t>September 29, 2017</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Base</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September 15, 2017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13, 2017</w:t>
            </w:r>
          </w:p>
        </w:tc>
        <w:tc>
          <w:tcPr>
            <w:tcW w:w="1680" w:type="dxa"/>
            <w:vAlign w:val="bottom"/>
          </w:tcPr>
          <w:p>
            <w:pPr>
              <w:jc w:val="right"/>
              <w:spacing w:after="0"/>
              <w:rPr>
                <w:sz w:val="20"/>
                <w:szCs w:val="20"/>
                <w:color w:val="auto"/>
              </w:rPr>
            </w:pPr>
            <w:r>
              <w:rPr>
                <w:rFonts w:ascii="Arial" w:cs="Arial" w:eastAsia="Arial" w:hAnsi="Arial"/>
                <w:sz w:val="18"/>
                <w:szCs w:val="18"/>
                <w:color w:val="auto"/>
              </w:rPr>
              <w:t>125,519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12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November 30, 2017</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December 29, 2017</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3"/>
            <w:vMerge w:val="restart"/>
          </w:tcPr>
          <w:p>
            <w:pPr>
              <w:jc w:val="center"/>
              <w:ind w:left="1996"/>
              <w:spacing w:after="0"/>
              <w:rPr>
                <w:sz w:val="20"/>
                <w:szCs w:val="20"/>
                <w:color w:val="auto"/>
              </w:rPr>
            </w:pPr>
            <w:r>
              <w:rPr>
                <w:rFonts w:ascii="Arial" w:cs="Arial" w:eastAsia="Arial" w:hAnsi="Arial"/>
                <w:sz w:val="14"/>
                <w:szCs w:val="14"/>
                <w:b w:val="1"/>
                <w:bCs w:val="1"/>
                <w:color w:val="auto"/>
                <w:w w:val="96"/>
              </w:rPr>
              <w:t>Year Ended</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5"/>
          </w:tcPr>
          <w:p>
            <w:pPr>
              <w:jc w:val="center"/>
              <w:ind w:left="376"/>
              <w:spacing w:after="0"/>
              <w:rPr>
                <w:sz w:val="20"/>
                <w:szCs w:val="20"/>
                <w:color w:val="auto"/>
              </w:rPr>
            </w:pPr>
            <w:r>
              <w:rPr>
                <w:rFonts w:ascii="Arial" w:cs="Arial" w:eastAsia="Arial" w:hAnsi="Arial"/>
                <w:sz w:val="14"/>
                <w:szCs w:val="14"/>
                <w:b w:val="1"/>
                <w:bCs w:val="1"/>
                <w:color w:val="auto"/>
                <w:w w:val="91"/>
              </w:rPr>
              <w:t>December 31, 2016</w:t>
            </w: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8"/>
              </w:rPr>
              <w:t>Date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900" w:type="dxa"/>
            <w:vAlign w:val="bottom"/>
            <w:gridSpan w:val="3"/>
          </w:tcPr>
          <w:p>
            <w:pPr>
              <w:ind w:left="72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Shares Issued</w:t>
            </w: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2015</w:t>
            </w:r>
          </w:p>
        </w:tc>
        <w:tc>
          <w:tcPr>
            <w:tcW w:w="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2015</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2016</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February 24, 2016</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Base</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March 31, 2016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May 2, 2016</w:t>
            </w:r>
          </w:p>
        </w:tc>
        <w:tc>
          <w:tcPr>
            <w:tcW w:w="1680" w:type="dxa"/>
            <w:vAlign w:val="bottom"/>
          </w:tcPr>
          <w:p>
            <w:pPr>
              <w:jc w:val="right"/>
              <w:spacing w:after="0"/>
              <w:rPr>
                <w:sz w:val="20"/>
                <w:szCs w:val="20"/>
                <w:color w:val="auto"/>
              </w:rPr>
            </w:pPr>
            <w:r>
              <w:rPr>
                <w:rFonts w:ascii="Arial" w:cs="Arial" w:eastAsia="Arial" w:hAnsi="Arial"/>
                <w:sz w:val="18"/>
                <w:szCs w:val="18"/>
                <w:color w:val="auto"/>
              </w:rPr>
              <w:t>186,204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4, 2016</w:t>
            </w:r>
          </w:p>
        </w:tc>
        <w:tc>
          <w:tcPr>
            <w:tcW w:w="12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June 30, 2016</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August 1, 2016</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August 3, 2016</w:t>
            </w:r>
          </w:p>
        </w:tc>
        <w:tc>
          <w:tcPr>
            <w:tcW w:w="120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7"/>
              </w:rPr>
              <w:t>Base</w:t>
            </w:r>
          </w:p>
        </w:tc>
        <w:tc>
          <w:tcPr>
            <w:tcW w:w="2900" w:type="dxa"/>
            <w:vAlign w:val="bottom"/>
            <w:tcBorders>
              <w:bottom w:val="single" w:sz="8" w:color="CFF0FC"/>
            </w:tcBorders>
            <w:gridSpan w:val="3"/>
          </w:tcPr>
          <w:p>
            <w:pPr>
              <w:jc w:val="right"/>
              <w:ind w:right="680"/>
              <w:spacing w:after="0"/>
              <w:rPr>
                <w:sz w:val="20"/>
                <w:szCs w:val="20"/>
                <w:color w:val="auto"/>
              </w:rPr>
            </w:pPr>
            <w:r>
              <w:rPr>
                <w:rFonts w:ascii="Arial" w:cs="Arial" w:eastAsia="Arial" w:hAnsi="Arial"/>
                <w:sz w:val="18"/>
                <w:szCs w:val="18"/>
                <w:color w:val="auto"/>
              </w:rPr>
              <w:t>September 30, 2016</w:t>
            </w:r>
          </w:p>
        </w:tc>
        <w:tc>
          <w:tcPr>
            <w:tcW w:w="16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w w:val="98"/>
              </w:rPr>
              <w:t>November 1, 2016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638,326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3" w:lineRule="exact"/>
        <w:rPr>
          <w:rFonts w:ascii="Arial" w:cs="Arial" w:eastAsia="Arial" w:hAnsi="Arial"/>
          <w:sz w:val="18"/>
          <w:szCs w:val="18"/>
          <w:color w:val="auto"/>
        </w:rPr>
      </w:pPr>
    </w:p>
    <w:p>
      <w:pPr>
        <w:ind w:left="520" w:hanging="512"/>
        <w:spacing w:after="0" w:line="254"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30" w:lineRule="exact"/>
        <w:rPr>
          <w:sz w:val="20"/>
          <w:szCs w:val="20"/>
          <w:color w:val="auto"/>
        </w:rPr>
      </w:pPr>
    </w:p>
    <w:p>
      <w:pPr>
        <w:ind w:right="50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181"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During the year ended December 31, 2017, no shares were repurchased under the Company 10b5-1 Plan. During the year ended December 31, 2016, the Company repurchased 86,081 shares under the Company 10b5-1 Plan at a weighted average price per share of $15.44, inclusive of commissions, for a total cost of $1.3 million.</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9" w:name="page120"/>
    <w:bookmarkEnd w:id="119"/>
    <w:p>
      <w:pPr>
        <w:ind w:left="280" w:hanging="272"/>
        <w:spacing w:after="0"/>
        <w:tabs>
          <w:tab w:leader="none" w:pos="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120" w:type="dxa"/>
            <w:vAlign w:val="bottom"/>
            <w:shd w:val="clear" w:color="auto" w:fill="CFF0FC"/>
          </w:tcPr>
          <w:p>
            <w:pPr>
              <w:spacing w:after="0"/>
              <w:rPr>
                <w:sz w:val="19"/>
                <w:szCs w:val="19"/>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59,995,387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58,591,380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54,006,322</w:t>
            </w:r>
          </w:p>
        </w:tc>
        <w:tc>
          <w:tcPr>
            <w:tcW w:w="120" w:type="dxa"/>
            <w:vAlign w:val="bottom"/>
          </w:tcPr>
          <w:p>
            <w:pPr>
              <w:spacing w:after="0"/>
              <w:rPr>
                <w:sz w:val="20"/>
                <w:szCs w:val="20"/>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2017 was less than the conversion price for the 2019 and 2022 Convertible Senior Notes outstanding as of December 31, 2017. Therefore, for all periods presented in the financial statements, the underlying shares for the intrinsic value of the embedded options in the 2019 and 2022 Convertible Senior Notes have no impact on the computation of diluted earnings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3"/>
          </w:tcPr>
          <w:p>
            <w:pPr>
              <w:jc w:val="right"/>
              <w:ind w:right="1673"/>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5"/>
          </w:tcPr>
          <w:p>
            <w:pPr>
              <w:jc w:val="right"/>
              <w:ind w:right="145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Dividend</w:t>
            </w:r>
          </w:p>
        </w:tc>
        <w:tc>
          <w:tcPr>
            <w:tcW w:w="222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jc w:val="right"/>
              <w:ind w:right="673"/>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 2017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May 3, 2017</w:t>
            </w:r>
          </w:p>
        </w:tc>
        <w:tc>
          <w:tcPr>
            <w:tcW w:w="1160" w:type="dxa"/>
            <w:vAlign w:val="bottom"/>
            <w:gridSpan w:val="5"/>
          </w:tcPr>
          <w:p>
            <w:pPr>
              <w:jc w:val="center"/>
              <w:ind w:right="140"/>
              <w:spacing w:after="0"/>
              <w:rPr>
                <w:sz w:val="20"/>
                <w:szCs w:val="20"/>
                <w:color w:val="auto"/>
              </w:rPr>
            </w:pPr>
            <w:r>
              <w:rPr>
                <w:rFonts w:ascii="Arial" w:cs="Arial" w:eastAsia="Arial" w:hAnsi="Arial"/>
                <w:sz w:val="18"/>
                <w:szCs w:val="18"/>
                <w:color w:val="auto"/>
                <w:w w:val="89"/>
              </w:rPr>
              <w:t>Supplemental</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May 31, 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6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center"/>
              <w:ind w:right="200"/>
              <w:spacing w:after="0"/>
              <w:rPr>
                <w:sz w:val="20"/>
                <w:szCs w:val="20"/>
                <w:color w:val="auto"/>
              </w:rPr>
            </w:pPr>
            <w:r>
              <w:rPr>
                <w:rFonts w:ascii="Arial" w:cs="Arial" w:eastAsia="Arial" w:hAnsi="Arial"/>
                <w:sz w:val="18"/>
                <w:szCs w:val="18"/>
                <w:color w:val="auto"/>
                <w:w w:val="82"/>
              </w:rPr>
              <w:t>Base</w:t>
            </w:r>
          </w:p>
        </w:tc>
        <w:tc>
          <w:tcPr>
            <w:tcW w:w="2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June 15, 2017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14, 2017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August 2, 2017</w:t>
            </w:r>
          </w:p>
        </w:tc>
        <w:tc>
          <w:tcPr>
            <w:tcW w:w="1160" w:type="dxa"/>
            <w:vAlign w:val="bottom"/>
            <w:gridSpan w:val="5"/>
          </w:tcPr>
          <w:p>
            <w:pPr>
              <w:jc w:val="center"/>
              <w:ind w:right="140"/>
              <w:spacing w:after="0"/>
              <w:rPr>
                <w:sz w:val="20"/>
                <w:szCs w:val="20"/>
                <w:color w:val="auto"/>
              </w:rPr>
            </w:pPr>
            <w:r>
              <w:rPr>
                <w:rFonts w:ascii="Arial" w:cs="Arial" w:eastAsia="Arial" w:hAnsi="Arial"/>
                <w:sz w:val="18"/>
                <w:szCs w:val="18"/>
                <w:color w:val="auto"/>
                <w:w w:val="89"/>
              </w:rPr>
              <w:t>Supplemental</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August 31, 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September 29, 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August 2, 2017</w:t>
            </w:r>
          </w:p>
        </w:tc>
        <w:tc>
          <w:tcPr>
            <w:tcW w:w="6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center"/>
              <w:ind w:right="200"/>
              <w:spacing w:after="0"/>
              <w:rPr>
                <w:sz w:val="20"/>
                <w:szCs w:val="20"/>
                <w:color w:val="auto"/>
              </w:rPr>
            </w:pPr>
            <w:r>
              <w:rPr>
                <w:rFonts w:ascii="Arial" w:cs="Arial" w:eastAsia="Arial" w:hAnsi="Arial"/>
                <w:sz w:val="18"/>
                <w:szCs w:val="18"/>
                <w:color w:val="auto"/>
                <w:w w:val="82"/>
              </w:rPr>
              <w:t>Base</w:t>
            </w:r>
          </w:p>
        </w:tc>
        <w:tc>
          <w:tcPr>
            <w:tcW w:w="2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September 15, 2017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13, 2017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November 7, 2017</w:t>
            </w:r>
          </w:p>
        </w:tc>
        <w:tc>
          <w:tcPr>
            <w:tcW w:w="1160" w:type="dxa"/>
            <w:vAlign w:val="bottom"/>
            <w:gridSpan w:val="5"/>
          </w:tcPr>
          <w:p>
            <w:pPr>
              <w:jc w:val="center"/>
              <w:ind w:right="140"/>
              <w:spacing w:after="0"/>
              <w:rPr>
                <w:sz w:val="20"/>
                <w:szCs w:val="20"/>
                <w:color w:val="auto"/>
              </w:rPr>
            </w:pPr>
            <w:r>
              <w:rPr>
                <w:rFonts w:ascii="Arial" w:cs="Arial" w:eastAsia="Arial" w:hAnsi="Arial"/>
                <w:sz w:val="18"/>
                <w:szCs w:val="18"/>
                <w:color w:val="auto"/>
                <w:w w:val="89"/>
              </w:rPr>
              <w:t>Supplemental</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November 30, 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December 29, 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6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center"/>
              <w:ind w:right="200"/>
              <w:spacing w:after="0"/>
              <w:rPr>
                <w:sz w:val="20"/>
                <w:szCs w:val="20"/>
                <w:color w:val="auto"/>
              </w:rPr>
            </w:pPr>
            <w:r>
              <w:rPr>
                <w:rFonts w:ascii="Arial" w:cs="Arial" w:eastAsia="Arial" w:hAnsi="Arial"/>
                <w:sz w:val="18"/>
                <w:szCs w:val="18"/>
                <w:color w:val="auto"/>
                <w:w w:val="82"/>
              </w:rPr>
              <w:t>Base</w:t>
            </w:r>
          </w:p>
        </w:tc>
        <w:tc>
          <w:tcPr>
            <w:tcW w:w="2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December 15, 2017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3"/>
            <w:vMerge w:val="restart"/>
          </w:tcPr>
          <w:p>
            <w:pPr>
              <w:jc w:val="right"/>
              <w:ind w:right="1633"/>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5"/>
          </w:tcPr>
          <w:p>
            <w:pPr>
              <w:jc w:val="right"/>
              <w:ind w:right="1413"/>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Dividend</w:t>
            </w:r>
          </w:p>
        </w:tc>
        <w:tc>
          <w:tcPr>
            <w:tcW w:w="2220" w:type="dxa"/>
            <w:vAlign w:val="bottom"/>
            <w:gridSpan w:val="2"/>
          </w:tcPr>
          <w:p>
            <w:pPr>
              <w:jc w:val="right"/>
              <w:ind w:right="760"/>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jc w:val="right"/>
              <w:ind w:right="693"/>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29, 2016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May 4, 2016</w:t>
            </w:r>
          </w:p>
        </w:tc>
        <w:tc>
          <w:tcPr>
            <w:tcW w:w="60" w:type="dxa"/>
            <w:vAlign w:val="bottom"/>
          </w:tcPr>
          <w:p>
            <w:pPr>
              <w:spacing w:after="0"/>
              <w:rPr>
                <w:sz w:val="19"/>
                <w:szCs w:val="19"/>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8"/>
                <w:szCs w:val="18"/>
                <w:color w:val="auto"/>
                <w:w w:val="87"/>
              </w:rPr>
              <w:t>Base</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June 30, 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July 29, 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August 3, 2016</w:t>
            </w:r>
          </w:p>
        </w:tc>
        <w:tc>
          <w:tcPr>
            <w:tcW w:w="6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center"/>
              <w:ind w:right="180"/>
              <w:spacing w:after="0"/>
              <w:rPr>
                <w:sz w:val="20"/>
                <w:szCs w:val="20"/>
                <w:color w:val="auto"/>
              </w:rPr>
            </w:pPr>
            <w:r>
              <w:rPr>
                <w:rFonts w:ascii="Arial" w:cs="Arial" w:eastAsia="Arial" w:hAnsi="Arial"/>
                <w:sz w:val="18"/>
                <w:szCs w:val="18"/>
                <w:color w:val="auto"/>
                <w:w w:val="87"/>
              </w:rPr>
              <w:t>Base</w:t>
            </w:r>
          </w:p>
        </w:tc>
        <w:tc>
          <w:tcPr>
            <w:tcW w:w="2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September 30, 2016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7, 2016</w:t>
            </w:r>
          </w:p>
        </w:tc>
        <w:tc>
          <w:tcPr>
            <w:tcW w:w="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4"/>
          </w:tcPr>
          <w:p>
            <w:pPr>
              <w:jc w:val="center"/>
              <w:ind w:right="180"/>
              <w:spacing w:after="0"/>
              <w:rPr>
                <w:sz w:val="20"/>
                <w:szCs w:val="20"/>
                <w:color w:val="auto"/>
              </w:rPr>
            </w:pPr>
            <w:r>
              <w:rPr>
                <w:rFonts w:ascii="Arial" w:cs="Arial" w:eastAsia="Arial" w:hAnsi="Arial"/>
                <w:sz w:val="18"/>
                <w:szCs w:val="18"/>
                <w:color w:val="auto"/>
                <w:w w:val="87"/>
              </w:rPr>
              <w:t>Base</w:t>
            </w:r>
          </w:p>
        </w:tc>
        <w:tc>
          <w:tcPr>
            <w:tcW w:w="22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December 31, 2016</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31, 2017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hanging="512"/>
        <w:spacing w:after="0" w:line="259"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187"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dividends declared during the years ended December 31, 2017 and December 31, 2016, were derived from net investment income and long-term capital gains, determined on a tax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ind w:left="280" w:hanging="272"/>
        <w:spacing w:after="0"/>
        <w:tabs>
          <w:tab w:leader="none" w:pos="2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fiscal years ended December 31, 2017, 2016 and 2015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2015</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Gains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years ended December 31, 2017, 2016 and 2015, 89.16%, 82.52%, and 83.04% of ordinary income qualified as interest related dividend which is exempt from U.S. withholding tax applicable to non-U.S. shareholders.</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2017, 2016 and 2015, to taxable income at December 31, 2017, 2016 and 2015:</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2015</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(29,802)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Other income (loss) for tax purposes, not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80"/>
              <w:spacing w:after="0"/>
              <w:rPr>
                <w:sz w:val="20"/>
                <w:szCs w:val="20"/>
                <w:color w:val="auto"/>
              </w:rPr>
            </w:pPr>
            <w:r>
              <w:rPr>
                <w:rFonts w:ascii="Arial" w:cs="Arial" w:eastAsia="Arial" w:hAnsi="Arial"/>
                <w:sz w:val="18"/>
                <w:szCs w:val="18"/>
                <w:color w:val="auto"/>
              </w:rPr>
              <w:t>book</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(2,930)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480"/>
              <w:spacing w:after="0"/>
              <w:rPr>
                <w:sz w:val="20"/>
                <w:szCs w:val="20"/>
                <w:color w:val="auto"/>
              </w:rPr>
            </w:pPr>
            <w:r>
              <w:rPr>
                <w:rFonts w:ascii="Arial" w:cs="Arial" w:eastAsia="Arial" w:hAnsi="Arial"/>
                <w:sz w:val="18"/>
                <w:szCs w:val="18"/>
                <w:b w:val="1"/>
                <w:bCs w:val="1"/>
                <w:color w:val="auto"/>
              </w:rPr>
              <w:t>Taxable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During the year ended December 31, 2017, permanent differences were principally related to $11.7 million of recharacterization of prepayment penalties for tax purposes between ordinary income and capital gains, $2.1 million attributable to accrued U.S. federal excise taxes, and $0.2 million attributable to the foreign currency reclassifications.</w:t>
      </w:r>
    </w:p>
    <w:p>
      <w:pPr>
        <w:spacing w:after="0" w:line="18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During the year ended December 31, 2016, permanent differences were principally related to $2.3 million of recharacterization of income for tax purposes between ordinary income and capital gains, $1.8 million attributable to accrued U.S. federal excise taxes, $1.0 million of recharacterization of prepayment penalties for tax purposes between ordinary income and capital gains, and $0.4 million attributable to the foreign currency reclassifications.</w:t>
      </w:r>
    </w:p>
    <w:p>
      <w:pPr>
        <w:spacing w:after="0" w:line="166"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w:t>
      </w:r>
    </w:p>
    <w:p>
      <w:pPr>
        <w:spacing w:after="0" w:line="181" w:lineRule="exact"/>
        <w:rPr>
          <w:sz w:val="20"/>
          <w:szCs w:val="20"/>
          <w:color w:val="auto"/>
        </w:rPr>
      </w:pPr>
    </w:p>
    <w:p>
      <w:pPr>
        <w:jc w:val="both"/>
        <w:ind w:right="40" w:firstLine="259"/>
        <w:spacing w:after="0" w:line="259" w:lineRule="auto"/>
        <w:rPr>
          <w:sz w:val="20"/>
          <w:szCs w:val="20"/>
          <w:color w:val="auto"/>
        </w:rPr>
      </w:pPr>
      <w:r>
        <w:rPr>
          <w:rFonts w:ascii="Arial" w:cs="Arial" w:eastAsia="Arial" w:hAnsi="Arial"/>
          <w:sz w:val="18"/>
          <w:szCs w:val="18"/>
          <w:color w:val="auto"/>
        </w:rPr>
        <w:t>The Company’s wholly-owned subsidiary, TSL MR, LLC, is a taxable subsidiary in which the Company holds certain equity investments. TSL MR,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 As a result of the Tax Reform, the corporate tax rate of TSL, MR, LLC will be 21% as of January 1,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both"/>
        <w:ind w:right="60" w:firstLine="259"/>
        <w:spacing w:after="0" w:line="277" w:lineRule="auto"/>
        <w:rPr>
          <w:sz w:val="20"/>
          <w:szCs w:val="20"/>
          <w:color w:val="auto"/>
        </w:rPr>
      </w:pPr>
      <w:r>
        <w:rPr>
          <w:rFonts w:ascii="Arial" w:cs="Arial" w:eastAsia="Arial" w:hAnsi="Arial"/>
          <w:sz w:val="18"/>
          <w:szCs w:val="18"/>
          <w:color w:val="auto"/>
        </w:rPr>
        <w:t>As of December 31, 2017, the Company had a deferred tax asset of $2.9 million pertaining to operating losses, related to one of its investments. Given the losses generated by the entity, the deferred tax asset has been offset by a valuation allowance of $2.9 million.</w:t>
      </w:r>
    </w:p>
    <w:p>
      <w:pPr>
        <w:spacing w:after="0" w:line="170" w:lineRule="exact"/>
        <w:rPr>
          <w:sz w:val="20"/>
          <w:szCs w:val="20"/>
          <w:color w:val="auto"/>
        </w:rPr>
      </w:pPr>
    </w:p>
    <w:p>
      <w:pPr>
        <w:jc w:val="both"/>
        <w:ind w:right="60" w:firstLine="259"/>
        <w:spacing w:after="0" w:line="277" w:lineRule="auto"/>
        <w:rPr>
          <w:sz w:val="20"/>
          <w:szCs w:val="20"/>
          <w:color w:val="auto"/>
        </w:rPr>
      </w:pPr>
      <w:r>
        <w:rPr>
          <w:rFonts w:ascii="Arial" w:cs="Arial" w:eastAsia="Arial" w:hAnsi="Arial"/>
          <w:sz w:val="18"/>
          <w:szCs w:val="18"/>
          <w:color w:val="auto"/>
        </w:rPr>
        <w:t>As of December 31, 2016, the Company had a deferred tax asset of $3.1 million pertaining to operating losses, related to one of its investments. Given the losses generated by the entity, the deferred tax asset has been offset by a valuation allowance of $3.1 million.</w:t>
      </w:r>
    </w:p>
    <w:p>
      <w:pPr>
        <w:spacing w:after="0" w:line="170" w:lineRule="exact"/>
        <w:rPr>
          <w:sz w:val="20"/>
          <w:szCs w:val="20"/>
          <w:color w:val="auto"/>
        </w:rPr>
      </w:pPr>
    </w:p>
    <w:p>
      <w:pPr>
        <w:jc w:val="both"/>
        <w:ind w:right="40" w:firstLine="259"/>
        <w:spacing w:after="0" w:line="312" w:lineRule="auto"/>
        <w:rPr>
          <w:sz w:val="20"/>
          <w:szCs w:val="20"/>
          <w:color w:val="auto"/>
        </w:rPr>
      </w:pPr>
      <w:r>
        <w:rPr>
          <w:rFonts w:ascii="Arial" w:cs="Arial" w:eastAsia="Arial" w:hAnsi="Arial"/>
          <w:sz w:val="16"/>
          <w:szCs w:val="16"/>
          <w:color w:val="auto"/>
        </w:rPr>
        <w:t>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December 31, 2017 and 2016, approximates their amortized cost.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8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2017, 2016, 2015, 2014, and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2017</w:t>
            </w: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 2016</w:t>
            </w:r>
          </w:p>
        </w:tc>
        <w:tc>
          <w:tcPr>
            <w:tcW w:w="100" w:type="dxa"/>
            <w:vAlign w:val="bottom"/>
          </w:tcPr>
          <w:p>
            <w:pPr>
              <w:spacing w:after="0"/>
              <w:rPr>
                <w:sz w:val="14"/>
                <w:szCs w:val="14"/>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 2015</w:t>
            </w: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2014</w:t>
            </w: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15.95</w:t>
            </w:r>
          </w:p>
        </w:tc>
        <w:tc>
          <w:tcPr>
            <w:tcW w:w="3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15.15</w:t>
            </w:r>
          </w:p>
        </w:tc>
        <w:tc>
          <w:tcPr>
            <w:tcW w:w="2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15.53</w:t>
            </w:r>
          </w:p>
        </w:tc>
        <w:tc>
          <w:tcPr>
            <w:tcW w:w="34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15.52</w:t>
            </w:r>
          </w:p>
        </w:tc>
        <w:tc>
          <w:tcPr>
            <w:tcW w:w="34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gains </w:t>
            </w:r>
            <w:r>
              <w:rPr>
                <w:rFonts w:ascii="Arial" w:cs="Arial" w:eastAsia="Arial" w:hAnsi="Arial"/>
                <w:sz w:val="15"/>
                <w:szCs w:val="15"/>
                <w:color w:val="auto"/>
              </w:rPr>
              <w:t>(2)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9"/>
        </w:trPr>
        <w:tc>
          <w:tcPr>
            <w:tcW w:w="3000" w:type="dxa"/>
            <w:vAlign w:val="bottom"/>
            <w:gridSpan w:val="2"/>
          </w:tcPr>
          <w:p>
            <w:pPr>
              <w:spacing w:after="0"/>
              <w:rPr>
                <w:sz w:val="20"/>
                <w:szCs w:val="20"/>
                <w:color w:val="auto"/>
              </w:rPr>
            </w:pPr>
            <w:r>
              <w:rPr>
                <w:rFonts w:ascii="Arial" w:cs="Arial" w:eastAsia="Arial" w:hAnsi="Arial"/>
                <w:sz w:val="18"/>
                <w:szCs w:val="18"/>
                <w:color w:val="auto"/>
              </w:rPr>
              <w:t>Total increase (decrease) in net</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 Value, End of Period</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spacing w:after="0"/>
              <w:rPr>
                <w:sz w:val="20"/>
                <w:szCs w:val="20"/>
                <w:color w:val="auto"/>
              </w:rPr>
            </w:pPr>
            <w:r>
              <w:rPr>
                <w:rFonts w:ascii="Arial" w:cs="Arial" w:eastAsia="Arial" w:hAnsi="Arial"/>
                <w:sz w:val="18"/>
                <w:szCs w:val="18"/>
                <w:color w:val="auto"/>
              </w:rPr>
              <w:t>Per share market value at end of</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period</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19.80</w:t>
            </w:r>
          </w:p>
        </w:tc>
        <w:tc>
          <w:tcPr>
            <w:tcW w:w="32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20"/>
                <w:szCs w:val="20"/>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16.22</w:t>
            </w:r>
          </w:p>
        </w:tc>
        <w:tc>
          <w:tcPr>
            <w:tcW w:w="34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Total return based on market value </w:t>
            </w:r>
            <w:r>
              <w:rPr>
                <w:rFonts w:ascii="Arial" w:cs="Arial" w:eastAsia="Arial" w:hAnsi="Arial"/>
                <w:sz w:val="15"/>
                <w:szCs w:val="15"/>
                <w:color w:val="auto"/>
                <w:w w:val="97"/>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15.36%</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14.69%</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return based on net asset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11.87%</w:t>
            </w:r>
          </w:p>
        </w:tc>
        <w:tc>
          <w:tcPr>
            <w:tcW w:w="18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60,247,201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59,716,205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54,163,960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53,797,358</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37,026,023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220"/>
              <w:spacing w:after="0"/>
              <w:rPr>
                <w:sz w:val="20"/>
                <w:szCs w:val="20"/>
                <w:color w:val="auto"/>
              </w:rPr>
            </w:pPr>
            <w:r>
              <w:rPr>
                <w:rFonts w:ascii="Arial" w:cs="Arial" w:eastAsia="Arial" w:hAnsi="Arial"/>
                <w:sz w:val="18"/>
                <w:szCs w:val="18"/>
                <w:color w:val="auto"/>
              </w:rPr>
              <w:t>to average net 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12.49%</w:t>
            </w:r>
          </w:p>
        </w:tc>
        <w:tc>
          <w:tcPr>
            <w:tcW w:w="18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13.42%</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62.81%</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34.51%</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53.16%</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969,284</w:t>
            </w:r>
          </w:p>
        </w:tc>
        <w:tc>
          <w:tcPr>
            <w:tcW w:w="32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952,212</w:t>
            </w:r>
          </w:p>
        </w:tc>
        <w:tc>
          <w:tcPr>
            <w:tcW w:w="240" w:type="dxa"/>
            <w:vAlign w:val="bottom"/>
          </w:tcPr>
          <w:p>
            <w:pPr>
              <w:spacing w:after="0"/>
              <w:rPr>
                <w:sz w:val="20"/>
                <w:szCs w:val="20"/>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820,741</w:t>
            </w:r>
          </w:p>
        </w:tc>
        <w:tc>
          <w:tcPr>
            <w:tcW w:w="34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835,405</w:t>
            </w:r>
          </w:p>
        </w:tc>
        <w:tc>
          <w:tcPr>
            <w:tcW w:w="34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574,696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2" w:name="page123"/>
    <w:bookmarkEnd w:id="122"/>
    <w:p>
      <w:pPr>
        <w:ind w:left="500" w:hanging="492"/>
        <w:spacing w:after="0" w:line="258"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and Triangle Capital Corp.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3" w:lineRule="exact"/>
        <w:rPr>
          <w:rFonts w:ascii="Arial" w:cs="Arial" w:eastAsia="Arial" w:hAnsi="Arial"/>
          <w:sz w:val="18"/>
          <w:szCs w:val="18"/>
          <w:color w:val="auto"/>
        </w:rPr>
      </w:pPr>
    </w:p>
    <w:p>
      <w:pPr>
        <w:ind w:left="500" w:hanging="492"/>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7"/>
          </w:tcPr>
          <w:p>
            <w:pPr>
              <w:jc w:val="right"/>
              <w:ind w:right="145"/>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7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21,946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unrealized and realized losses</w:t>
            </w:r>
          </w:p>
        </w:tc>
        <w:tc>
          <w:tcPr>
            <w:tcW w:w="7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(133)</w:t>
            </w:r>
          </w:p>
        </w:tc>
        <w:tc>
          <w:tcPr>
            <w:tcW w:w="360" w:type="dxa"/>
            <w:vAlign w:val="bottom"/>
            <w:gridSpan w:val="4"/>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(6,170)</w:t>
            </w:r>
          </w:p>
        </w:tc>
        <w:tc>
          <w:tcPr>
            <w:tcW w:w="360" w:type="dxa"/>
            <w:vAlign w:val="bottom"/>
            <w:gridSpan w:val="4"/>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(2,106)</w:t>
            </w:r>
          </w:p>
        </w:tc>
        <w:tc>
          <w:tcPr>
            <w:tcW w:w="36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(241)</w:t>
            </w: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7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4"/>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4"/>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49,708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7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21,641</w:t>
            </w:r>
          </w:p>
        </w:tc>
        <w:tc>
          <w:tcPr>
            <w:tcW w:w="120" w:type="dxa"/>
            <w:vAlign w:val="bottom"/>
          </w:tcPr>
          <w:p>
            <w:pPr>
              <w:spacing w:after="0"/>
              <w:rPr>
                <w:sz w:val="19"/>
                <w:szCs w:val="19"/>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28,067</w:t>
            </w: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19"/>
                <w:szCs w:val="19"/>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(5,421)</w:t>
            </w: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7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32,723</w:t>
            </w: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0"/>
                <w:szCs w:val="20"/>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right"/>
              <w:ind w:right="165"/>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gridSpan w:val="2"/>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43,559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3"/>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46,774</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3"/>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3"/>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7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19,916</w:t>
            </w:r>
          </w:p>
        </w:tc>
        <w:tc>
          <w:tcPr>
            <w:tcW w:w="120" w:type="dxa"/>
            <w:vAlign w:val="bottom"/>
          </w:tcPr>
          <w:p>
            <w:pPr>
              <w:spacing w:after="0"/>
              <w:rPr>
                <w:sz w:val="19"/>
                <w:szCs w:val="19"/>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23,643</w:t>
            </w: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(27,985)</w:t>
            </w: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(16,512)</w:t>
            </w: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w w:val="99"/>
              </w:rPr>
              <w:t>Increase (decrease) in Net Assets Resulting from Operations</w:t>
            </w:r>
          </w:p>
        </w:tc>
        <w:tc>
          <w:tcPr>
            <w:tcW w:w="7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(4,342)</w:t>
            </w:r>
          </w:p>
        </w:tc>
        <w:tc>
          <w:tcPr>
            <w:tcW w:w="3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0"/>
                <w:szCs w:val="20"/>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4"/>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(1)</w:t>
            </w: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Net expenses include income taxes, including excise taxes.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estimated offering costs, were approximately $147.1 million. The Company used the net proceeds of the 2023 Notes to repay outstanding indebtedness under the Revolving Credit Facility.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ind w:right="60" w:firstLine="259"/>
        <w:spacing w:after="0" w:line="264" w:lineRule="auto"/>
        <w:rPr>
          <w:sz w:val="20"/>
          <w:szCs w:val="20"/>
          <w:color w:val="auto"/>
        </w:rPr>
      </w:pPr>
      <w:r>
        <w:rPr>
          <w:rFonts w:ascii="Arial" w:cs="Arial" w:eastAsia="Arial" w:hAnsi="Arial"/>
          <w:sz w:val="18"/>
          <w:szCs w:val="18"/>
          <w:color w:val="auto"/>
        </w:rPr>
        <w:t>In connection with the offering, the Company entered into an interest rate swap to better align the interest rates of its liabilities with the Company’s investment portfolio, which consists of predominately floating rate loans. As a result of the swap, the Company’s effective interest rate on the 2023 Notes is three-month LIBOR plus 199 basis points. The swap transaction matures on January 22, 2023.</w:t>
      </w:r>
    </w:p>
    <w:p>
      <w:pPr>
        <w:spacing w:after="0" w:line="181"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February 20, 2018, the Company entered into an amendment to the Revolving Credit Facility. Under the terms of the amendment, aggregate commitments under the facility were increased to $990 million. In addition, with respect to $895 million in commitments, amounts drawn under the facility bear interest at a rate of LIBOR plus a margin of either 1.75% or 1.875%, or the prime rate plus a margin of either 0.75% or 0.875%. With respect to $95 million in commitments, amounts drawn under the facility bear interest at a rate of LIBOR plus a margin of either 1.75% or 2.00%, or the prime rate plus a margin of either 0.75% or 1.00%.</w:t>
      </w:r>
    </w:p>
    <w:p>
      <w:pPr>
        <w:spacing w:after="0" w:line="188"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The maturity of the facility was also extended. With respect to $895 million in commitments, the revolving period ends in February 2022 and the stated maturity date is February 2023. For the remaining $95 million of commitments, the revolving period ends in either October 2019 or December 2020, and the stated maturity date is either October 2020 or December 2021. Under the terms of the Revolving Credit Facility, the Company may at any time determine to cancel the commitments that were not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b w:val="1"/>
          <w:bCs w:val="1"/>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(2013 COSO Framework).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management concluded that our internal control over financial reporting was effective as of December 31, 2017.</w:t>
      </w:r>
    </w:p>
    <w:p>
      <w:pPr>
        <w:spacing w:after="0" w:line="17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b w:val="1"/>
          <w:bCs w:val="1"/>
          <w:i w:val="1"/>
          <w:iCs w:val="1"/>
          <w:color w:val="auto"/>
        </w:rPr>
        <w:t xml:space="preserve">Attestation Report of the Independent Registered Public Accounting Firm. </w:t>
      </w:r>
      <w:r>
        <w:rPr>
          <w:rFonts w:ascii="Arial" w:cs="Arial" w:eastAsia="Arial" w:hAnsi="Arial"/>
          <w:sz w:val="18"/>
          <w:szCs w:val="18"/>
          <w:color w:val="auto"/>
        </w:rPr>
        <w:t>Our independent registered public accounting firm, KPMG LLP, has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audit report on the effectiveness of our internal control over financial reporting, which is set forth under the heading “Report of Independent Registered Public Accounting Firm” on page F-2.</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0" w:firstLine="259"/>
        <w:spacing w:after="0" w:line="286" w:lineRule="auto"/>
        <w:rPr>
          <w:sz w:val="20"/>
          <w:szCs w:val="20"/>
          <w:color w:val="auto"/>
        </w:rPr>
      </w:pPr>
      <w:r>
        <w:rPr>
          <w:rFonts w:ascii="Arial" w:cs="Arial" w:eastAsia="Arial" w:hAnsi="Arial"/>
          <w:sz w:val="17"/>
          <w:szCs w:val="17"/>
          <w:color w:val="auto"/>
        </w:rPr>
        <w:t>Except for the information regarding the SOX Code of Business Conduct and Ethics (which is set forth below), information in response to this item is incorporated by reference from our Proxy Statement relating to our 2018 annual meeting of stockholders. The Proxy Statement will be filed with the SEC within 120 days after the end of the fiscal year covered by this Form 10-K pursuant to Regulation 14A under the Exchange Act.</w:t>
      </w:r>
    </w:p>
    <w:p>
      <w:pPr>
        <w:spacing w:after="0" w:line="166"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Our SOX Code of Business Conduct and Ethics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2018 annual meeting of stockholders.</w:t>
      </w:r>
    </w:p>
    <w:p>
      <w:pPr>
        <w:spacing w:after="0" w:line="200" w:lineRule="exact"/>
        <w:rPr>
          <w:sz w:val="20"/>
          <w:szCs w:val="20"/>
          <w:color w:val="auto"/>
        </w:rPr>
      </w:pPr>
    </w:p>
    <w:p>
      <w:pPr>
        <w:spacing w:after="0" w:line="22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2018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2018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2018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26" w:name="page127"/>
    <w:bookmarkEnd w:id="126"/>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260" w:right="400" w:hanging="252"/>
        <w:spacing w:after="0" w:line="277" w:lineRule="auto"/>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260" w:right="40" w:hanging="252"/>
        <w:spacing w:after="0" w:line="264" w:lineRule="auto"/>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Exhibits—The following is a list of all exhibits filed as a part of this annual report on Form 10-K, including those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gridSpan w:val="25"/>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291"/>
        </w:trPr>
        <w:tc>
          <w:tcPr>
            <w:tcW w:w="90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56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Amended and Restated Certificate of Incorporation (incorporated by reference to Exhibit 3.1 to Amendment No. 1 to the Company’s</w:t>
              </w:r>
            </w:hyperlink>
          </w:p>
        </w:tc>
        <w:tc>
          <w:tcPr>
            <w:tcW w:w="780" w:type="dxa"/>
            <w:vAlign w:val="bottom"/>
            <w:tcBorders>
              <w:top w:val="single" w:sz="8" w:color="auto"/>
            </w:tcBorders>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Registration Statement on Form 10 filed on March 14, 2011).</w:t>
              </w:r>
            </w:hyperlink>
          </w:p>
        </w:tc>
        <w:tc>
          <w:tcPr>
            <w:tcW w:w="59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EE"/>
                <w:w w:val="93"/>
              </w:rPr>
            </w:pPr>
            <w:hyperlink r:id="rId158">
              <w:r>
                <w:rPr>
                  <w:rFonts w:ascii="Arial" w:cs="Arial" w:eastAsia="Arial" w:hAnsi="Arial"/>
                  <w:sz w:val="18"/>
                  <w:szCs w:val="18"/>
                  <w:color w:val="0000EE"/>
                  <w:w w:val="93"/>
                </w:rPr>
                <w:t>Certificate of Amendment to Amended and Restated Certificate of Incorporation (incorporated by reference to Exhibit 3.1 to the Company’s</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Current Report on Form 8-K filed on March 12, 2014).</w:t>
              </w:r>
            </w:hyperlink>
          </w:p>
        </w:tc>
        <w:tc>
          <w:tcPr>
            <w:tcW w:w="6140" w:type="dxa"/>
            <w:vAlign w:val="bottom"/>
            <w:tcBorders>
              <w:top w:val="single" w:sz="8" w:color="0000EE"/>
            </w:tcBorders>
            <w:gridSpan w:val="14"/>
          </w:tcPr>
          <w:p>
            <w:pPr>
              <w:spacing w:after="0"/>
              <w:rPr>
                <w:sz w:val="17"/>
                <w:szCs w:val="17"/>
                <w:color w:val="auto"/>
              </w:rPr>
            </w:pPr>
          </w:p>
        </w:tc>
        <w:tc>
          <w:tcPr>
            <w:tcW w:w="2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Certificate of Change of Registered Agent and/or Registered Office (incorporated by reference to Exhibit 3.1 to the Company’s Quarterly</w:t>
              </w:r>
            </w:hyperlink>
          </w:p>
        </w:tc>
        <w:tc>
          <w:tcPr>
            <w:tcW w:w="4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Report on Form 10-Q filed on November 7, 2016).</w:t>
              </w:r>
            </w:hyperlink>
          </w:p>
        </w:tc>
        <w:tc>
          <w:tcPr>
            <w:tcW w:w="66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Bylaws of TPG Specialty Lending, Inc., effective as of November 7, 2016 (incorporated by reference to Exhibit 3.2 to the Company’s</w:t>
              </w:r>
            </w:hyperlink>
          </w:p>
        </w:tc>
        <w:tc>
          <w:tcPr>
            <w:tcW w:w="7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Quarterly Report on Form 10-Q filed on November 7, 2016).</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Form of Common Stock Certificate (incorporated by reference to Exhibit 4.2 to the Company’s Annual Report on Form 10-K filed on March</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22, 2012).</w:t>
              </w:r>
            </w:hyperlink>
          </w:p>
        </w:tc>
        <w:tc>
          <w:tcPr>
            <w:tcW w:w="2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320" w:type="dxa"/>
            <w:vAlign w:val="bottom"/>
            <w:tcBorders>
              <w:bottom w:val="single" w:sz="8" w:color="0000EE"/>
            </w:tcBorders>
            <w:gridSpan w:val="24"/>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Indenture, dated June 10, 2014, between TPG Specialty Lending, Inc. and Wells Fargo Bank, National Association, as Trustee (incorporated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reference to Exhibit 4.1 to the Company’s Current Report on Form 8-K filed on June 10, 2014).</w:t>
              </w:r>
            </w:hyperlink>
          </w:p>
        </w:tc>
        <w:tc>
          <w:tcPr>
            <w:tcW w:w="34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060" w:type="dxa"/>
            <w:vAlign w:val="bottom"/>
            <w:tcBorders>
              <w:bottom w:val="single" w:sz="8" w:color="0000EE"/>
            </w:tcBorders>
            <w:gridSpan w:val="19"/>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Form of 4.50% Convertible Senior Note Due 2019 (incorporated by reference to Exhibit 4.2 to the Company’s Current Report on Form 8-K</w:t>
              </w:r>
            </w:hyperlink>
          </w:p>
        </w:tc>
        <w:tc>
          <w:tcPr>
            <w:tcW w:w="2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filed on June 10, 2014).</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Indenture, dated as of February 1, 2017, between TPG Specialty Lending, Inc. and Wells Fargo Bank, National Association, as Trustee</w:t>
              </w:r>
            </w:hyperlink>
          </w:p>
        </w:tc>
        <w:tc>
          <w:tcPr>
            <w:tcW w:w="6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(incorporated by reference to Exhibit 4.1 to the Company’s Current Report on Form 8-K filed on February 1, 2017).</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5160" w:type="dxa"/>
            <w:vAlign w:val="bottom"/>
            <w:gridSpan w:val="6"/>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060" w:type="dxa"/>
            <w:vAlign w:val="bottom"/>
            <w:tcBorders>
              <w:bottom w:val="single" w:sz="8" w:color="0000EE"/>
            </w:tcBorders>
            <w:gridSpan w:val="19"/>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Form of 4.50% Convertible Senior Note Due 2022 (incorporated by reference to Exhibit 4.2 to the Company’s Current Report on Form 8-K</w:t>
              </w:r>
            </w:hyperlink>
          </w:p>
        </w:tc>
        <w:tc>
          <w:tcPr>
            <w:tcW w:w="2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filed on February 1, 2017).</w:t>
              </w:r>
            </w:hyperlink>
          </w:p>
        </w:tc>
        <w:tc>
          <w:tcPr>
            <w:tcW w:w="840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Indenture, dated as of January 22, 2018, between TPG Specialty Lending, Inc. and Wells Fargo Bank, National Association, as Trustee</w:t>
              </w:r>
            </w:hyperlink>
          </w:p>
        </w:tc>
        <w:tc>
          <w:tcPr>
            <w:tcW w:w="6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(incorporated by reference to Exhibit 4.1 to the Company’s Current Report on Form 8-K filed on January 22, 2018).</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40" w:type="dxa"/>
            <w:vAlign w:val="bottom"/>
            <w:gridSpan w:val="9"/>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10340" w:type="dxa"/>
            <w:vAlign w:val="bottom"/>
            <w:tcBorders>
              <w:bottom w:val="single" w:sz="8" w:color="0000EE"/>
            </w:tcBorders>
            <w:gridSpan w:val="25"/>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First Supplemental Indenture, dated as of January 22, 2018, between TPG Specialty Lending, Inc. and Wells Fargo Bank, National Association,</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as Trustee (incorporated by reference to Exhibit 4.2 to the Company’s Current Report on Form 8-K filed on January 22, 2018).</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40" w:type="dxa"/>
            <w:vAlign w:val="bottom"/>
            <w:gridSpan w:val="9"/>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Form of 4.500% Note Due 2023 (incorporated by reference to Exhibit 4.3 to the Company’s Current Report on Form 8-K filed on January 22,</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65">
              <w:r>
                <w:rPr>
                  <w:rFonts w:ascii="Arial" w:cs="Arial" w:eastAsia="Arial" w:hAnsi="Arial"/>
                  <w:sz w:val="18"/>
                  <w:szCs w:val="18"/>
                  <w:color w:val="0000EE"/>
                  <w:w w:val="86"/>
                </w:rPr>
                <w:t>2018).</w:t>
              </w:r>
            </w:hyperlink>
          </w:p>
        </w:tc>
        <w:tc>
          <w:tcPr>
            <w:tcW w:w="2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w w:val="85"/>
              </w:rPr>
              <w:t>10.1</w:t>
            </w:r>
          </w:p>
        </w:tc>
        <w:tc>
          <w:tcPr>
            <w:tcW w:w="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Form of Indemnification Agreement between the Company and certain officers and directors (incorporated by reference to Exhibit 10.3 to</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Amendment No. 1 to the Company’s Registration Statement on Form 10 filed on March 14, 2011).</w:t>
              </w:r>
            </w:hyperlink>
          </w:p>
        </w:tc>
        <w:tc>
          <w:tcPr>
            <w:tcW w:w="4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00" w:type="dxa"/>
            <w:vAlign w:val="bottom"/>
            <w:gridSpan w:val="10"/>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Arial" w:cs="Arial" w:eastAsia="Arial" w:hAnsi="Arial"/>
                <w:sz w:val="18"/>
                <w:szCs w:val="18"/>
                <w:color w:val="auto"/>
                <w:w w:val="85"/>
              </w:rPr>
              <w:t>10.2</w:t>
            </w:r>
          </w:p>
        </w:tc>
        <w:tc>
          <w:tcPr>
            <w:tcW w:w="180" w:type="dxa"/>
            <w:vAlign w:val="bottom"/>
          </w:tcPr>
          <w:p>
            <w:pPr>
              <w:spacing w:after="0"/>
              <w:rPr>
                <w:sz w:val="24"/>
                <w:szCs w:val="24"/>
                <w:color w:val="auto"/>
              </w:rPr>
            </w:pPr>
          </w:p>
        </w:tc>
        <w:tc>
          <w:tcPr>
            <w:tcW w:w="10180" w:type="dxa"/>
            <w:vAlign w:val="bottom"/>
            <w:tcBorders>
              <w:bottom w:val="single" w:sz="8" w:color="0000EE"/>
            </w:tcBorders>
            <w:gridSpan w:val="22"/>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Amended and Restated Investment Advisory and Management Agreement, dated December 12, 2011, between the Company and the Adviser</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(incorporated by reference to Exhibit 10.1 to the Company’s Current Report on Form 8-K filed on December 13, 2011).</w:t>
              </w:r>
            </w:hyperlink>
          </w:p>
        </w:tc>
        <w:tc>
          <w:tcPr>
            <w:tcW w:w="20" w:type="dxa"/>
            <w:vAlign w:val="bottom"/>
          </w:tcPr>
          <w:p>
            <w:pPr>
              <w:spacing w:after="0"/>
              <w:rPr>
                <w:sz w:val="17"/>
                <w:szCs w:val="17"/>
                <w:color w:val="auto"/>
              </w:rPr>
            </w:pPr>
          </w:p>
        </w:tc>
      </w:tr>
      <w:tr>
        <w:trPr>
          <w:trHeight w:val="453"/>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80" w:type="dxa"/>
            <w:vAlign w:val="bottom"/>
            <w:tcBorders>
              <w:top w:val="single" w:sz="8" w:color="0000EE"/>
            </w:tcBorders>
            <w:gridSpan w:val="9"/>
          </w:tcPr>
          <w:p>
            <w:pPr>
              <w:ind w:left="4540"/>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gridSpan w:val="30"/>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291"/>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340" w:type="dxa"/>
            <w:vAlign w:val="bottom"/>
            <w:tcBorders>
              <w:top w:val="single" w:sz="8" w:color="auto"/>
            </w:tcBorders>
            <w:gridSpan w:val="30"/>
          </w:tcPr>
          <w:p>
            <w:pPr>
              <w:spacing w:after="0"/>
              <w:rPr>
                <w:rFonts w:ascii="Arial" w:cs="Arial" w:eastAsia="Arial" w:hAnsi="Arial"/>
                <w:sz w:val="18"/>
                <w:szCs w:val="18"/>
                <w:color w:val="0000EE"/>
                <w:w w:val="94"/>
              </w:rPr>
            </w:pPr>
            <w:hyperlink r:id="rId170">
              <w:r>
                <w:rPr>
                  <w:rFonts w:ascii="Arial" w:cs="Arial" w:eastAsia="Arial" w:hAnsi="Arial"/>
                  <w:sz w:val="18"/>
                  <w:szCs w:val="18"/>
                  <w:color w:val="0000EE"/>
                  <w:w w:val="94"/>
                </w:rPr>
                <w:t>Custodian Agreement dated November 29, 2012 (incorporated by reference to Exhibit 10.1 to the Company’s Current Report on Form 8-K</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filed on December 4, 2012).</w:t>
              </w:r>
            </w:hyperlink>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180" w:type="dxa"/>
            <w:vAlign w:val="bottom"/>
            <w:tcBorders>
              <w:bottom w:val="single" w:sz="8" w:color="0000EE"/>
            </w:tcBorders>
            <w:gridSpan w:val="24"/>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Amended and Restated Revolving Credit and Security Agreement, dated as of January 21, 2014, among TPG SL SPV, LLC, as Borrower, the</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Lenders from Time to Time Parties Hereto, Natixis, New York Branch, as Facility Agent and State Street Bank and Trust Company, as</w:t>
              </w:r>
            </w:hyperlink>
          </w:p>
        </w:tc>
        <w:tc>
          <w:tcPr>
            <w:tcW w:w="6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Collateral Agent (incorporated by reference to Exhibit 10.18 to the Company’s Annual Report on Form 10-K filed on March 4, 2014).</w:t>
              </w:r>
            </w:hyperlink>
          </w:p>
        </w:tc>
        <w:tc>
          <w:tcPr>
            <w:tcW w:w="6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220" w:type="dxa"/>
            <w:vAlign w:val="bottom"/>
            <w:tcBorders>
              <w:bottom w:val="single" w:sz="8" w:color="0000EE"/>
            </w:tcBorders>
            <w:gridSpan w:val="26"/>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Amended and Restated Master Sale and Contribution Agreement by and between TPG Specialty Lending, Inc., as the Originator and TPG SL</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SPV, LLC, as the Buyer, dated as of January 21, 2014 (incorporated by reference to Exhibit 10.19 to the Company’s Annual Report on Form</w:t>
              </w:r>
            </w:hyperlink>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10-K filed on March 4, 2014).</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Second Amended and Restated Senior Secured Credit Agreement, dated February 27, 2014, among TPG Specialty Lending, Inc., as Borrower,</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tcBorders>
              <w:top w:val="single" w:sz="8" w:color="0000EE"/>
            </w:tcBorders>
            <w:gridSpan w:val="27"/>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the Lenders Party Hereto and SunTrust Bank, as Administrative Agent, and JPMorgan Chase Bank, N.A., as Syndication Agent (incorporated</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by reference to Exhibit 10.20 to the Company’s Annual Report on Form 10-K filed on March 4, 2014).</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10080" w:type="dxa"/>
            <w:vAlign w:val="bottom"/>
            <w:tcBorders>
              <w:bottom w:val="single" w:sz="8" w:color="0000EE"/>
            </w:tcBorders>
            <w:gridSpan w:val="22"/>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Dividend Reinvestment Plan of TPG Specialty Lending, Inc. (incorporated by reference to Exhibit (e) to Pre-Effective Amendment No. 4 to</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the Company’s Registration Statement on Form N-2 filed on March 17, 2014).</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10020" w:type="dxa"/>
            <w:vAlign w:val="bottom"/>
            <w:tcBorders>
              <w:bottom w:val="single" w:sz="8" w:color="0000EE"/>
            </w:tcBorders>
            <w:gridSpan w:val="21"/>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Form of Increase Letter pursuant to the Second Amended and Restated Senior Secured Credit Agreement, dated February 27, 2014, among</w:t>
              </w:r>
            </w:hyperlink>
          </w:p>
        </w:tc>
        <w:tc>
          <w:tcPr>
            <w:tcW w:w="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TPG Specialty Lending, Inc., as Borrower, the Lenders Party Hereto and SunTrust Bank, as Administrative Agent, and JPMorgan Chase Bank,</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tcBorders>
              <w:top w:val="single" w:sz="8" w:color="0000EE"/>
            </w:tcBorders>
            <w:gridSpan w:val="28"/>
          </w:tcPr>
          <w:p>
            <w:pPr>
              <w:spacing w:after="0" w:line="196" w:lineRule="exact"/>
              <w:rPr>
                <w:rFonts w:ascii="Arial" w:cs="Arial" w:eastAsia="Arial" w:hAnsi="Arial"/>
                <w:sz w:val="18"/>
                <w:szCs w:val="18"/>
                <w:color w:val="0000EE"/>
                <w:w w:val="95"/>
              </w:rPr>
            </w:pPr>
            <w:hyperlink r:id="rId175">
              <w:r>
                <w:rPr>
                  <w:rFonts w:ascii="Arial" w:cs="Arial" w:eastAsia="Arial" w:hAnsi="Arial"/>
                  <w:sz w:val="18"/>
                  <w:szCs w:val="18"/>
                  <w:color w:val="0000EE"/>
                  <w:w w:val="95"/>
                </w:rPr>
                <w:t>N.A., as Syndication Agent (incorporated by reference to Exhibit 10.3 to the Company’s Quarterly Annual Report on Form 10-Q filed on</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August 4, 2014).</w:t>
              </w:r>
            </w:hyperlink>
          </w:p>
        </w:tc>
        <w:tc>
          <w:tcPr>
            <w:tcW w:w="4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First Amendment to Second Amended and Restated Senior Secured Revolving Credit Agreement, dated June 3, 2014, among TPG Specialty</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Lending, Inc., as Borrower, the Lenders party thereto and SunTrust Bank, as Administrative Agent and Collateral Agent (incorporated by</w:t>
              </w:r>
            </w:hyperlink>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reference to Exhibit 10.4 to the Company’s Quarterly Report on Form 10-Q filed on August 4, 2014).</w:t>
              </w:r>
            </w:hyperlink>
          </w:p>
        </w:tc>
        <w:tc>
          <w:tcPr>
            <w:tcW w:w="2580" w:type="dxa"/>
            <w:vAlign w:val="bottom"/>
            <w:tcBorders>
              <w:top w:val="single" w:sz="8" w:color="0000EE"/>
            </w:tcBorders>
            <w:gridSpan w:val="9"/>
          </w:tcPr>
          <w:p>
            <w:pPr>
              <w:spacing w:after="0"/>
              <w:rPr>
                <w:sz w:val="17"/>
                <w:szCs w:val="17"/>
                <w:color w:val="auto"/>
              </w:rPr>
            </w:pPr>
          </w:p>
        </w:tc>
        <w:tc>
          <w:tcPr>
            <w:tcW w:w="4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5"/>
              </w:rPr>
            </w:pPr>
            <w:hyperlink r:id="rId177">
              <w:r>
                <w:rPr>
                  <w:rFonts w:ascii="Arial" w:cs="Arial" w:eastAsia="Arial" w:hAnsi="Arial"/>
                  <w:sz w:val="18"/>
                  <w:szCs w:val="18"/>
                  <w:color w:val="0000EE"/>
                  <w:w w:val="95"/>
                </w:rPr>
                <w:t>Second Amendment to Second Amended and Restated Senior Secured Revolving Credit Agreement, dated June 27, 2014, among TPG</w:t>
              </w:r>
            </w:hyperlink>
          </w:p>
        </w:tc>
        <w:tc>
          <w:tcPr>
            <w:tcW w:w="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Specialty Lending, Inc., as Borrower, Morgan Stanley Bank, N.A., as a Lender, and SunTrust Bank, as Administrative Agent (incorporated by</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reference to Exhibit 10.5 to the Company’s Quarterly Report on Form 10-Q filed on August 4, 2014).</w:t>
              </w:r>
            </w:hyperlink>
          </w:p>
        </w:tc>
        <w:tc>
          <w:tcPr>
            <w:tcW w:w="2920" w:type="dxa"/>
            <w:vAlign w:val="bottom"/>
            <w:tcBorders>
              <w:top w:val="single" w:sz="8" w:color="0000EE"/>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9840" w:type="dxa"/>
            <w:vAlign w:val="bottom"/>
            <w:tcBorders>
              <w:bottom w:val="single" w:sz="8" w:color="0000EE"/>
            </w:tcBorders>
            <w:gridSpan w:val="14"/>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Third Amendment to Second Amended and Restated Senior Secured Revolving Credit Agreement, dated October 17, 2014, among TPG</w:t>
              </w:r>
            </w:hyperlink>
          </w:p>
        </w:tc>
        <w:tc>
          <w:tcPr>
            <w:tcW w:w="5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Specialty Lending, Inc., as Borrower, the Lenders party thereto and SunTrust Bank, as Administrative Agent (incorporated by reference to</w:t>
              </w:r>
            </w:hyperlink>
          </w:p>
        </w:tc>
        <w:tc>
          <w:tcPr>
            <w:tcW w:w="3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Exhibit 10.1 to the Company’s Quarterly Report on Form 10-Q filed on November 3, 2014).</w:t>
              </w:r>
            </w:hyperlink>
          </w:p>
        </w:tc>
        <w:tc>
          <w:tcPr>
            <w:tcW w:w="37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4"/>
              </w:rPr>
            </w:pPr>
            <w:hyperlink r:id="rId179">
              <w:r>
                <w:rPr>
                  <w:rFonts w:ascii="Arial" w:cs="Arial" w:eastAsia="Arial" w:hAnsi="Arial"/>
                  <w:sz w:val="18"/>
                  <w:szCs w:val="18"/>
                  <w:color w:val="0000EE"/>
                  <w:w w:val="94"/>
                </w:rPr>
                <w:t>Second Amended and Restated Credit and Security Agreement, dated as of March 27, 2015, among TPG SL SPV, LLC, as Borrower, the</w:t>
              </w:r>
            </w:hyperlink>
          </w:p>
        </w:tc>
        <w:tc>
          <w:tcPr>
            <w:tcW w:w="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Lenders from time to time parties thereto, Natixis, New York Branch, as Facility Agent and State Street Bank and Trust Company, as Collateral</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Agent (incorporated by reference to Exhibit 10.1 to the Company’s Current Report on Form 8-K filed on March 30, 2015).</w:t>
              </w:r>
            </w:hyperlink>
          </w:p>
        </w:tc>
        <w:tc>
          <w:tcPr>
            <w:tcW w:w="148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Fourth Amendment to Second Amended and Restated Senior Secured Revolving Credit Agreement, dated October 2, 2015, among TPG</w:t>
              </w:r>
            </w:hyperlink>
          </w:p>
        </w:tc>
        <w:tc>
          <w:tcPr>
            <w:tcW w:w="52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Specialty Lending, Inc., as Borrower, the Lenders party thereto and Suntrust Bank, as Administrative Agent (incorporated by reference to</w:t>
              </w:r>
            </w:hyperlink>
          </w:p>
        </w:tc>
        <w:tc>
          <w:tcPr>
            <w:tcW w:w="4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Exhibit 10.1 to the Company’s Quarterly Report on Form 10-Q filed on November 3, 2015).</w:t>
              </w:r>
            </w:hyperlink>
          </w:p>
        </w:tc>
        <w:tc>
          <w:tcPr>
            <w:tcW w:w="37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9940" w:type="dxa"/>
            <w:vAlign w:val="bottom"/>
            <w:tcBorders>
              <w:bottom w:val="single" w:sz="8" w:color="0000EE"/>
            </w:tcBorders>
            <w:gridSpan w:val="18"/>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Fifth Amendment to Second Amended and Restated Senior Secured Revolving Credit Agreement, dated December 22, 2016, among TPG</w:t>
              </w:r>
            </w:hyperlink>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Specialty Lending, Inc., as Borrower, the Lenders party thereto and SunTrust Bank, as Administrative Agent (incorporated by reference to</w:t>
              </w:r>
            </w:hyperlink>
          </w:p>
        </w:tc>
        <w:tc>
          <w:tcPr>
            <w:tcW w:w="3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Exhibit 10.15 to the Company’s Annual Report on Form 10-K filed on February 22, 2017).</w:t>
              </w:r>
            </w:hyperlink>
          </w:p>
        </w:tc>
        <w:tc>
          <w:tcPr>
            <w:tcW w:w="20" w:type="dxa"/>
            <w:vAlign w:val="bottom"/>
          </w:tcPr>
          <w:p>
            <w:pPr>
              <w:spacing w:after="0"/>
              <w:rPr>
                <w:sz w:val="17"/>
                <w:szCs w:val="17"/>
                <w:color w:val="auto"/>
              </w:rPr>
            </w:pPr>
          </w:p>
        </w:tc>
      </w:tr>
      <w:tr>
        <w:trPr>
          <w:trHeight w:val="453"/>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tcBorders>
              <w:top w:val="single" w:sz="8" w:color="0000EE"/>
            </w:tcBorders>
            <w:gridSpan w:val="4"/>
          </w:tcPr>
          <w:p>
            <w:pPr>
              <w:ind w:left="4540"/>
              <w:spacing w:after="0"/>
              <w:rPr>
                <w:sz w:val="20"/>
                <w:szCs w:val="20"/>
                <w:color w:val="auto"/>
              </w:rPr>
            </w:pPr>
            <w:r>
              <w:rPr>
                <w:rFonts w:ascii="Arial" w:cs="Arial" w:eastAsia="Arial" w:hAnsi="Arial"/>
                <w:sz w:val="18"/>
                <w:szCs w:val="18"/>
                <w:color w:val="auto"/>
              </w:rPr>
              <w:t>85</w:t>
            </w:r>
          </w:p>
        </w:tc>
        <w:tc>
          <w:tcPr>
            <w:tcW w:w="9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gridSpan w:val="9"/>
          </w:tcPr>
          <w:p>
            <w:pPr>
              <w:spacing w:after="0"/>
              <w:rPr>
                <w:sz w:val="20"/>
                <w:szCs w:val="20"/>
                <w:color w:val="auto"/>
              </w:rPr>
            </w:pPr>
            <w:r>
              <w:rPr>
                <w:rFonts w:ascii="Arial" w:cs="Arial" w:eastAsia="Arial" w:hAnsi="Arial"/>
                <w:sz w:val="14"/>
                <w:szCs w:val="14"/>
                <w:color w:val="auto"/>
              </w:rPr>
              <w:t>Description of Exhibits</w:t>
            </w:r>
          </w:p>
        </w:tc>
        <w:tc>
          <w:tcPr>
            <w:tcW w:w="0" w:type="dxa"/>
            <w:vAlign w:val="bottom"/>
          </w:tcPr>
          <w:p>
            <w:pPr>
              <w:spacing w:after="0"/>
              <w:rPr>
                <w:sz w:val="1"/>
                <w:szCs w:val="1"/>
                <w:color w:val="auto"/>
              </w:rPr>
            </w:pPr>
          </w:p>
        </w:tc>
      </w:tr>
      <w:tr>
        <w:trPr>
          <w:trHeight w:val="291"/>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10340" w:type="dxa"/>
            <w:vAlign w:val="bottom"/>
            <w:tcBorders>
              <w:top w:val="single" w:sz="8" w:color="auto"/>
            </w:tcBorders>
            <w:gridSpan w:val="9"/>
          </w:tcPr>
          <w:p>
            <w:pPr>
              <w:spacing w:after="0"/>
              <w:rPr>
                <w:rFonts w:ascii="Arial" w:cs="Arial" w:eastAsia="Arial" w:hAnsi="Arial"/>
                <w:sz w:val="18"/>
                <w:szCs w:val="18"/>
                <w:color w:val="0000EE"/>
                <w:w w:val="93"/>
              </w:rPr>
            </w:pPr>
            <w:hyperlink r:id="rId184">
              <w:r>
                <w:rPr>
                  <w:rFonts w:ascii="Arial" w:cs="Arial" w:eastAsia="Arial" w:hAnsi="Arial"/>
                  <w:sz w:val="18"/>
                  <w:szCs w:val="18"/>
                  <w:color w:val="0000EE"/>
                  <w:w w:val="93"/>
                </w:rPr>
                <w:t>Amended and Restated Administration Agreement, dated as of February 22, 2017 between the Company and the Adviser (incorporated by</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reference to Exhibit 10.16 to the Company’s Annual Report on Form 10-K filed on February 22, 2017).</w:t>
              </w:r>
            </w:hyperlink>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gridSpan w:val="5"/>
            <w:vMerge w:val="restart"/>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Sixth Amendment to Second Amended and Restated Senior Secured Revolving Credit Agreement, dated February 20, 2018, among TPG</w:t>
              </w:r>
            </w:hyperlink>
          </w:p>
        </w:tc>
        <w:tc>
          <w:tcPr>
            <w:tcW w:w="46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80" w:type="dxa"/>
            <w:vAlign w:val="bottom"/>
            <w:tcBorders>
              <w:bottom w:val="single" w:sz="8" w:color="0000EE"/>
            </w:tcBorders>
            <w:gridSpan w:val="5"/>
            <w:vMerge w:val="continue"/>
          </w:tcPr>
          <w:p>
            <w:pPr>
              <w:spacing w:after="0"/>
              <w:rPr>
                <w:sz w:val="2"/>
                <w:szCs w:val="2"/>
                <w:color w:val="auto"/>
              </w:rPr>
            </w:pPr>
          </w:p>
        </w:tc>
        <w:tc>
          <w:tcPr>
            <w:tcW w:w="4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Specialty Lending, Inc., as Borrower, the Lenders party thereto and SunTrust Bank, as Administrative Agent.</w:t>
              </w:r>
            </w:hyperlink>
          </w:p>
        </w:tc>
        <w:tc>
          <w:tcPr>
            <w:tcW w:w="2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4"/>
                <w:szCs w:val="24"/>
                <w:color w:val="auto"/>
              </w:rPr>
            </w:pPr>
          </w:p>
        </w:tc>
        <w:tc>
          <w:tcPr>
            <w:tcW w:w="31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3">
              <w:r>
                <w:rPr>
                  <w:rFonts w:ascii="Arial" w:cs="Arial" w:eastAsia="Arial" w:hAnsi="Arial"/>
                  <w:sz w:val="18"/>
                  <w:szCs w:val="18"/>
                  <w:color w:val="0000EE"/>
                  <w:w w:val="91"/>
                </w:rPr>
                <w:t>Subsidiaries of TPG Specialty Lending, Inc.</w:t>
              </w:r>
            </w:hyperlink>
          </w:p>
        </w:tc>
        <w:tc>
          <w:tcPr>
            <w:tcW w:w="7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340" w:type="dxa"/>
            <w:vAlign w:val="bottom"/>
            <w:gridSpan w:val="9"/>
          </w:tcPr>
          <w:p>
            <w:pPr>
              <w:spacing w:after="0"/>
              <w:rPr>
                <w:rFonts w:ascii="Arial" w:cs="Arial" w:eastAsia="Arial" w:hAnsi="Arial"/>
                <w:sz w:val="18"/>
                <w:szCs w:val="18"/>
                <w:color w:val="0000EE"/>
                <w:w w:val="91"/>
              </w:rPr>
            </w:pPr>
            <w:hyperlink w:anchor="page294">
              <w:r>
                <w:rPr>
                  <w:rFonts w:ascii="Arial" w:cs="Arial" w:eastAsia="Arial" w:hAnsi="Arial"/>
                  <w:sz w:val="18"/>
                  <w:szCs w:val="18"/>
                  <w:color w:val="0000EE"/>
                  <w:w w:val="91"/>
                </w:rPr>
                <w:t>Certification of Chief Executive Officer Pursuant to 18 U.S.C. Section 1350, as Adopted Pursuant to Section 302 of the Sarbanes-Oxley Act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94">
              <w:r>
                <w:rPr>
                  <w:rFonts w:ascii="Arial" w:cs="Arial" w:eastAsia="Arial" w:hAnsi="Arial"/>
                  <w:sz w:val="18"/>
                  <w:szCs w:val="18"/>
                  <w:color w:val="0000EE"/>
                  <w:w w:val="84"/>
                </w:rPr>
                <w:t>2002.</w:t>
              </w:r>
            </w:hyperlink>
          </w:p>
        </w:tc>
        <w:tc>
          <w:tcPr>
            <w:tcW w:w="27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340" w:type="dxa"/>
            <w:vAlign w:val="bottom"/>
            <w:gridSpan w:val="9"/>
          </w:tcPr>
          <w:p>
            <w:pPr>
              <w:spacing w:after="0"/>
              <w:rPr>
                <w:rFonts w:ascii="Arial" w:cs="Arial" w:eastAsia="Arial" w:hAnsi="Arial"/>
                <w:sz w:val="18"/>
                <w:szCs w:val="18"/>
                <w:color w:val="0000EE"/>
                <w:w w:val="92"/>
              </w:rPr>
            </w:pPr>
            <w:hyperlink w:anchor="page295">
              <w:r>
                <w:rPr>
                  <w:rFonts w:ascii="Arial" w:cs="Arial" w:eastAsia="Arial" w:hAnsi="Arial"/>
                  <w:sz w:val="18"/>
                  <w:szCs w:val="18"/>
                  <w:color w:val="0000EE"/>
                  <w:w w:val="92"/>
                </w:rPr>
                <w:t>Certification of Chief Financial Officer Pursuant to 18 U.S.C. Section 1350, as Adopted Pursuant to Section 302 of the Sarbanes-Oxley Act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95">
              <w:r>
                <w:rPr>
                  <w:rFonts w:ascii="Arial" w:cs="Arial" w:eastAsia="Arial" w:hAnsi="Arial"/>
                  <w:sz w:val="18"/>
                  <w:szCs w:val="18"/>
                  <w:color w:val="0000EE"/>
                  <w:w w:val="84"/>
                </w:rPr>
                <w:t>2002.</w:t>
              </w:r>
            </w:hyperlink>
          </w:p>
        </w:tc>
        <w:tc>
          <w:tcPr>
            <w:tcW w:w="27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80" w:hanging="1072"/>
        <w:spacing w:after="0"/>
        <w:tabs>
          <w:tab w:leader="none" w:pos="1080" w:val="left"/>
        </w:tabs>
        <w:numPr>
          <w:ilvl w:val="0"/>
          <w:numId w:val="104"/>
        </w:numPr>
        <w:rPr>
          <w:rFonts w:ascii="Arial" w:cs="Arial" w:eastAsia="Arial" w:hAnsi="Arial"/>
          <w:sz w:val="16"/>
          <w:szCs w:val="16"/>
          <w:u w:val="single" w:color="auto"/>
          <w:color w:val="0000EE"/>
        </w:rPr>
      </w:pPr>
      <w:hyperlink w:anchor="page296">
        <w:r>
          <w:rPr>
            <w:rFonts w:ascii="Arial" w:cs="Arial" w:eastAsia="Arial" w:hAnsi="Arial"/>
            <w:sz w:val="16"/>
            <w:szCs w:val="16"/>
            <w:u w:val="single" w:color="auto"/>
            <w:color w:val="0000EE"/>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9690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b w:val="1"/>
          <w:bCs w:val="1"/>
          <w:color w:val="auto"/>
        </w:rPr>
        <w:t>TPG SPECIALTY LENDING, INC.</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36703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164" w:lineRule="exact"/>
        <w:rPr>
          <w:sz w:val="20"/>
          <w:szCs w:val="20"/>
          <w:color w:val="auto"/>
        </w:rPr>
      </w:pPr>
    </w:p>
    <w:p>
      <w:pPr>
        <w:ind w:right="140" w:firstLine="259"/>
        <w:spacing w:after="0" w:line="254" w:lineRule="auto"/>
        <w:rPr>
          <w:sz w:val="20"/>
          <w:szCs w:val="20"/>
          <w:color w:val="auto"/>
        </w:rPr>
      </w:pPr>
      <w:r>
        <w:rPr>
          <w:rFonts w:ascii="Arial" w:cs="Arial" w:eastAsia="Arial" w:hAnsi="Arial"/>
          <w:sz w:val="18"/>
          <w:szCs w:val="18"/>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2017,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6920" w:type="dxa"/>
            <w:vAlign w:val="bottom"/>
            <w:tcBorders>
              <w:bottom w:val="single" w:sz="8" w:color="auto"/>
            </w:tcBorders>
          </w:tcPr>
          <w:p>
            <w:pPr>
              <w:jc w:val="right"/>
              <w:ind w:right="3248"/>
              <w:spacing w:after="0"/>
              <w:rPr>
                <w:sz w:val="20"/>
                <w:szCs w:val="20"/>
                <w:color w:val="auto"/>
              </w:rPr>
            </w:pPr>
            <w:r>
              <w:rPr>
                <w:rFonts w:ascii="Arial" w:cs="Arial" w:eastAsia="Arial" w:hAnsi="Arial"/>
                <w:sz w:val="14"/>
                <w:szCs w:val="14"/>
                <w:b w:val="1"/>
                <w:bCs w:val="1"/>
                <w:color w:val="auto"/>
              </w:rPr>
              <w:t>Title</w:t>
            </w:r>
          </w:p>
        </w:tc>
      </w:tr>
      <w:tr>
        <w:trPr>
          <w:trHeight w:val="39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Director and Chairman of the Board of Directors</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Joshua Easterly</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Ian Simmonds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Graf</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Vice President (Principal Accounting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Graf</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 and Chairman of the Audit Committee</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John A. Ross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Fishman</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Richard A. Higginbotham</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Ronald K. Tanemura</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864"/>
        </w:trPr>
        <w:tc>
          <w:tcPr>
            <w:tcW w:w="4400" w:type="dxa"/>
            <w:vAlign w:val="bottom"/>
          </w:tcPr>
          <w:p>
            <w:pPr>
              <w:spacing w:after="0"/>
              <w:rPr>
                <w:sz w:val="24"/>
                <w:szCs w:val="24"/>
                <w:color w:val="auto"/>
              </w:rPr>
            </w:pPr>
          </w:p>
        </w:tc>
        <w:tc>
          <w:tcPr>
            <w:tcW w:w="7020" w:type="dxa"/>
            <w:vAlign w:val="bottom"/>
            <w:gridSpan w:val="2"/>
          </w:tcPr>
          <w:p>
            <w:pPr>
              <w:jc w:val="right"/>
              <w:ind w:right="5548"/>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33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10.16</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SIXTH AMENDMENT</w:t>
      </w:r>
    </w:p>
    <w:p>
      <w:pPr>
        <w:jc w:val="center"/>
        <w:spacing w:after="0"/>
        <w:rPr>
          <w:sz w:val="20"/>
          <w:szCs w:val="20"/>
          <w:color w:val="auto"/>
        </w:rPr>
      </w:pPr>
      <w:r>
        <w:rPr>
          <w:rFonts w:ascii="Arial" w:cs="Arial" w:eastAsia="Arial" w:hAnsi="Arial"/>
          <w:sz w:val="22"/>
          <w:szCs w:val="22"/>
          <w:color w:val="auto"/>
        </w:rPr>
        <w:t>TO SECOND AMENDED AND RESTATED SENIOR SECURED REVOLVING CREDIT AGREEMENT</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SIXTH AMENDMENT TO SECOND AMENDED AND RESTATED SENIOR SECURED REVOLVING CREDIT AGREEMENT, dated as of February 20, 2018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to the Existing Credit Agreement (capitalized terms used herein and not otherwise defined shall have the meanings given to such terms in </w:t>
      </w:r>
      <w:r>
        <w:rPr>
          <w:rFonts w:ascii="Arial" w:cs="Arial" w:eastAsia="Arial" w:hAnsi="Arial"/>
          <w:sz w:val="22"/>
          <w:szCs w:val="22"/>
          <w:u w:val="single" w:color="auto"/>
          <w:color w:val="auto"/>
        </w:rPr>
        <w:t>Article I</w:t>
      </w:r>
      <w:r>
        <w:rPr>
          <w:rFonts w:ascii="Arial" w:cs="Arial" w:eastAsia="Arial" w:hAnsi="Arial"/>
          <w:sz w:val="22"/>
          <w:szCs w:val="22"/>
          <w:color w:val="auto"/>
        </w:rPr>
        <w:t>) is among TPG SPECIALTY LENDING,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SUNTRUST BANK, as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and the Fifth Amendment to Second Amended and Restated Senior Secured Revolving Credit Agreement, dated as of December 22, 2016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by this Amendment and as the same may be further amended, supplemented,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59"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parties hereto hereby covenant and agree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The following terms when used in this Amendment shall have the following meanings (such meanings to be equally applicable to the singular and plural forms thereof):</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1" w:name="page132"/>
    <w:bookmarkEnd w:id="131"/>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Sixth Amendment Effective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Definitions</w:t>
      </w:r>
      <w:r>
        <w:rPr>
          <w:rFonts w:ascii="Arial" w:cs="Arial" w:eastAsia="Arial" w:hAnsi="Arial"/>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TO EXISTING CREDIT AGREEMENT</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Subject to the occurrence of the Sixth Amendment Effective Date (as hereinafter defined), the Existing Credit Agreement is amended in accordance with this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The Existing Credit Agreement is hereby amended in its entirety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Amendment shall become effective on the date (the “</w:t>
      </w:r>
      <w:r>
        <w:rPr>
          <w:rFonts w:ascii="Arial" w:cs="Arial" w:eastAsia="Arial" w:hAnsi="Arial"/>
          <w:sz w:val="19"/>
          <w:szCs w:val="19"/>
          <w:u w:val="single" w:color="auto"/>
          <w:color w:val="auto"/>
        </w:rPr>
        <w:t>Sixth Amendment 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Representations</w:t>
      </w:r>
      <w:r>
        <w:rPr>
          <w:rFonts w:ascii="Arial" w:cs="Arial" w:eastAsia="Arial" w:hAnsi="Arial"/>
          <w:sz w:val="19"/>
          <w:szCs w:val="19"/>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2" w:name="page133"/>
    <w:bookmarkEnd w:id="132"/>
    <w:p>
      <w:pPr>
        <w:jc w:val="both"/>
        <w:ind w:right="20"/>
        <w:spacing w:after="0" w:line="328" w:lineRule="auto"/>
        <w:rPr>
          <w:sz w:val="20"/>
          <w:szCs w:val="20"/>
          <w:color w:val="auto"/>
        </w:rPr>
      </w:pPr>
      <w:r>
        <w:rPr>
          <w:rFonts w:ascii="Arial" w:cs="Arial" w:eastAsia="Arial" w:hAnsi="Arial"/>
          <w:sz w:val="19"/>
          <w:szCs w:val="19"/>
          <w:color w:val="auto"/>
        </w:rPr>
        <w:t>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05"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Cross-References</w:t>
      </w:r>
      <w:r>
        <w:rPr>
          <w:rFonts w:ascii="Arial" w:cs="Arial" w:eastAsia="Arial" w:hAnsi="Arial"/>
          <w:sz w:val="22"/>
          <w:szCs w:val="22"/>
          <w:color w:val="auto"/>
        </w:rPr>
        <w:t>. References in this Amendment to any Article or Section are, unless otherwise specified, to such Article or Section of this Amendment.</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Loan Document Pursuant to Existing Credit Agreement</w:t>
      </w:r>
      <w:r>
        <w:rPr>
          <w:rFonts w:ascii="Arial" w:cs="Arial" w:eastAsia="Arial" w:hAnsi="Arial"/>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Amendment shall be binding upon and inure to the benefit of the parties hereto and their respective successors and assigns.</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Full Force and Effect; Limited Amendment</w:t>
      </w:r>
      <w:r>
        <w:rPr>
          <w:rFonts w:ascii="Arial" w:cs="Arial" w:eastAsia="Arial" w:hAnsi="Arial"/>
          <w:sz w:val="19"/>
          <w:szCs w:val="19"/>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Reaffirmation</w:t>
      </w:r>
      <w:r>
        <w:rPr>
          <w:rFonts w:ascii="Arial" w:cs="Arial" w:eastAsia="Arial" w:hAnsi="Arial"/>
          <w:sz w:val="19"/>
          <w:szCs w:val="19"/>
          <w:color w:val="auto"/>
        </w:rPr>
        <w:t>. Each of TSL MR, LLC, TC Lending, LLC and TPG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3" w:name="page134"/>
    <w:bookmarkEnd w:id="133"/>
    <w:p>
      <w:pPr>
        <w:ind w:left="1760"/>
        <w:spacing w:after="0"/>
        <w:rPr>
          <w:sz w:val="20"/>
          <w:szCs w:val="20"/>
          <w:color w:val="auto"/>
        </w:rPr>
      </w:pPr>
      <w:r>
        <w:rPr>
          <w:rFonts w:ascii="Arial" w:cs="Arial" w:eastAsia="Arial" w:hAnsi="Arial"/>
          <w:sz w:val="19"/>
          <w:szCs w:val="19"/>
          <w:color w:val="auto"/>
        </w:rPr>
        <w:t>IN WITNESS WHEREOF, the parties hereto have executed and delivered this Amendment as of the date first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20" w:type="dxa"/>
            <w:vAlign w:val="bottom"/>
            <w:gridSpan w:val="2"/>
          </w:tcPr>
          <w:p>
            <w:pPr>
              <w:spacing w:after="0"/>
              <w:rPr>
                <w:sz w:val="20"/>
                <w:szCs w:val="20"/>
                <w:color w:val="auto"/>
              </w:rPr>
            </w:pPr>
            <w:r>
              <w:rPr>
                <w:rFonts w:ascii="Arial" w:cs="Arial" w:eastAsia="Arial" w:hAnsi="Arial"/>
                <w:sz w:val="22"/>
                <w:szCs w:val="22"/>
                <w:color w:val="auto"/>
              </w:rPr>
              <w:t>above written.</w:t>
            </w:r>
          </w:p>
        </w:tc>
        <w:tc>
          <w:tcPr>
            <w:tcW w:w="3880" w:type="dxa"/>
            <w:vAlign w:val="bottom"/>
          </w:tcPr>
          <w:p>
            <w:pPr>
              <w:spacing w:after="0"/>
              <w:rPr>
                <w:sz w:val="23"/>
                <w:szCs w:val="23"/>
                <w:color w:val="auto"/>
              </w:rPr>
            </w:pPr>
          </w:p>
        </w:tc>
        <w:tc>
          <w:tcPr>
            <w:tcW w:w="4020" w:type="dxa"/>
            <w:vAlign w:val="bottom"/>
          </w:tcPr>
          <w:p>
            <w:pPr>
              <w:spacing w:after="0"/>
              <w:rPr>
                <w:sz w:val="23"/>
                <w:szCs w:val="23"/>
                <w:color w:val="auto"/>
              </w:rPr>
            </w:pPr>
          </w:p>
        </w:tc>
      </w:tr>
      <w:tr>
        <w:trPr>
          <w:trHeight w:val="391"/>
        </w:trPr>
        <w:tc>
          <w:tcPr>
            <w:tcW w:w="3520" w:type="dxa"/>
            <w:vAlign w:val="bottom"/>
            <w:gridSpan w:val="2"/>
          </w:tcPr>
          <w:p>
            <w:pPr>
              <w:spacing w:after="0"/>
              <w:rPr>
                <w:sz w:val="20"/>
                <w:szCs w:val="20"/>
                <w:color w:val="auto"/>
              </w:rPr>
            </w:pPr>
            <w:r>
              <w:rPr>
                <w:rFonts w:ascii="Arial" w:cs="Arial" w:eastAsia="Arial" w:hAnsi="Arial"/>
                <w:sz w:val="22"/>
                <w:szCs w:val="22"/>
                <w:color w:val="auto"/>
              </w:rPr>
              <w:t>BORROWER:</w:t>
            </w:r>
          </w:p>
        </w:tc>
        <w:tc>
          <w:tcPr>
            <w:tcW w:w="7900" w:type="dxa"/>
            <w:vAlign w:val="bottom"/>
            <w:gridSpan w:val="2"/>
          </w:tcPr>
          <w:p>
            <w:pPr>
              <w:ind w:left="2220"/>
              <w:spacing w:after="0"/>
              <w:rPr>
                <w:sz w:val="20"/>
                <w:szCs w:val="20"/>
                <w:color w:val="auto"/>
              </w:rPr>
            </w:pPr>
            <w:r>
              <w:rPr>
                <w:rFonts w:ascii="Arial" w:cs="Arial" w:eastAsia="Arial" w:hAnsi="Arial"/>
                <w:sz w:val="22"/>
                <w:szCs w:val="22"/>
                <w:b w:val="1"/>
                <w:bCs w:val="1"/>
                <w:color w:val="auto"/>
              </w:rPr>
              <w:t>TPG SPECIALTY LENDING, INC.</w:t>
            </w:r>
          </w:p>
        </w:tc>
      </w:tr>
      <w:tr>
        <w:trPr>
          <w:trHeight w:val="480"/>
        </w:trPr>
        <w:tc>
          <w:tcPr>
            <w:tcW w:w="12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880" w:type="dxa"/>
            <w:vAlign w:val="bottom"/>
          </w:tcPr>
          <w:p>
            <w:pPr>
              <w:ind w:left="2220"/>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Ian Simmonds</w:t>
            </w:r>
          </w:p>
        </w:tc>
      </w:tr>
      <w:tr>
        <w:trPr>
          <w:trHeight w:val="215"/>
        </w:trPr>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880" w:type="dxa"/>
            <w:vAlign w:val="bottom"/>
          </w:tcPr>
          <w:p>
            <w:pPr>
              <w:ind w:left="2220"/>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Ian Simmonds</w:t>
            </w:r>
          </w:p>
        </w:tc>
      </w:tr>
      <w:tr>
        <w:trPr>
          <w:trHeight w:val="275"/>
        </w:trPr>
        <w:tc>
          <w:tcPr>
            <w:tcW w:w="12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3880" w:type="dxa"/>
            <w:vAlign w:val="bottom"/>
          </w:tcPr>
          <w:p>
            <w:pPr>
              <w:ind w:left="2220"/>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3380" w:type="dxa"/>
            <w:vAlign w:val="bottom"/>
            <w:gridSpan w:val="2"/>
          </w:tcPr>
          <w:p>
            <w:pPr>
              <w:spacing w:after="0"/>
              <w:rPr>
                <w:sz w:val="20"/>
                <w:szCs w:val="20"/>
                <w:color w:val="auto"/>
              </w:rPr>
            </w:pPr>
            <w:r>
              <w:rPr>
                <w:rFonts w:ascii="Arial" w:cs="Arial" w:eastAsia="Arial" w:hAnsi="Arial"/>
                <w:sz w:val="22"/>
                <w:szCs w:val="22"/>
                <w:color w:val="auto"/>
              </w:rPr>
              <w:t>LENDERS:</w:t>
            </w:r>
          </w:p>
        </w:tc>
        <w:tc>
          <w:tcPr>
            <w:tcW w:w="8040" w:type="dxa"/>
            <w:vAlign w:val="bottom"/>
            <w:gridSpan w:val="2"/>
          </w:tcPr>
          <w:p>
            <w:pPr>
              <w:ind w:left="2360"/>
              <w:spacing w:after="0"/>
              <w:rPr>
                <w:sz w:val="20"/>
                <w:szCs w:val="20"/>
                <w:color w:val="auto"/>
              </w:rPr>
            </w:pPr>
            <w:r>
              <w:rPr>
                <w:rFonts w:ascii="Arial" w:cs="Arial" w:eastAsia="Arial" w:hAnsi="Arial"/>
                <w:sz w:val="22"/>
                <w:szCs w:val="22"/>
                <w:b w:val="1"/>
                <w:bCs w:val="1"/>
                <w:color w:val="auto"/>
              </w:rPr>
              <w:t>SUNTRUST BANK</w:t>
            </w:r>
          </w:p>
        </w:tc>
      </w:tr>
      <w:tr>
        <w:trPr>
          <w:trHeight w:val="242"/>
        </w:trPr>
        <w:tc>
          <w:tcPr>
            <w:tcW w:w="980" w:type="dxa"/>
            <w:vAlign w:val="bottom"/>
            <w:tcBorders>
              <w:top w:val="single" w:sz="8" w:color="auto"/>
            </w:tcBorders>
          </w:tcPr>
          <w:p>
            <w:pPr>
              <w:spacing w:after="0"/>
              <w:rPr>
                <w:sz w:val="21"/>
                <w:szCs w:val="21"/>
                <w:color w:val="auto"/>
              </w:rPr>
            </w:pPr>
          </w:p>
        </w:tc>
        <w:tc>
          <w:tcPr>
            <w:tcW w:w="2400" w:type="dxa"/>
            <w:vAlign w:val="bottom"/>
          </w:tcPr>
          <w:p>
            <w:pPr>
              <w:spacing w:after="0"/>
              <w:rPr>
                <w:sz w:val="21"/>
                <w:szCs w:val="21"/>
                <w:color w:val="auto"/>
              </w:rPr>
            </w:pPr>
          </w:p>
        </w:tc>
        <w:tc>
          <w:tcPr>
            <w:tcW w:w="8040" w:type="dxa"/>
            <w:vAlign w:val="bottom"/>
            <w:gridSpan w:val="2"/>
          </w:tcPr>
          <w:p>
            <w:pPr>
              <w:ind w:left="2360"/>
              <w:spacing w:after="0" w:line="242" w:lineRule="exact"/>
              <w:rPr>
                <w:sz w:val="20"/>
                <w:szCs w:val="20"/>
                <w:color w:val="auto"/>
              </w:rPr>
            </w:pPr>
            <w:r>
              <w:rPr>
                <w:rFonts w:ascii="Arial" w:cs="Arial" w:eastAsia="Arial" w:hAnsi="Arial"/>
                <w:sz w:val="22"/>
                <w:szCs w:val="22"/>
                <w:color w:val="auto"/>
                <w:w w:val="90"/>
              </w:rPr>
              <w:t>as Administrative Agent, Swingline Lender, Issuing Bank and as</w:t>
            </w:r>
          </w:p>
        </w:tc>
      </w:tr>
      <w:tr>
        <w:trPr>
          <w:trHeight w:val="275"/>
        </w:trPr>
        <w:tc>
          <w:tcPr>
            <w:tcW w:w="9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20" w:type="dxa"/>
            <w:vAlign w:val="bottom"/>
          </w:tcPr>
          <w:p>
            <w:pPr>
              <w:ind w:left="2360"/>
              <w:spacing w:after="0"/>
              <w:rPr>
                <w:sz w:val="20"/>
                <w:szCs w:val="20"/>
                <w:color w:val="auto"/>
              </w:rPr>
            </w:pPr>
            <w:r>
              <w:rPr>
                <w:rFonts w:ascii="Arial" w:cs="Arial" w:eastAsia="Arial" w:hAnsi="Arial"/>
                <w:sz w:val="22"/>
                <w:szCs w:val="22"/>
                <w:color w:val="auto"/>
              </w:rPr>
              <w:t>a Lender</w:t>
            </w:r>
          </w:p>
        </w:tc>
        <w:tc>
          <w:tcPr>
            <w:tcW w:w="4020" w:type="dxa"/>
            <w:vAlign w:val="bottom"/>
          </w:tcPr>
          <w:p>
            <w:pPr>
              <w:spacing w:after="0"/>
              <w:rPr>
                <w:sz w:val="23"/>
                <w:szCs w:val="23"/>
                <w:color w:val="auto"/>
              </w:rPr>
            </w:pPr>
          </w:p>
        </w:tc>
      </w:tr>
      <w:tr>
        <w:trPr>
          <w:trHeight w:val="449"/>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20" w:type="dxa"/>
            <w:vAlign w:val="bottom"/>
          </w:tcPr>
          <w:p>
            <w:pPr>
              <w:ind w:left="2360"/>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Doug Kennedy</w:t>
            </w:r>
          </w:p>
        </w:tc>
      </w:tr>
      <w:tr>
        <w:trPr>
          <w:trHeight w:val="215"/>
        </w:trPr>
        <w:tc>
          <w:tcPr>
            <w:tcW w:w="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20" w:type="dxa"/>
            <w:vAlign w:val="bottom"/>
          </w:tcPr>
          <w:p>
            <w:pPr>
              <w:ind w:left="2360"/>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Doug Kennedy</w:t>
            </w:r>
          </w:p>
        </w:tc>
      </w:tr>
      <w:tr>
        <w:trPr>
          <w:trHeight w:val="275"/>
        </w:trPr>
        <w:tc>
          <w:tcPr>
            <w:tcW w:w="9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20" w:type="dxa"/>
            <w:vAlign w:val="bottom"/>
          </w:tcPr>
          <w:p>
            <w:pPr>
              <w:ind w:left="2360"/>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135" w:name="page136"/>
    <w:bookmarkEnd w:id="135"/>
    <w:p>
      <w:pPr>
        <w:ind w:left="4540" w:right="340"/>
        <w:spacing w:after="0" w:line="251" w:lineRule="auto"/>
        <w:rPr>
          <w:sz w:val="20"/>
          <w:szCs w:val="20"/>
          <w:color w:val="auto"/>
        </w:rPr>
      </w:pPr>
      <w:r>
        <w:rPr>
          <w:rFonts w:ascii="Arial" w:cs="Arial" w:eastAsia="Arial" w:hAnsi="Arial"/>
          <w:sz w:val="22"/>
          <w:szCs w:val="22"/>
          <w:color w:val="auto"/>
        </w:rPr>
        <w:t>JPMORGAN CHASE BANK, N.A., as Issuing Bank and as a Lender</w:t>
      </w:r>
    </w:p>
    <w:p>
      <w:pPr>
        <w:spacing w:after="0" w:line="173"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Kusner</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Michael Kusner</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Executive Director</w:t>
            </w:r>
          </w:p>
        </w:tc>
      </w:tr>
      <w:tr>
        <w:trPr>
          <w:trHeight w:val="275"/>
        </w:trPr>
        <w:tc>
          <w:tcPr>
            <w:tcW w:w="166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J.P. Morgan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168275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36" w:name="page137"/>
    <w:bookmarkEnd w:id="136"/>
    <w:p>
      <w:pPr>
        <w:ind w:left="4540"/>
        <w:spacing w:after="0"/>
        <w:rPr>
          <w:sz w:val="20"/>
          <w:szCs w:val="20"/>
          <w:color w:val="auto"/>
        </w:rPr>
      </w:pPr>
      <w:r>
        <w:rPr>
          <w:rFonts w:ascii="Arial" w:cs="Arial" w:eastAsia="Arial" w:hAnsi="Arial"/>
          <w:sz w:val="22"/>
          <w:szCs w:val="22"/>
          <w:color w:val="auto"/>
        </w:rPr>
        <w:t>State Street Bank and Trust Company,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Janet B. Nolin</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Janet B. Nolin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37" w:name="page138"/>
    <w:bookmarkEnd w:id="137"/>
    <w:p>
      <w:pPr>
        <w:ind w:left="4540"/>
        <w:spacing w:after="0"/>
        <w:rPr>
          <w:sz w:val="20"/>
          <w:szCs w:val="20"/>
          <w:color w:val="auto"/>
        </w:rPr>
      </w:pPr>
      <w:r>
        <w:rPr>
          <w:rFonts w:ascii="Arial" w:cs="Arial" w:eastAsia="Arial" w:hAnsi="Arial"/>
          <w:sz w:val="22"/>
          <w:szCs w:val="22"/>
          <w:color w:val="auto"/>
        </w:rPr>
        <w:t>Bank of America, N.A.,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Derek Miller</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Derek Miller</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38" w:name="page139"/>
    <w:bookmarkEnd w:id="138"/>
    <w:p>
      <w:pPr>
        <w:ind w:left="4540"/>
        <w:spacing w:after="0"/>
        <w:rPr>
          <w:sz w:val="20"/>
          <w:szCs w:val="20"/>
          <w:color w:val="auto"/>
        </w:rPr>
      </w:pPr>
      <w:r>
        <w:rPr>
          <w:rFonts w:ascii="Arial" w:cs="Arial" w:eastAsia="Arial" w:hAnsi="Arial"/>
          <w:sz w:val="22"/>
          <w:szCs w:val="22"/>
          <w:color w:val="auto"/>
        </w:rPr>
        <w:t>HSBC Bank USA, N.A.,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Myles Bae</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Myles Bae</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SVP, Structured Finance Group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39" w:name="page140"/>
    <w:bookmarkEnd w:id="139"/>
    <w:p>
      <w:pPr>
        <w:ind w:left="4540"/>
        <w:spacing w:after="0"/>
        <w:rPr>
          <w:sz w:val="20"/>
          <w:szCs w:val="20"/>
          <w:color w:val="auto"/>
        </w:rPr>
      </w:pPr>
      <w:r>
        <w:rPr>
          <w:rFonts w:ascii="Arial" w:cs="Arial" w:eastAsia="Arial" w:hAnsi="Arial"/>
          <w:sz w:val="22"/>
          <w:szCs w:val="22"/>
          <w:color w:val="auto"/>
        </w:rPr>
        <w:t>Citibank, N.A.,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Erik Andersen</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Erik Andersen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0" w:name="page141"/>
    <w:bookmarkEnd w:id="140"/>
    <w:p>
      <w:pPr>
        <w:ind w:left="4540"/>
        <w:spacing w:after="0"/>
        <w:rPr>
          <w:sz w:val="20"/>
          <w:szCs w:val="20"/>
          <w:color w:val="auto"/>
        </w:rPr>
      </w:pPr>
      <w:r>
        <w:rPr>
          <w:rFonts w:ascii="Arial" w:cs="Arial" w:eastAsia="Arial" w:hAnsi="Arial"/>
          <w:sz w:val="22"/>
          <w:szCs w:val="22"/>
          <w:color w:val="auto"/>
        </w:rPr>
        <w:t>Mizuho Bank, Ltd.,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Fayen</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James Fayen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1" w:name="page142"/>
    <w:bookmarkEnd w:id="141"/>
    <w:p>
      <w:pPr>
        <w:ind w:left="4540"/>
        <w:spacing w:after="0"/>
        <w:rPr>
          <w:sz w:val="20"/>
          <w:szCs w:val="20"/>
          <w:color w:val="auto"/>
        </w:rPr>
      </w:pPr>
      <w:r>
        <w:rPr>
          <w:rFonts w:ascii="Arial" w:cs="Arial" w:eastAsia="Arial" w:hAnsi="Arial"/>
          <w:sz w:val="22"/>
          <w:szCs w:val="22"/>
          <w:color w:val="auto"/>
        </w:rPr>
        <w:t>CIT FINANCE LLC,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L. Klein</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Robert L. Klein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2" w:name="page143"/>
    <w:bookmarkEnd w:id="142"/>
    <w:p>
      <w:pPr>
        <w:ind w:left="4540"/>
        <w:spacing w:after="0"/>
        <w:rPr>
          <w:sz w:val="20"/>
          <w:szCs w:val="20"/>
          <w:color w:val="auto"/>
        </w:rPr>
      </w:pPr>
      <w:r>
        <w:rPr>
          <w:rFonts w:ascii="Arial" w:cs="Arial" w:eastAsia="Arial" w:hAnsi="Arial"/>
          <w:sz w:val="22"/>
          <w:szCs w:val="22"/>
          <w:color w:val="auto"/>
        </w:rPr>
        <w:t>GOLDMAN SACHS BANK USA,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Ryan Durkin</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Ryan Durkin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3" w:name="page144"/>
    <w:bookmarkEnd w:id="143"/>
    <w:p>
      <w:pPr>
        <w:ind w:left="4540"/>
        <w:spacing w:after="0"/>
        <w:rPr>
          <w:sz w:val="20"/>
          <w:szCs w:val="20"/>
          <w:color w:val="auto"/>
        </w:rPr>
      </w:pPr>
      <w:r>
        <w:rPr>
          <w:rFonts w:ascii="Arial" w:cs="Arial" w:eastAsia="Arial" w:hAnsi="Arial"/>
          <w:sz w:val="22"/>
          <w:szCs w:val="22"/>
          <w:color w:val="auto"/>
        </w:rPr>
        <w:t>MORGAN STANLEY BANK, N.A.,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King</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Michael King</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4" w:name="page145"/>
    <w:bookmarkEnd w:id="144"/>
    <w:p>
      <w:pPr>
        <w:ind w:left="4540"/>
        <w:spacing w:after="0"/>
        <w:rPr>
          <w:sz w:val="20"/>
          <w:szCs w:val="20"/>
          <w:color w:val="auto"/>
        </w:rPr>
      </w:pPr>
      <w:r>
        <w:rPr>
          <w:rFonts w:ascii="Arial" w:cs="Arial" w:eastAsia="Arial" w:hAnsi="Arial"/>
          <w:sz w:val="22"/>
          <w:szCs w:val="22"/>
          <w:color w:val="auto"/>
        </w:rPr>
        <w:t>LLOYDS BANK PLC,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Kamala Basdeo</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Kamala Basdeo</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Assistant Manager</w:t>
            </w:r>
          </w:p>
        </w:tc>
      </w:tr>
      <w:tr>
        <w:trPr>
          <w:trHeight w:val="243"/>
        </w:trPr>
        <w:tc>
          <w:tcPr>
            <w:tcW w:w="1660" w:type="dxa"/>
            <w:vAlign w:val="bottom"/>
          </w:tcPr>
          <w:p>
            <w:pPr>
              <w:spacing w:after="0"/>
              <w:rPr>
                <w:sz w:val="21"/>
                <w:szCs w:val="21"/>
                <w:color w:val="auto"/>
              </w:rPr>
            </w:pP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Transaction Execution</w:t>
            </w:r>
          </w:p>
        </w:tc>
      </w:tr>
      <w:tr>
        <w:trPr>
          <w:trHeight w:val="243"/>
        </w:trPr>
        <w:tc>
          <w:tcPr>
            <w:tcW w:w="1660" w:type="dxa"/>
            <w:vAlign w:val="bottom"/>
          </w:tcPr>
          <w:p>
            <w:pPr>
              <w:spacing w:after="0"/>
              <w:rPr>
                <w:sz w:val="21"/>
                <w:szCs w:val="21"/>
                <w:color w:val="auto"/>
              </w:rPr>
            </w:pP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Category A</w:t>
            </w:r>
          </w:p>
        </w:tc>
      </w:tr>
      <w:tr>
        <w:trPr>
          <w:trHeight w:val="275"/>
        </w:trPr>
        <w:tc>
          <w:tcPr>
            <w:tcW w:w="166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B002</w:t>
            </w:r>
          </w:p>
        </w:tc>
      </w:tr>
      <w:tr>
        <w:trPr>
          <w:trHeight w:val="449"/>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Jennifer Larrow</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Jennifer Larrow</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Assistant Manager</w:t>
            </w:r>
          </w:p>
        </w:tc>
      </w:tr>
      <w:tr>
        <w:trPr>
          <w:trHeight w:val="243"/>
        </w:trPr>
        <w:tc>
          <w:tcPr>
            <w:tcW w:w="1660" w:type="dxa"/>
            <w:vAlign w:val="bottom"/>
          </w:tcPr>
          <w:p>
            <w:pPr>
              <w:spacing w:after="0"/>
              <w:rPr>
                <w:sz w:val="21"/>
                <w:szCs w:val="21"/>
                <w:color w:val="auto"/>
              </w:rPr>
            </w:pP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Transaction Execution</w:t>
            </w:r>
          </w:p>
        </w:tc>
      </w:tr>
      <w:tr>
        <w:trPr>
          <w:trHeight w:val="243"/>
        </w:trPr>
        <w:tc>
          <w:tcPr>
            <w:tcW w:w="1660" w:type="dxa"/>
            <w:vAlign w:val="bottom"/>
          </w:tcPr>
          <w:p>
            <w:pPr>
              <w:spacing w:after="0"/>
              <w:rPr>
                <w:sz w:val="21"/>
                <w:szCs w:val="21"/>
                <w:color w:val="auto"/>
              </w:rPr>
            </w:pP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Category A</w:t>
            </w:r>
          </w:p>
        </w:tc>
      </w:tr>
      <w:tr>
        <w:trPr>
          <w:trHeight w:val="275"/>
        </w:trPr>
        <w:tc>
          <w:tcPr>
            <w:tcW w:w="166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L003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5" w:name="page146"/>
    <w:bookmarkEnd w:id="145"/>
    <w:p>
      <w:pPr>
        <w:ind w:left="4540"/>
        <w:spacing w:after="0"/>
        <w:rPr>
          <w:sz w:val="20"/>
          <w:szCs w:val="20"/>
          <w:color w:val="auto"/>
        </w:rPr>
      </w:pPr>
      <w:r>
        <w:rPr>
          <w:rFonts w:ascii="Arial" w:cs="Arial" w:eastAsia="Arial" w:hAnsi="Arial"/>
          <w:sz w:val="22"/>
          <w:szCs w:val="22"/>
          <w:color w:val="auto"/>
        </w:rPr>
        <w:t>Santander Bank, NA,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Mark Metsky</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Mark Metsky</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SVP</w:t>
            </w:r>
          </w:p>
        </w:tc>
      </w:tr>
      <w:tr>
        <w:trPr>
          <w:trHeight w:val="449"/>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Pierre A. Desbiens</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Pierre A. Desbiens</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SVP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6" w:name="page147"/>
    <w:bookmarkEnd w:id="146"/>
    <w:p>
      <w:pPr>
        <w:ind w:left="4540"/>
        <w:spacing w:after="0"/>
        <w:rPr>
          <w:sz w:val="20"/>
          <w:szCs w:val="20"/>
          <w:color w:val="auto"/>
        </w:rPr>
      </w:pPr>
      <w:r>
        <w:rPr>
          <w:rFonts w:ascii="Arial" w:cs="Arial" w:eastAsia="Arial" w:hAnsi="Arial"/>
          <w:sz w:val="22"/>
          <w:szCs w:val="22"/>
          <w:color w:val="auto"/>
        </w:rPr>
        <w:t>BankUnited, N.A.,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Paul Ferrara</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Paul Ferrara</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7" w:name="page148"/>
    <w:bookmarkEnd w:id="147"/>
    <w:p>
      <w:pPr>
        <w:ind w:left="4540"/>
        <w:spacing w:after="0"/>
        <w:rPr>
          <w:sz w:val="20"/>
          <w:szCs w:val="20"/>
          <w:color w:val="auto"/>
        </w:rPr>
      </w:pPr>
      <w:r>
        <w:rPr>
          <w:rFonts w:ascii="Arial" w:cs="Arial" w:eastAsia="Arial" w:hAnsi="Arial"/>
          <w:sz w:val="22"/>
          <w:szCs w:val="22"/>
          <w:color w:val="auto"/>
        </w:rPr>
        <w:t>Comerica Bank,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Timothy O’Rourke</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Timothy O’Rourke</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8" w:name="page149"/>
    <w:bookmarkEnd w:id="148"/>
    <w:p>
      <w:pPr>
        <w:ind w:left="4540"/>
        <w:spacing w:after="0"/>
        <w:rPr>
          <w:sz w:val="20"/>
          <w:szCs w:val="20"/>
          <w:color w:val="auto"/>
        </w:rPr>
      </w:pPr>
      <w:r>
        <w:rPr>
          <w:rFonts w:ascii="Arial" w:cs="Arial" w:eastAsia="Arial" w:hAnsi="Arial"/>
          <w:sz w:val="22"/>
          <w:szCs w:val="22"/>
          <w:color w:val="auto"/>
        </w:rPr>
        <w:t>City National Bank, as a Lender</w:t>
      </w: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Brandon Feitelson</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Brandon Feitelson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49" w:name="page150"/>
    <w:bookmarkEnd w:id="149"/>
    <w:p>
      <w:pPr>
        <w:ind w:left="4540" w:right="400"/>
        <w:spacing w:after="0" w:line="435" w:lineRule="auto"/>
        <w:rPr>
          <w:sz w:val="20"/>
          <w:szCs w:val="20"/>
          <w:color w:val="auto"/>
        </w:rPr>
      </w:pPr>
      <w:r>
        <w:rPr>
          <w:rFonts w:ascii="Arial" w:cs="Arial" w:eastAsia="Arial" w:hAnsi="Arial"/>
          <w:sz w:val="22"/>
          <w:szCs w:val="22"/>
          <w:color w:val="auto"/>
        </w:rPr>
        <w:t xml:space="preserve">Agreed and acknowledged solely with respect to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w:t>
      </w:r>
      <w:r>
        <w:rPr>
          <w:rFonts w:ascii="Arial" w:cs="Arial" w:eastAsia="Arial" w:hAnsi="Arial"/>
          <w:sz w:val="22"/>
          <w:szCs w:val="22"/>
          <w:b w:val="1"/>
          <w:bCs w:val="1"/>
          <w:color w:val="auto"/>
        </w:rPr>
        <w:t>TC LENDING, LLC</w:t>
      </w:r>
    </w:p>
    <w:p>
      <w:pPr>
        <w:spacing w:after="0" w:line="1" w:lineRule="exact"/>
        <w:rPr>
          <w:sz w:val="20"/>
          <w:szCs w:val="20"/>
          <w:color w:val="auto"/>
        </w:rPr>
      </w:pPr>
    </w:p>
    <w:tbl>
      <w:tblPr>
        <w:tblLayout w:type="fixed"/>
        <w:tblInd w:w="4540" w:type="dxa"/>
        <w:tblCellMar>
          <w:top w:w="0" w:type="dxa"/>
          <w:left w:w="0" w:type="dxa"/>
          <w:bottom w:w="0" w:type="dxa"/>
          <w:right w:w="0" w:type="dxa"/>
        </w:tblCellMar>
      </w:tblPr>
      <w:tr>
        <w:trPr>
          <w:trHeight w:val="265"/>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Ian Simmonds</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Ian Simmonds</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59"/>
        </w:trPr>
        <w:tc>
          <w:tcPr>
            <w:tcW w:w="1660" w:type="dxa"/>
            <w:vAlign w:val="bottom"/>
          </w:tcPr>
          <w:p>
            <w:pPr>
              <w:spacing w:after="0"/>
              <w:rPr>
                <w:sz w:val="20"/>
                <w:szCs w:val="20"/>
                <w:color w:val="auto"/>
              </w:rPr>
            </w:pPr>
            <w:r>
              <w:rPr>
                <w:rFonts w:ascii="Arial" w:cs="Arial" w:eastAsia="Arial" w:hAnsi="Arial"/>
                <w:sz w:val="22"/>
                <w:szCs w:val="22"/>
                <w:b w:val="1"/>
                <w:bCs w:val="1"/>
                <w:color w:val="auto"/>
              </w:rPr>
              <w:t>TSL MR, LLC</w:t>
            </w:r>
          </w:p>
        </w:tc>
        <w:tc>
          <w:tcPr>
            <w:tcW w:w="4020" w:type="dxa"/>
            <w:vAlign w:val="bottom"/>
          </w:tcPr>
          <w:p>
            <w:pPr>
              <w:spacing w:after="0"/>
              <w:rPr>
                <w:sz w:val="24"/>
                <w:szCs w:val="24"/>
                <w:color w:val="auto"/>
              </w:rPr>
            </w:pPr>
          </w:p>
        </w:tc>
      </w:tr>
      <w:tr>
        <w:trPr>
          <w:trHeight w:val="449"/>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Ian Simmonds</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Ian Simmonds</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59"/>
        </w:trPr>
        <w:tc>
          <w:tcPr>
            <w:tcW w:w="5680" w:type="dxa"/>
            <w:vAlign w:val="bottom"/>
            <w:gridSpan w:val="2"/>
          </w:tcPr>
          <w:p>
            <w:pPr>
              <w:spacing w:after="0"/>
              <w:rPr>
                <w:sz w:val="20"/>
                <w:szCs w:val="20"/>
                <w:color w:val="auto"/>
              </w:rPr>
            </w:pPr>
            <w:r>
              <w:rPr>
                <w:rFonts w:ascii="Arial" w:cs="Arial" w:eastAsia="Arial" w:hAnsi="Arial"/>
                <w:sz w:val="22"/>
                <w:szCs w:val="22"/>
                <w:b w:val="1"/>
                <w:bCs w:val="1"/>
                <w:color w:val="auto"/>
              </w:rPr>
              <w:t>TPG SL SPV, LLC</w:t>
            </w:r>
          </w:p>
        </w:tc>
      </w:tr>
      <w:tr>
        <w:trPr>
          <w:trHeight w:val="449"/>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Ian Simmonds</w:t>
            </w:r>
          </w:p>
        </w:tc>
      </w:tr>
      <w:tr>
        <w:trPr>
          <w:trHeight w:val="215"/>
        </w:trPr>
        <w:tc>
          <w:tcPr>
            <w:tcW w:w="16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Ian Simmonds</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SIGNATURE PAGE TO SIXTH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SECOND AMENDED AND RESTATED</w:t>
      </w:r>
    </w:p>
    <w:p>
      <w:pPr>
        <w:jc w:val="center"/>
        <w:spacing w:after="0" w:line="238" w:lineRule="auto"/>
        <w:rPr>
          <w:sz w:val="20"/>
          <w:szCs w:val="20"/>
          <w:color w:val="auto"/>
        </w:rPr>
      </w:pPr>
      <w:r>
        <w:rPr>
          <w:rFonts w:ascii="Arial" w:cs="Arial" w:eastAsia="Arial" w:hAnsi="Arial"/>
          <w:sz w:val="22"/>
          <w:szCs w:val="22"/>
          <w:color w:val="auto"/>
        </w:rPr>
        <w:t>SENIOR SECURED</w:t>
      </w:r>
    </w:p>
    <w:p>
      <w:pPr>
        <w:jc w:val="center"/>
        <w:spacing w:after="0" w:line="230" w:lineRule="auto"/>
        <w:rPr>
          <w:sz w:val="20"/>
          <w:szCs w:val="20"/>
          <w:color w:val="auto"/>
        </w:rPr>
      </w:pPr>
      <w:r>
        <w:rPr>
          <w:rFonts w:ascii="Arial" w:cs="Arial" w:eastAsia="Arial" w:hAnsi="Arial"/>
          <w:sz w:val="22"/>
          <w:szCs w:val="22"/>
          <w:color w:val="auto"/>
        </w:rPr>
        <w:t>REVOLVING 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27, 2014</w:t>
      </w:r>
    </w:p>
    <w:p>
      <w:pPr>
        <w:spacing w:after="0" w:line="206" w:lineRule="exact"/>
        <w:rPr>
          <w:sz w:val="20"/>
          <w:szCs w:val="20"/>
          <w:color w:val="auto"/>
        </w:rPr>
      </w:pPr>
    </w:p>
    <w:p>
      <w:pPr>
        <w:jc w:val="center"/>
        <w:spacing w:after="0" w:line="247" w:lineRule="auto"/>
        <w:rPr>
          <w:sz w:val="20"/>
          <w:szCs w:val="20"/>
          <w:color w:val="auto"/>
        </w:rPr>
      </w:pPr>
      <w:r>
        <w:rPr>
          <w:rFonts w:ascii="Arial" w:cs="Arial" w:eastAsia="Arial" w:hAnsi="Arial"/>
          <w:sz w:val="21"/>
          <w:szCs w:val="21"/>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and the Sixth Amendment to Second Amended and Restated Senior Secured Revolving Credit Agreement dated as of February 20, 2018</w:t>
      </w:r>
    </w:p>
    <w:p>
      <w:pPr>
        <w:spacing w:after="0" w:line="17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TPG SPECIALTY LENDING, INC.</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The LENDERS Party Hereto</w:t>
      </w:r>
    </w:p>
    <w:p>
      <w:pPr>
        <w:spacing w:after="0" w:line="20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SUNTRUST BANK</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$990,000,000</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SUNTRUST ROBINSON HUMPHREY, INC.</w:t>
      </w:r>
    </w:p>
    <w:p>
      <w:pPr>
        <w:jc w:val="center"/>
        <w:spacing w:after="0" w:line="238" w:lineRule="auto"/>
        <w:rPr>
          <w:sz w:val="20"/>
          <w:szCs w:val="20"/>
          <w:color w:val="auto"/>
        </w:rPr>
      </w:pPr>
      <w:r>
        <w:rPr>
          <w:rFonts w:ascii="Arial" w:cs="Arial" w:eastAsia="Arial" w:hAnsi="Arial"/>
          <w:sz w:val="22"/>
          <w:szCs w:val="22"/>
          <w:color w:val="auto"/>
        </w:rPr>
        <w:t>JPMORGAN CHASE BANK, N.A.</w:t>
      </w:r>
    </w:p>
    <w:p>
      <w:pPr>
        <w:jc w:val="center"/>
        <w:spacing w:after="0"/>
        <w:rPr>
          <w:sz w:val="20"/>
          <w:szCs w:val="20"/>
          <w:color w:val="auto"/>
        </w:rPr>
      </w:pPr>
      <w:r>
        <w:rPr>
          <w:rFonts w:ascii="Arial" w:cs="Arial" w:eastAsia="Arial" w:hAnsi="Arial"/>
          <w:sz w:val="22"/>
          <w:szCs w:val="22"/>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13335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30480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781050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1036" w:right="2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7840" w:type="dxa"/>
            <w:vAlign w:val="bottom"/>
          </w:tcPr>
          <w:p>
            <w:pPr>
              <w:ind w:left="2640"/>
              <w:spacing w:after="0"/>
              <w:rPr>
                <w:sz w:val="20"/>
                <w:szCs w:val="20"/>
                <w:color w:val="auto"/>
              </w:rPr>
            </w:pPr>
            <w:r>
              <w:rPr>
                <w:rFonts w:ascii="Arial" w:cs="Arial" w:eastAsia="Arial" w:hAnsi="Arial"/>
                <w:sz w:val="22"/>
                <w:szCs w:val="22"/>
                <w:b w:val="1"/>
                <w:bCs w:val="1"/>
                <w:color w:val="auto"/>
              </w:rPr>
              <w:t>TABLE OF CONTENTS</w:t>
            </w:r>
          </w:p>
        </w:tc>
        <w:tc>
          <w:tcPr>
            <w:tcW w:w="1660" w:type="dxa"/>
            <w:vAlign w:val="bottom"/>
          </w:tcPr>
          <w:p>
            <w:pPr>
              <w:spacing w:after="0"/>
              <w:rPr>
                <w:sz w:val="24"/>
                <w:szCs w:val="24"/>
                <w:color w:val="auto"/>
              </w:rPr>
            </w:pPr>
          </w:p>
        </w:tc>
      </w:tr>
      <w:tr>
        <w:trPr>
          <w:trHeight w:val="459"/>
        </w:trPr>
        <w:tc>
          <w:tcPr>
            <w:tcW w:w="19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60" w:type="dxa"/>
            <w:vAlign w:val="bottom"/>
          </w:tcPr>
          <w:p>
            <w:pPr>
              <w:jc w:val="right"/>
              <w:ind w:right="332"/>
              <w:spacing w:after="0"/>
              <w:rPr>
                <w:sz w:val="20"/>
                <w:szCs w:val="20"/>
                <w:color w:val="auto"/>
              </w:rPr>
            </w:pPr>
            <w:r>
              <w:rPr>
                <w:rFonts w:ascii="Arial" w:cs="Arial" w:eastAsia="Arial" w:hAnsi="Arial"/>
                <w:sz w:val="22"/>
                <w:szCs w:val="22"/>
                <w:b w:val="1"/>
                <w:bCs w:val="1"/>
                <w:color w:val="auto"/>
              </w:rPr>
              <w:t>Page</w:t>
            </w:r>
          </w:p>
        </w:tc>
      </w:tr>
      <w:tr>
        <w:trPr>
          <w:trHeight w:val="428"/>
        </w:trPr>
        <w:tc>
          <w:tcPr>
            <w:tcW w:w="976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16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1.01.</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Defined Terms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1.02.</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Classification of Loans and Borrowings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1.03.</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Terms Generally</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1.04.</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Accounting Terms; GAAP</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1.05.</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Currencies; Currency Equivalents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9760" w:type="dxa"/>
            <w:vAlign w:val="bottom"/>
            <w:gridSpan w:val="2"/>
          </w:tcPr>
          <w:p>
            <w:pPr>
              <w:spacing w:after="0" w:line="243" w:lineRule="exact"/>
              <w:rPr>
                <w:sz w:val="20"/>
                <w:szCs w:val="20"/>
                <w:color w:val="auto"/>
              </w:rPr>
            </w:pPr>
            <w:r>
              <w:rPr>
                <w:rFonts w:ascii="Arial" w:cs="Arial" w:eastAsia="Arial" w:hAnsi="Arial"/>
                <w:sz w:val="22"/>
                <w:szCs w:val="22"/>
                <w:color w:val="auto"/>
              </w:rPr>
              <w:t>ARTICLE II THE CREDITS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2.01.</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The Commitments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2.02.</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Loans and Borrowings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2.03.</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Requests for Syndicated Borrowings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2.04.</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Swingline Loans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2.05.</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Letters of Credit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2.06.</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Funding of Borrowings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2.07.</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Interest Elections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2.08.</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Termination, Reduction or Increase of the Commitments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2.09.</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Repayment of Loans; Evidence of Debt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2.10.</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Prepayment of Loans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2.11.</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Fees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2.12.</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Interest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2.13.</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Inability to Determine Interest Rates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2.14.</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Increased Costs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2.15.</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Break Funding Payments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2.16.</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Taxes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2.17.</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Payments Generally; Pro Rata Treatment: Sharing of Set-offs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2.18.</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Mitigation Obligations; Replacement of Lenders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2.19.</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Defaulting Lenders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2.20.</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Reallocation Following the Non-Extended Commitment Termination Date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2.21.</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Assignment and Reallocation of Existing Commitments and Existing Loans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9760" w:type="dxa"/>
            <w:vAlign w:val="bottom"/>
            <w:gridSpan w:val="2"/>
          </w:tcPr>
          <w:p>
            <w:pPr>
              <w:spacing w:after="0" w:line="243" w:lineRule="exact"/>
              <w:rPr>
                <w:sz w:val="20"/>
                <w:szCs w:val="20"/>
                <w:color w:val="auto"/>
              </w:rPr>
            </w:pPr>
            <w:r>
              <w:rPr>
                <w:rFonts w:ascii="Arial" w:cs="Arial" w:eastAsia="Arial" w:hAnsi="Arial"/>
                <w:sz w:val="22"/>
                <w:szCs w:val="22"/>
                <w:color w:val="auto"/>
              </w:rPr>
              <w:t>ARTICLE III REPRESENTATIONS AND WARRANTIES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3.01.</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Organization; Powers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3.02.</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Authorization; Enforceability</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3.03.</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Governmental Approvals; No Conflicts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3.04.</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Financial Condition; No Material Adverse Change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3.05.</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Litigation</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3.06.</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Compliance with Laws and Agreements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3.07.</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Taxes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3.08.</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ERISA</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3.09.</w:t>
            </w:r>
          </w:p>
        </w:tc>
        <w:tc>
          <w:tcPr>
            <w:tcW w:w="7840" w:type="dxa"/>
            <w:vAlign w:val="bottom"/>
          </w:tcPr>
          <w:p>
            <w:pPr>
              <w:ind w:left="500"/>
              <w:spacing w:after="0" w:line="243" w:lineRule="exact"/>
              <w:rPr>
                <w:sz w:val="20"/>
                <w:szCs w:val="20"/>
                <w:color w:val="auto"/>
              </w:rPr>
            </w:pPr>
            <w:r>
              <w:rPr>
                <w:rFonts w:ascii="Arial" w:cs="Arial" w:eastAsia="Arial" w:hAnsi="Arial"/>
                <w:sz w:val="22"/>
                <w:szCs w:val="22"/>
                <w:color w:val="auto"/>
              </w:rPr>
              <w:t>Disclosure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75"/>
        </w:trPr>
        <w:tc>
          <w:tcPr>
            <w:tcW w:w="1920" w:type="dxa"/>
            <w:vAlign w:val="bottom"/>
          </w:tcPr>
          <w:p>
            <w:pPr>
              <w:spacing w:after="0"/>
              <w:rPr>
                <w:sz w:val="20"/>
                <w:szCs w:val="20"/>
                <w:color w:val="auto"/>
              </w:rPr>
            </w:pPr>
            <w:r>
              <w:rPr>
                <w:rFonts w:ascii="Arial" w:cs="Arial" w:eastAsia="Arial" w:hAnsi="Arial"/>
                <w:sz w:val="22"/>
                <w:szCs w:val="22"/>
                <w:color w:val="auto"/>
              </w:rPr>
              <w:t>SECTION 3.10.</w:t>
            </w:r>
          </w:p>
        </w:tc>
        <w:tc>
          <w:tcPr>
            <w:tcW w:w="7840" w:type="dxa"/>
            <w:vAlign w:val="bottom"/>
          </w:tcPr>
          <w:p>
            <w:pPr>
              <w:ind w:left="500"/>
              <w:spacing w:after="0"/>
              <w:rPr>
                <w:sz w:val="20"/>
                <w:szCs w:val="20"/>
                <w:color w:val="auto"/>
              </w:rPr>
            </w:pPr>
            <w:r>
              <w:rPr>
                <w:rFonts w:ascii="Arial" w:cs="Arial" w:eastAsia="Arial" w:hAnsi="Arial"/>
                <w:sz w:val="22"/>
                <w:szCs w:val="22"/>
                <w:color w:val="auto"/>
              </w:rPr>
              <w:t>Investment Company Act; Margin Regulations</w:t>
            </w:r>
          </w:p>
        </w:tc>
        <w:tc>
          <w:tcPr>
            <w:tcW w:w="1660" w:type="dxa"/>
            <w:vAlign w:val="bottom"/>
          </w:tcPr>
          <w:p>
            <w:pPr>
              <w:jc w:val="right"/>
              <w:spacing w:after="0"/>
              <w:rPr>
                <w:sz w:val="20"/>
                <w:szCs w:val="20"/>
                <w:color w:val="auto"/>
              </w:rPr>
            </w:pPr>
            <w:r>
              <w:rPr>
                <w:rFonts w:ascii="Arial" w:cs="Arial" w:eastAsia="Arial" w:hAnsi="Arial"/>
                <w:sz w:val="22"/>
                <w:szCs w:val="22"/>
                <w:color w:val="auto"/>
              </w:rPr>
              <w:t>82</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700" w:type="dxa"/>
            <w:vAlign w:val="bottom"/>
          </w:tcPr>
          <w:p>
            <w:pPr>
              <w:jc w:val="right"/>
              <w:ind w:right="332"/>
              <w:spacing w:after="0"/>
              <w:rPr>
                <w:sz w:val="20"/>
                <w:szCs w:val="20"/>
                <w:color w:val="auto"/>
              </w:rPr>
            </w:pPr>
            <w:r>
              <w:rPr>
                <w:rFonts w:ascii="Arial" w:cs="Arial" w:eastAsia="Arial" w:hAnsi="Arial"/>
                <w:sz w:val="22"/>
                <w:szCs w:val="22"/>
                <w:b w:val="1"/>
                <w:bCs w:val="1"/>
                <w:color w:val="auto"/>
              </w:rPr>
              <w:t>Page</w:t>
            </w:r>
          </w:p>
        </w:tc>
      </w:tr>
      <w:tr>
        <w:trPr>
          <w:trHeight w:val="428"/>
        </w:trPr>
        <w:tc>
          <w:tcPr>
            <w:tcW w:w="1920" w:type="dxa"/>
            <w:vAlign w:val="bottom"/>
          </w:tcPr>
          <w:p>
            <w:pPr>
              <w:spacing w:after="0"/>
              <w:rPr>
                <w:sz w:val="20"/>
                <w:szCs w:val="20"/>
                <w:color w:val="auto"/>
              </w:rPr>
            </w:pPr>
            <w:r>
              <w:rPr>
                <w:rFonts w:ascii="Arial" w:cs="Arial" w:eastAsia="Arial" w:hAnsi="Arial"/>
                <w:sz w:val="22"/>
                <w:szCs w:val="22"/>
                <w:color w:val="auto"/>
              </w:rPr>
              <w:t>SECTION 3.11.</w:t>
            </w:r>
          </w:p>
        </w:tc>
        <w:tc>
          <w:tcPr>
            <w:tcW w:w="7800" w:type="dxa"/>
            <w:vAlign w:val="bottom"/>
          </w:tcPr>
          <w:p>
            <w:pPr>
              <w:ind w:left="500"/>
              <w:spacing w:after="0"/>
              <w:rPr>
                <w:sz w:val="20"/>
                <w:szCs w:val="20"/>
                <w:color w:val="auto"/>
              </w:rPr>
            </w:pPr>
            <w:r>
              <w:rPr>
                <w:rFonts w:ascii="Arial" w:cs="Arial" w:eastAsia="Arial" w:hAnsi="Arial"/>
                <w:sz w:val="22"/>
                <w:szCs w:val="22"/>
                <w:color w:val="auto"/>
              </w:rPr>
              <w:t>Material Agreements and Liens</w:t>
            </w:r>
          </w:p>
        </w:tc>
        <w:tc>
          <w:tcPr>
            <w:tcW w:w="17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3.12.</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Subsidiaries and Investments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3.13.</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Properties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3.14.</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Affiliate Agreements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3.15.</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Sanctions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3.16.</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Patriot Act</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3.17.</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Collateral Documents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3.18.</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EEA Financial Institutions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9720" w:type="dxa"/>
            <w:vAlign w:val="bottom"/>
            <w:gridSpan w:val="2"/>
          </w:tcPr>
          <w:p>
            <w:pPr>
              <w:spacing w:after="0" w:line="243" w:lineRule="exact"/>
              <w:rPr>
                <w:sz w:val="20"/>
                <w:szCs w:val="20"/>
                <w:color w:val="auto"/>
              </w:rPr>
            </w:pPr>
            <w:r>
              <w:rPr>
                <w:rFonts w:ascii="Arial" w:cs="Arial" w:eastAsia="Arial" w:hAnsi="Arial"/>
                <w:sz w:val="22"/>
                <w:szCs w:val="22"/>
                <w:color w:val="auto"/>
              </w:rPr>
              <w:t>ARTICLE IV CONDITIONS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4.01.</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Effective Date</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4.02.</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Each Credit Event</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9720" w:type="dxa"/>
            <w:vAlign w:val="bottom"/>
            <w:gridSpan w:val="2"/>
          </w:tcPr>
          <w:p>
            <w:pPr>
              <w:spacing w:after="0" w:line="243" w:lineRule="exact"/>
              <w:rPr>
                <w:sz w:val="20"/>
                <w:szCs w:val="20"/>
                <w:color w:val="auto"/>
              </w:rPr>
            </w:pPr>
            <w:r>
              <w:rPr>
                <w:rFonts w:ascii="Arial" w:cs="Arial" w:eastAsia="Arial" w:hAnsi="Arial"/>
                <w:sz w:val="22"/>
                <w:szCs w:val="22"/>
                <w:color w:val="auto"/>
              </w:rPr>
              <w:t>ARTICLE V AFFIRMATIVE COVENANTS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5.01.</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Financial Statements and Other Information</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5.02.</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Notices of Material Events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5.03.</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Existence: Conduct of Business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5.04.</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Payment of Obligations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5.05.</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Maintenance of Properties; Insurance</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5.06.</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Books and Records; Inspection and Audit Rights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5.07.</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Compliance with Laws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5.08.</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Certain Obligations Respecting Subsidiaries; Further Assurances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5.09.</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Use of Proceeds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5.10.</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Status of RIC and BDC</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5.11.</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Investment Policies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5.12.</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Portfolio Valuation and Diversification Etc</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5.13.</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Calculation of Borrowing Base</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9720" w:type="dxa"/>
            <w:vAlign w:val="bottom"/>
            <w:gridSpan w:val="2"/>
          </w:tcPr>
          <w:p>
            <w:pPr>
              <w:spacing w:after="0" w:line="243" w:lineRule="exact"/>
              <w:rPr>
                <w:sz w:val="20"/>
                <w:szCs w:val="20"/>
                <w:color w:val="auto"/>
              </w:rPr>
            </w:pPr>
            <w:r>
              <w:rPr>
                <w:rFonts w:ascii="Arial" w:cs="Arial" w:eastAsia="Arial" w:hAnsi="Arial"/>
                <w:sz w:val="22"/>
                <w:szCs w:val="22"/>
                <w:color w:val="auto"/>
              </w:rPr>
              <w:t>ARTICLE VI NEGATIVE COVENANTS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6.01.</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Indebtedness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6.02.</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Liens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6.03.</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Fundamental Changes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6.04.</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Investments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6.05.</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Restricted Payments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6.06.</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Certain Restrictions on Subsidiaries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6.07.</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Certain Financial Covenants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6.08.</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Transactions with Affiliates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6.09.</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Lines of Business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6.10.</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No Further Negative Pledge</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6.11.</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Modifications of Longer-Term Indebtedness Documents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6.12.</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w w:val="99"/>
              </w:rPr>
              <w:t>Payments of Longer-Term Indebtedness, 2019 Convertible Notes, the 2022</w:t>
            </w:r>
          </w:p>
        </w:tc>
        <w:tc>
          <w:tcPr>
            <w:tcW w:w="1700" w:type="dxa"/>
            <w:vAlign w:val="bottom"/>
          </w:tcPr>
          <w:p>
            <w:pPr>
              <w:spacing w:after="0"/>
              <w:rPr>
                <w:sz w:val="21"/>
                <w:szCs w:val="21"/>
                <w:color w:val="auto"/>
              </w:rPr>
            </w:pPr>
          </w:p>
        </w:tc>
      </w:tr>
      <w:tr>
        <w:trPr>
          <w:trHeight w:val="243"/>
        </w:trPr>
        <w:tc>
          <w:tcPr>
            <w:tcW w:w="1920" w:type="dxa"/>
            <w:vAlign w:val="bottom"/>
          </w:tcPr>
          <w:p>
            <w:pPr>
              <w:spacing w:after="0"/>
              <w:rPr>
                <w:sz w:val="21"/>
                <w:szCs w:val="21"/>
                <w:color w:val="auto"/>
              </w:rPr>
            </w:pP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Convertible Notes, and 2023 Notes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6.13.</w:t>
            </w:r>
          </w:p>
        </w:tc>
        <w:tc>
          <w:tcPr>
            <w:tcW w:w="7800" w:type="dxa"/>
            <w:vAlign w:val="bottom"/>
          </w:tcPr>
          <w:p>
            <w:pPr>
              <w:ind w:left="500"/>
              <w:spacing w:after="0" w:line="243" w:lineRule="exact"/>
              <w:rPr>
                <w:sz w:val="20"/>
                <w:szCs w:val="20"/>
                <w:color w:val="auto"/>
              </w:rPr>
            </w:pPr>
            <w:r>
              <w:rPr>
                <w:rFonts w:ascii="Arial" w:cs="Arial" w:eastAsia="Arial" w:hAnsi="Arial"/>
                <w:sz w:val="22"/>
                <w:szCs w:val="22"/>
                <w:color w:val="auto"/>
              </w:rPr>
              <w:t>Accounting Changes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75"/>
        </w:trPr>
        <w:tc>
          <w:tcPr>
            <w:tcW w:w="1920" w:type="dxa"/>
            <w:vAlign w:val="bottom"/>
          </w:tcPr>
          <w:p>
            <w:pPr>
              <w:spacing w:after="0"/>
              <w:rPr>
                <w:sz w:val="20"/>
                <w:szCs w:val="20"/>
                <w:color w:val="auto"/>
              </w:rPr>
            </w:pPr>
            <w:r>
              <w:rPr>
                <w:rFonts w:ascii="Arial" w:cs="Arial" w:eastAsia="Arial" w:hAnsi="Arial"/>
                <w:sz w:val="22"/>
                <w:szCs w:val="22"/>
                <w:color w:val="auto"/>
              </w:rPr>
              <w:t>SECTION 6.14.</w:t>
            </w:r>
          </w:p>
        </w:tc>
        <w:tc>
          <w:tcPr>
            <w:tcW w:w="7800" w:type="dxa"/>
            <w:vAlign w:val="bottom"/>
          </w:tcPr>
          <w:p>
            <w:pPr>
              <w:ind w:left="500"/>
              <w:spacing w:after="0"/>
              <w:rPr>
                <w:sz w:val="20"/>
                <w:szCs w:val="20"/>
                <w:color w:val="auto"/>
              </w:rPr>
            </w:pPr>
            <w:r>
              <w:rPr>
                <w:rFonts w:ascii="Arial" w:cs="Arial" w:eastAsia="Arial" w:hAnsi="Arial"/>
                <w:sz w:val="22"/>
                <w:szCs w:val="22"/>
                <w:color w:val="auto"/>
              </w:rPr>
              <w:t>SBIC Guarantee</w:t>
            </w:r>
          </w:p>
        </w:tc>
        <w:tc>
          <w:tcPr>
            <w:tcW w:w="1700" w:type="dxa"/>
            <w:vAlign w:val="bottom"/>
          </w:tcPr>
          <w:p>
            <w:pPr>
              <w:jc w:val="right"/>
              <w:spacing w:after="0"/>
              <w:rPr>
                <w:sz w:val="20"/>
                <w:szCs w:val="20"/>
                <w:color w:val="auto"/>
              </w:rPr>
            </w:pPr>
            <w:r>
              <w:rPr>
                <w:rFonts w:ascii="Arial" w:cs="Arial" w:eastAsia="Arial" w:hAnsi="Arial"/>
                <w:sz w:val="22"/>
                <w:szCs w:val="22"/>
                <w:color w:val="auto"/>
              </w:rPr>
              <w:t>110</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780" w:type="dxa"/>
            <w:vAlign w:val="bottom"/>
          </w:tcPr>
          <w:p>
            <w:pPr>
              <w:jc w:val="right"/>
              <w:ind w:right="332"/>
              <w:spacing w:after="0"/>
              <w:rPr>
                <w:sz w:val="20"/>
                <w:szCs w:val="20"/>
                <w:color w:val="auto"/>
              </w:rPr>
            </w:pPr>
            <w:r>
              <w:rPr>
                <w:rFonts w:ascii="Arial" w:cs="Arial" w:eastAsia="Arial" w:hAnsi="Arial"/>
                <w:sz w:val="22"/>
                <w:szCs w:val="22"/>
                <w:b w:val="1"/>
                <w:bCs w:val="1"/>
                <w:color w:val="auto"/>
              </w:rPr>
              <w:t>Page</w:t>
            </w:r>
          </w:p>
        </w:tc>
      </w:tr>
      <w:tr>
        <w:trPr>
          <w:trHeight w:val="459"/>
        </w:trPr>
        <w:tc>
          <w:tcPr>
            <w:tcW w:w="9640" w:type="dxa"/>
            <w:vAlign w:val="bottom"/>
            <w:gridSpan w:val="2"/>
          </w:tcPr>
          <w:p>
            <w:pPr>
              <w:spacing w:after="0"/>
              <w:rPr>
                <w:sz w:val="20"/>
                <w:szCs w:val="20"/>
                <w:color w:val="auto"/>
              </w:rPr>
            </w:pPr>
            <w:r>
              <w:rPr>
                <w:rFonts w:ascii="Arial" w:cs="Arial" w:eastAsia="Arial" w:hAnsi="Arial"/>
                <w:sz w:val="22"/>
                <w:szCs w:val="22"/>
                <w:color w:val="auto"/>
              </w:rPr>
              <w:t>ARTICLE VII EVENTS OF DEFAULT</w:t>
            </w:r>
          </w:p>
        </w:tc>
        <w:tc>
          <w:tcPr>
            <w:tcW w:w="178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428"/>
        </w:trPr>
        <w:tc>
          <w:tcPr>
            <w:tcW w:w="9640" w:type="dxa"/>
            <w:vAlign w:val="bottom"/>
            <w:gridSpan w:val="2"/>
          </w:tcPr>
          <w:p>
            <w:pPr>
              <w:spacing w:after="0"/>
              <w:rPr>
                <w:sz w:val="20"/>
                <w:szCs w:val="20"/>
                <w:color w:val="auto"/>
              </w:rPr>
            </w:pPr>
            <w:r>
              <w:rPr>
                <w:rFonts w:ascii="Arial" w:cs="Arial" w:eastAsia="Arial" w:hAnsi="Arial"/>
                <w:sz w:val="22"/>
                <w:szCs w:val="22"/>
                <w:color w:val="auto"/>
              </w:rPr>
              <w:t>ARTICLE VIII THE ADMINISTRATIVE AGENT</w:t>
            </w:r>
          </w:p>
        </w:tc>
        <w:tc>
          <w:tcPr>
            <w:tcW w:w="178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8.01.</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Appointment of the Administrative Agent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8.02.</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Capacity as Lender</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8.03.</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Limitation of Duties; Exculpation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8.04.</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Reliance</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8.05.</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Sub-Agents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8.06.</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Resignation; Successor Administrative Agent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8.07.</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Reliance by Lenders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8.08.</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Modifications to Loan Documents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43"/>
        </w:trPr>
        <w:tc>
          <w:tcPr>
            <w:tcW w:w="9640" w:type="dxa"/>
            <w:vAlign w:val="bottom"/>
            <w:gridSpan w:val="2"/>
          </w:tcPr>
          <w:p>
            <w:pPr>
              <w:spacing w:after="0" w:line="243" w:lineRule="exact"/>
              <w:rPr>
                <w:sz w:val="20"/>
                <w:szCs w:val="20"/>
                <w:color w:val="auto"/>
              </w:rPr>
            </w:pPr>
            <w:r>
              <w:rPr>
                <w:rFonts w:ascii="Arial" w:cs="Arial" w:eastAsia="Arial" w:hAnsi="Arial"/>
                <w:sz w:val="22"/>
                <w:szCs w:val="22"/>
                <w:color w:val="auto"/>
              </w:rPr>
              <w:t>ARTICLE IX MISCELLANEOUS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9.01.</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Notices; Electronic Communications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118</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9.02.</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Waivers; Amendments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9.03.</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Expenses; Indemnity; Damage Waiver</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9.04.</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Successors and Assigns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9.05.</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Survival</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9.06.</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Counterparts; Integration; Effectiveness; Electronic Execution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130</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9.07.</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Severability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9.08.</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Right of Setoff</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9.09.</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Governing Law; Jurisdiction; Etc</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9.10.</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WAIVER OF JURY TRIAL</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9.11.</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Judgment Currency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132</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9.12.</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Headings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9.13.</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Treatment of Certain Information; No Fiduciary Duty; Confidentiality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9.14.</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USA PATRIOT Act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9.15.</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Effect of Amendment and Restatement of the Existing Credit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9.16.</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Reaffirmation of Guarantee and Security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SECTION 9.17.</w:t>
            </w:r>
          </w:p>
        </w:tc>
        <w:tc>
          <w:tcPr>
            <w:tcW w:w="7720" w:type="dxa"/>
            <w:vAlign w:val="bottom"/>
          </w:tcPr>
          <w:p>
            <w:pPr>
              <w:ind w:left="500"/>
              <w:spacing w:after="0" w:line="243" w:lineRule="exact"/>
              <w:rPr>
                <w:sz w:val="20"/>
                <w:szCs w:val="20"/>
                <w:color w:val="auto"/>
              </w:rPr>
            </w:pPr>
            <w:r>
              <w:rPr>
                <w:rFonts w:ascii="Arial" w:cs="Arial" w:eastAsia="Arial" w:hAnsi="Arial"/>
                <w:sz w:val="22"/>
                <w:szCs w:val="22"/>
                <w:color w:val="auto"/>
              </w:rPr>
              <w:t>Acknowledgement and Consent to Bail-In of EEA Financial Institutions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75"/>
        </w:trPr>
        <w:tc>
          <w:tcPr>
            <w:tcW w:w="1920" w:type="dxa"/>
            <w:vAlign w:val="bottom"/>
          </w:tcPr>
          <w:p>
            <w:pPr>
              <w:spacing w:after="0"/>
              <w:rPr>
                <w:sz w:val="20"/>
                <w:szCs w:val="20"/>
                <w:color w:val="auto"/>
              </w:rPr>
            </w:pPr>
            <w:r>
              <w:rPr>
                <w:rFonts w:ascii="Arial" w:cs="Arial" w:eastAsia="Arial" w:hAnsi="Arial"/>
                <w:sz w:val="22"/>
                <w:szCs w:val="22"/>
                <w:color w:val="auto"/>
              </w:rPr>
              <w:t>SECTION 9.18.</w:t>
            </w:r>
          </w:p>
        </w:tc>
        <w:tc>
          <w:tcPr>
            <w:tcW w:w="7720" w:type="dxa"/>
            <w:vAlign w:val="bottom"/>
          </w:tcPr>
          <w:p>
            <w:pPr>
              <w:ind w:left="500"/>
              <w:spacing w:after="0"/>
              <w:rPr>
                <w:sz w:val="20"/>
                <w:szCs w:val="20"/>
                <w:color w:val="auto"/>
              </w:rPr>
            </w:pPr>
            <w:r>
              <w:rPr>
                <w:rFonts w:ascii="Arial" w:cs="Arial" w:eastAsia="Arial" w:hAnsi="Arial"/>
                <w:sz w:val="22"/>
                <w:szCs w:val="22"/>
                <w:color w:val="auto"/>
              </w:rPr>
              <w:t>Certain ERISA Matters</w:t>
            </w:r>
          </w:p>
        </w:tc>
        <w:tc>
          <w:tcPr>
            <w:tcW w:w="1780" w:type="dxa"/>
            <w:vAlign w:val="bottom"/>
          </w:tcPr>
          <w:p>
            <w:pPr>
              <w:jc w:val="right"/>
              <w:spacing w:after="0"/>
              <w:rPr>
                <w:sz w:val="20"/>
                <w:szCs w:val="20"/>
                <w:color w:val="auto"/>
              </w:rPr>
            </w:pPr>
            <w:r>
              <w:rPr>
                <w:rFonts w:ascii="Arial" w:cs="Arial" w:eastAsia="Arial" w:hAnsi="Arial"/>
                <w:sz w:val="22"/>
                <w:szCs w:val="22"/>
                <w:color w:val="auto"/>
              </w:rPr>
              <w:t>136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0"/>
                <w:szCs w:val="20"/>
                <w:color w:val="auto"/>
              </w:rPr>
            </w:pPr>
            <w:r>
              <w:rPr>
                <w:rFonts w:ascii="Arial" w:cs="Arial" w:eastAsia="Arial" w:hAnsi="Arial"/>
                <w:sz w:val="22"/>
                <w:szCs w:val="22"/>
                <w:color w:val="auto"/>
              </w:rPr>
              <w:t>SCHEDULE 1.01(a)</w:t>
            </w:r>
          </w:p>
        </w:tc>
        <w:tc>
          <w:tcPr>
            <w:tcW w:w="9100" w:type="dxa"/>
            <w:vAlign w:val="bottom"/>
          </w:tcPr>
          <w:p>
            <w:pPr>
              <w:ind w:left="540"/>
              <w:spacing w:after="0"/>
              <w:rPr>
                <w:sz w:val="20"/>
                <w:szCs w:val="20"/>
                <w:color w:val="auto"/>
              </w:rPr>
            </w:pPr>
            <w:r>
              <w:rPr>
                <w:rFonts w:ascii="Arial" w:cs="Arial" w:eastAsia="Arial" w:hAnsi="Arial"/>
                <w:sz w:val="22"/>
                <w:szCs w:val="22"/>
                <w:color w:val="auto"/>
              </w:rPr>
              <w:t>- Approved Dealers and Approved Pricing Services</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SCHEDULE 1.01(b)</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Commitments</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SCHEDULE 1.01(c)</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Industry Classification Group List</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SCHEDULE 2.05</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Issuing Bank LC Exposure</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SCHEDULE 3.11</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Material Agreements and Liens</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SCHEDULE 3.12(a)</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Subsidiaries</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SCHEDULE 3.12(b)</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Investments</w:t>
            </w:r>
          </w:p>
        </w:tc>
      </w:t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SCHEDULE 6.08</w:t>
            </w:r>
          </w:p>
        </w:tc>
        <w:tc>
          <w:tcPr>
            <w:tcW w:w="9100" w:type="dxa"/>
            <w:vAlign w:val="bottom"/>
          </w:tcPr>
          <w:p>
            <w:pPr>
              <w:ind w:left="540"/>
              <w:spacing w:after="0"/>
              <w:rPr>
                <w:sz w:val="20"/>
                <w:szCs w:val="20"/>
                <w:color w:val="auto"/>
              </w:rPr>
            </w:pPr>
            <w:r>
              <w:rPr>
                <w:rFonts w:ascii="Arial" w:cs="Arial" w:eastAsia="Arial" w:hAnsi="Arial"/>
                <w:sz w:val="22"/>
                <w:szCs w:val="22"/>
                <w:color w:val="auto"/>
              </w:rPr>
              <w:t>- Transactions with Affiliates</w:t>
            </w:r>
          </w:p>
        </w:tc>
      </w:tr>
      <w:tr>
        <w:trPr>
          <w:trHeight w:val="860"/>
        </w:trPr>
        <w:tc>
          <w:tcPr>
            <w:tcW w:w="2340" w:type="dxa"/>
            <w:vAlign w:val="bottom"/>
          </w:tcPr>
          <w:p>
            <w:pPr>
              <w:spacing w:after="0"/>
              <w:rPr>
                <w:sz w:val="20"/>
                <w:szCs w:val="20"/>
                <w:color w:val="auto"/>
              </w:rPr>
            </w:pPr>
            <w:r>
              <w:rPr>
                <w:rFonts w:ascii="Arial" w:cs="Arial" w:eastAsia="Arial" w:hAnsi="Arial"/>
                <w:sz w:val="22"/>
                <w:szCs w:val="22"/>
                <w:color w:val="auto"/>
              </w:rPr>
              <w:t>EXHIBIT A</w:t>
            </w:r>
          </w:p>
        </w:tc>
        <w:tc>
          <w:tcPr>
            <w:tcW w:w="9100" w:type="dxa"/>
            <w:vAlign w:val="bottom"/>
          </w:tcPr>
          <w:p>
            <w:pPr>
              <w:ind w:left="540"/>
              <w:spacing w:after="0"/>
              <w:rPr>
                <w:sz w:val="20"/>
                <w:szCs w:val="20"/>
                <w:color w:val="auto"/>
              </w:rPr>
            </w:pPr>
            <w:r>
              <w:rPr>
                <w:rFonts w:ascii="Arial" w:cs="Arial" w:eastAsia="Arial" w:hAnsi="Arial"/>
                <w:sz w:val="22"/>
                <w:szCs w:val="22"/>
                <w:color w:val="auto"/>
              </w:rPr>
              <w:t>- Form of Assignment and Assumption</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rPr>
              <w:t>- Form of Borrowing Base Certificate</w:t>
            </w:r>
          </w:p>
        </w:tc>
      </w:t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EXHIBIT C</w:t>
            </w:r>
          </w:p>
        </w:tc>
        <w:tc>
          <w:tcPr>
            <w:tcW w:w="9100" w:type="dxa"/>
            <w:vAlign w:val="bottom"/>
          </w:tcPr>
          <w:p>
            <w:pPr>
              <w:ind w:left="540"/>
              <w:spacing w:after="0"/>
              <w:rPr>
                <w:sz w:val="20"/>
                <w:szCs w:val="20"/>
                <w:color w:val="auto"/>
              </w:rPr>
            </w:pPr>
            <w:r>
              <w:rPr>
                <w:rFonts w:ascii="Arial" w:cs="Arial" w:eastAsia="Arial" w:hAnsi="Arial"/>
                <w:sz w:val="22"/>
                <w:szCs w:val="22"/>
                <w:color w:val="auto"/>
              </w:rPr>
              <w:t>- Form of Borrowing Request</w:t>
            </w:r>
          </w:p>
        </w:tc>
      </w:tr>
      <w:tr>
        <w:trPr>
          <w:trHeight w:val="969"/>
        </w:trPr>
        <w:tc>
          <w:tcPr>
            <w:tcW w:w="234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57" w:right="219" w:bottom="1440" w:gutter="0" w:footer="0" w:header="0"/>
        </w:sectPr>
      </w:pPr>
    </w:p>
    <w:bookmarkStart w:id="155" w:name="page156"/>
    <w:bookmarkEnd w:id="155"/>
    <w:p>
      <w:pPr>
        <w:jc w:val="both"/>
        <w:ind w:firstLine="1755"/>
        <w:spacing w:after="0" w:line="287" w:lineRule="auto"/>
        <w:rPr>
          <w:sz w:val="20"/>
          <w:szCs w:val="20"/>
          <w:color w:val="auto"/>
        </w:rPr>
      </w:pPr>
      <w:r>
        <w:rPr>
          <w:rFonts w:ascii="Arial" w:cs="Arial" w:eastAsia="Arial" w:hAnsi="Arial"/>
          <w:sz w:val="19"/>
          <w:szCs w:val="19"/>
          <w:color w:val="auto"/>
        </w:rPr>
        <w:t>SECOND AMENDED AND RESTATED SENIOR SECURED REVOLVING CREDIT AGREEMENT dated as of February 27, 2014, as amended as of June 3, 2014, as of June 27, 2014, as of October 17, 2014, as of October 2, 2015, as of December 22, 2016 and as of February 20, 2018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TPG SPECIALTY LENDING,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hereto, and SUNTRUST BANK, as Administrative Agent.</w:t>
      </w:r>
    </w:p>
    <w:p>
      <w:pPr>
        <w:spacing w:after="0" w:line="14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among the Borrower, the lenders party thereto (collectively, the “</w:t>
      </w:r>
      <w:r>
        <w:rPr>
          <w:rFonts w:ascii="Arial" w:cs="Arial" w:eastAsia="Arial" w:hAnsi="Arial"/>
          <w:sz w:val="22"/>
          <w:szCs w:val="22"/>
          <w:u w:val="single" w:color="auto"/>
          <w:color w:val="auto"/>
        </w:rPr>
        <w:t>Existing Lenders</w:t>
      </w:r>
      <w:r>
        <w:rPr>
          <w:rFonts w:ascii="Arial" w:cs="Arial" w:eastAsia="Arial" w:hAnsi="Arial"/>
          <w:sz w:val="22"/>
          <w:szCs w:val="22"/>
          <w:color w:val="auto"/>
        </w:rPr>
        <w:t>”) and the Administrative Agent, the Existing Lenders agreed to make extensions of credit to the Borrower on the terms and conditions set forth therein, including making loans (the “</w:t>
      </w:r>
      <w:r>
        <w:rPr>
          <w:rFonts w:ascii="Arial" w:cs="Arial" w:eastAsia="Arial" w:hAnsi="Arial"/>
          <w:sz w:val="22"/>
          <w:szCs w:val="22"/>
          <w:u w:val="single" w:color="auto"/>
          <w:color w:val="auto"/>
        </w:rPr>
        <w:t>Existing Loans</w:t>
      </w:r>
      <w:r>
        <w:rPr>
          <w:rFonts w:ascii="Arial" w:cs="Arial" w:eastAsia="Arial" w:hAnsi="Arial"/>
          <w:sz w:val="22"/>
          <w:szCs w:val="22"/>
          <w:color w:val="auto"/>
        </w:rPr>
        <w:t>”) to the Borrower.</w:t>
      </w:r>
    </w:p>
    <w:p>
      <w:pPr>
        <w:spacing w:after="0" w:line="188"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2"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The parties hereto hereby agree to amend and restate the Existing Credit Agreement, and the Existing Credit Agreement is hereby amended and restated in its entirety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Convertible Notes</w:t>
      </w:r>
      <w:r>
        <w:rPr>
          <w:rFonts w:ascii="Arial" w:cs="Arial" w:eastAsia="Arial" w:hAnsi="Arial"/>
          <w:sz w:val="22"/>
          <w:szCs w:val="22"/>
          <w:color w:val="auto"/>
        </w:rPr>
        <w:t>” means the Borrower’s $115,000,000 aggregate principal amount convertible notes due December 2019 issued in June 2014.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6" w:name="page157"/>
    <w:bookmarkEnd w:id="156"/>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Convertible Notes</w:t>
      </w:r>
      <w:r>
        <w:rPr>
          <w:rFonts w:ascii="Arial" w:cs="Arial" w:eastAsia="Arial" w:hAnsi="Arial"/>
          <w:sz w:val="22"/>
          <w:szCs w:val="22"/>
          <w:color w:val="auto"/>
        </w:rPr>
        <w:t>” means the Borrower’s $115,000,000 aggregate principal amount convertible notes due August 2022 issued in February 2017.</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2023 Notes</w:t>
      </w:r>
      <w:r>
        <w:rPr>
          <w:rFonts w:ascii="Arial" w:cs="Arial" w:eastAsia="Arial" w:hAnsi="Arial"/>
          <w:sz w:val="19"/>
          <w:szCs w:val="19"/>
          <w:color w:val="auto"/>
        </w:rPr>
        <w:t>” means the Borrower’s $150,000,000 aggregate principal amount notes due January 2023 issued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 January 2018.</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Borrowing Base</w:t>
      </w:r>
      <w:r>
        <w:rPr>
          <w:rFonts w:ascii="Arial" w:cs="Arial" w:eastAsia="Arial" w:hAnsi="Arial"/>
          <w:sz w:val="22"/>
          <w:szCs w:val="22"/>
          <w:color w:val="auto"/>
        </w:rPr>
        <w:t xml:space="preserve">” means the Borrowing Base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Covered Debt Balance</w:t>
      </w:r>
      <w:r>
        <w:rPr>
          <w:rFonts w:ascii="Arial" w:cs="Arial" w:eastAsia="Arial" w:hAnsi="Arial"/>
          <w:sz w:val="19"/>
          <w:szCs w:val="19"/>
          <w:color w:val="auto"/>
        </w:rPr>
        <w:t xml:space="preserve">” means, on any date, the aggregate Covered Debt Amount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3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LIBO Rate</w:t>
      </w:r>
      <w:r>
        <w:rPr>
          <w:rFonts w:ascii="Arial" w:cs="Arial" w:eastAsia="Arial" w:hAnsi="Arial"/>
          <w:sz w:val="21"/>
          <w:szCs w:val="21"/>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SunTrust, in its capacity as administrative agent for the Lenders hereunder.</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 Appraisal Testing Period</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5.12(b)(ii)</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w:t>
      </w:r>
      <w:r>
        <w:rPr>
          <w:rFonts w:ascii="Arial" w:cs="Arial" w:eastAsia="Arial" w:hAnsi="Arial"/>
          <w:sz w:val="22"/>
          <w:szCs w:val="22"/>
          <w:color w:val="auto"/>
        </w:rPr>
        <w:t>.</w:t>
      </w:r>
    </w:p>
    <w:p>
      <w:pPr>
        <w:spacing w:after="0" w:line="188"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for each Currency, an account in respect of such Currency designated by the Administrative Agent in a notice to the Borrower and the Lenders.</w:t>
      </w:r>
    </w:p>
    <w:p>
      <w:pPr>
        <w:spacing w:after="0" w:line="17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7" w:name="page158"/>
    <w:bookmarkEnd w:id="157"/>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4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85"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Agreed Foreign Currency</w:t>
      </w:r>
      <w:r>
        <w:rPr>
          <w:rFonts w:ascii="Arial" w:cs="Arial" w:eastAsia="Arial" w:hAnsi="Arial"/>
          <w:sz w:val="19"/>
          <w:szCs w:val="19"/>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or the relevant local market, if applicable,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5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preamble</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zero, (b) the Prime Rate in effect on such day, (c) the Federal Funds Effective Rate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and (d) the rate per annum equal to 1%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8" w:name="page159"/>
    <w:bookmarkEnd w:id="158"/>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Dollar Percentage</w:t>
      </w:r>
      <w:r>
        <w:rPr>
          <w:rFonts w:ascii="Arial" w:cs="Arial" w:eastAsia="Arial" w:hAnsi="Arial"/>
          <w:sz w:val="19"/>
          <w:szCs w:val="19"/>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48"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Financial Statements</w:t>
      </w:r>
      <w:r>
        <w:rPr>
          <w:rFonts w:ascii="Arial" w:cs="Arial" w:eastAsia="Arial" w:hAnsi="Arial"/>
          <w:sz w:val="21"/>
          <w:szCs w:val="21"/>
          <w:color w:val="auto"/>
        </w:rPr>
        <w:t xml:space="preserve">” means, as at any date, the most-recent audited financial statements of the Borrower delivered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immediately prior to the delivery to the Lenders of new audited financial statements of the Borrower a Material Adverse Change (the “</w:t>
      </w:r>
      <w:r>
        <w:rPr>
          <w:rFonts w:ascii="Arial" w:cs="Arial" w:eastAsia="Arial" w:hAnsi="Arial"/>
          <w:sz w:val="21"/>
          <w:szCs w:val="21"/>
          <w:u w:val="single" w:color="auto"/>
          <w:color w:val="auto"/>
        </w:rPr>
        <w:t>Pre-existing MAC</w:t>
      </w:r>
      <w:r>
        <w:rPr>
          <w:rFonts w:ascii="Arial" w:cs="Arial" w:eastAsia="Arial" w:hAnsi="Arial"/>
          <w:sz w:val="21"/>
          <w:szCs w:val="21"/>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9"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Multicurrency Percentage</w:t>
      </w:r>
      <w:r>
        <w:rPr>
          <w:rFonts w:ascii="Arial" w:cs="Arial" w:eastAsia="Arial" w:hAnsi="Arial"/>
          <w:sz w:val="21"/>
          <w:szCs w:val="21"/>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77"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on and after the Non-Extended Commitment Termination Date for any Non-Extending Lender, the Applicable Percentage of such Non-Extending Lender shall be 0%.</w:t>
      </w:r>
    </w:p>
    <w:p>
      <w:pPr>
        <w:spacing w:after="0" w:line="188"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Dealer</w:t>
      </w:r>
      <w:r>
        <w:rPr>
          <w:rFonts w:ascii="Arial" w:cs="Arial" w:eastAsia="Arial" w:hAnsi="Arial"/>
          <w:sz w:val="21"/>
          <w:szCs w:val="21"/>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as set forth on </w:t>
      </w:r>
      <w:r>
        <w:rPr>
          <w:rFonts w:ascii="Arial" w:cs="Arial" w:eastAsia="Arial" w:hAnsi="Arial"/>
          <w:sz w:val="21"/>
          <w:szCs w:val="21"/>
          <w:u w:val="single" w:color="auto"/>
          <w:color w:val="auto"/>
        </w:rPr>
        <w:t>Schedule 1.01(a)</w:t>
      </w:r>
      <w:r>
        <w:rPr>
          <w:rFonts w:ascii="Arial" w:cs="Arial" w:eastAsia="Arial" w:hAnsi="Arial"/>
          <w:sz w:val="21"/>
          <w:szCs w:val="21"/>
          <w:color w:val="auto"/>
        </w:rPr>
        <w:t xml:space="preserve"> or any other bank or broker-dealer acceptable to the Administrative Agent in its reasonable determination.</w:t>
      </w:r>
    </w:p>
    <w:p>
      <w:pPr>
        <w:spacing w:after="0" w:line="177"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Pricing Service</w:t>
      </w:r>
      <w:r>
        <w:rPr>
          <w:rFonts w:ascii="Arial" w:cs="Arial" w:eastAsia="Arial" w:hAnsi="Arial"/>
          <w:sz w:val="22"/>
          <w:szCs w:val="22"/>
          <w:color w:val="auto"/>
        </w:rPr>
        <w:t xml:space="preserve">” means a pricing or quotation service as set forth in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9" w:name="page160"/>
    <w:bookmarkEnd w:id="159"/>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Third-Party Appraiser</w:t>
      </w:r>
      <w:r>
        <w:rPr>
          <w:rFonts w:ascii="Arial" w:cs="Arial" w:eastAsia="Arial" w:hAnsi="Arial"/>
          <w:sz w:val="19"/>
          <w:szCs w:val="19"/>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62"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Coverage Ratio</w:t>
      </w:r>
      <w:r>
        <w:rPr>
          <w:rFonts w:ascii="Arial" w:cs="Arial" w:eastAsia="Arial" w:hAnsi="Arial"/>
          <w:sz w:val="19"/>
          <w:szCs w:val="19"/>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1"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entered into by a Lender and an assignee (with the consent of any party whose consent is required by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and accepted by the Administrative Agent,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34"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0" w:name="page161"/>
    <w:bookmarkEnd w:id="160"/>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(a) all Syndicated ABR Loans of the same Class made, converted or continued on the same date, (b) all Eurocurrency Loans of the same Class denominated in the same Currency that have the same Interest Period or (c) a Swingline Loan.</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xml:space="preserve">” means a certificate of a Financial Officer of the Borrower,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appropriately completed.</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Deficiency</w:t>
      </w:r>
      <w:r>
        <w:rPr>
          <w:rFonts w:ascii="Arial" w:cs="Arial" w:eastAsia="Arial" w:hAnsi="Arial"/>
          <w:sz w:val="22"/>
          <w:szCs w:val="22"/>
          <w:color w:val="auto"/>
        </w:rPr>
        <w:t>” means, at any date on which the same is determined, the amount, if any, that (a) the aggregate Covered Debt Amount as of such date exceeds (b) the Borrowing Base as of such date.</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a Syndicated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59"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Calculation Amount</w:t>
      </w:r>
      <w:r>
        <w:rPr>
          <w:rFonts w:ascii="Arial" w:cs="Arial" w:eastAsia="Arial" w:hAnsi="Arial"/>
          <w:sz w:val="19"/>
          <w:szCs w:val="19"/>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aggregate Value of all Quoted Investments included in the Borrowing Base (as of the end of such Testing Period) and (b) 10% of the aggregate Value of all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1" w:name="page162"/>
    <w:bookmarkEnd w:id="161"/>
    <w:p>
      <w:pPr>
        <w:jc w:val="both"/>
        <w:spacing w:after="0" w:line="258" w:lineRule="auto"/>
        <w:rPr>
          <w:sz w:val="20"/>
          <w:szCs w:val="20"/>
          <w:color w:val="auto"/>
        </w:rPr>
      </w:pPr>
      <w:r>
        <w:rPr>
          <w:rFonts w:ascii="Arial" w:cs="Arial" w:eastAsia="Arial" w:hAnsi="Arial"/>
          <w:sz w:val="21"/>
          <w:szCs w:val="21"/>
          <w:color w:val="auto"/>
        </w:rPr>
        <w:t xml:space="preserve">Unquoted Investments included in the Borrowing Base (as of the end of such Testing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more than 25% (or, if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applies, 10%, or as near thereto as reasonably practicable) of the aggregate Value of the Unquoted Investments in the Borrowing Base be tested in respect of any applicable Testing Period.</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w:t>
      </w:r>
      <w:r>
        <w:rPr>
          <w:rFonts w:ascii="Arial" w:cs="Arial" w:eastAsia="Arial" w:hAnsi="Arial"/>
          <w:sz w:val="22"/>
          <w:szCs w:val="22"/>
          <w:color w:val="auto"/>
        </w:rPr>
        <w:t xml:space="preserve">” means the exchange of the Lenders’ interests provided for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 Date</w:t>
      </w:r>
      <w:r>
        <w:rPr>
          <w:rFonts w:ascii="Arial" w:cs="Arial" w:eastAsia="Arial" w:hAnsi="Arial"/>
          <w:sz w:val="22"/>
          <w:szCs w:val="22"/>
          <w:color w:val="auto"/>
        </w:rPr>
        <w:t xml:space="preserve">” means the date on which any Event of Default referred to in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occur or the date on which the Borrower receives written notice from the Administrative Agent that any Event of Default referred to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has occurred.</w:t>
      </w:r>
    </w:p>
    <w:p>
      <w:pPr>
        <w:spacing w:after="0" w:line="18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Percentage</w:t>
      </w:r>
      <w:r>
        <w:rPr>
          <w:rFonts w:ascii="Arial" w:cs="Arial" w:eastAsia="Arial" w:hAnsi="Arial"/>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8"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any immediately available funds in Dollars or in any currency other than Dollars (measured in terms of the Dollar Equivalent thereof) which is a freely convertible currency.</w:t>
      </w:r>
    </w:p>
    <w:p>
      <w:pPr>
        <w:spacing w:after="0" w:line="173" w:lineRule="exact"/>
        <w:rPr>
          <w:sz w:val="20"/>
          <w:szCs w:val="20"/>
          <w:color w:val="auto"/>
        </w:rPr>
      </w:pPr>
    </w:p>
    <w:p>
      <w:pPr>
        <w:jc w:val="both"/>
        <w:ind w:right="20"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xml:space="preserve">” means, in respect of a Letter of Credit or any obligation hereunder, to provide and pledge cash collateral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at a location and pursuant to documentation in form and substance reasonably satisfactory to Administrative Agent and each Issuing Bank. “</w:t>
      </w:r>
      <w:r>
        <w:rPr>
          <w:rFonts w:ascii="Arial" w:cs="Arial" w:eastAsia="Arial" w:hAnsi="Arial"/>
          <w:sz w:val="22"/>
          <w:szCs w:val="22"/>
          <w:u w:val="single" w:color="auto"/>
          <w:color w:val="auto"/>
        </w:rPr>
        <w:t>Cash Collateral</w:t>
      </w:r>
      <w:r>
        <w:rPr>
          <w:rFonts w:ascii="Arial" w:cs="Arial" w:eastAsia="Arial" w:hAnsi="Arial"/>
          <w:sz w:val="22"/>
          <w:szCs w:val="22"/>
          <w:color w:val="auto"/>
        </w:rPr>
        <w:t>” shall have a meaning correlative to the foregoing and shall include the proceeds of such cash collateral and other credit support.</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investments (other than Cash) that are one or more of the following obligations:</w:t>
      </w:r>
    </w:p>
    <w:p>
      <w:pPr>
        <w:spacing w:after="0" w:line="241" w:lineRule="exact"/>
        <w:rPr>
          <w:sz w:val="20"/>
          <w:szCs w:val="20"/>
          <w:color w:val="auto"/>
        </w:rPr>
      </w:pPr>
    </w:p>
    <w:p>
      <w:pPr>
        <w:ind w:left="1700"/>
        <w:spacing w:after="0"/>
        <w:tabs>
          <w:tab w:leader="none" w:pos="25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U.S. Government Securities, in each case maturing within one year from the date of acquisition</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2" w:name="page163"/>
    <w:bookmarkEnd w:id="162"/>
    <w:p>
      <w:pPr>
        <w:jc w:val="both"/>
        <w:ind w:left="880" w:firstLine="816"/>
        <w:spacing w:after="0" w:line="251" w:lineRule="exact"/>
        <w:tabs>
          <w:tab w:leader="none" w:pos="259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22"/>
          <w:szCs w:val="22"/>
          <w:color w:val="auto"/>
        </w:rPr>
        <w:t>‑</w:t>
      </w:r>
      <w:r>
        <w:rPr>
          <w:rFonts w:ascii="Arial" w:cs="Arial" w:eastAsia="Arial" w:hAnsi="Arial"/>
          <w:sz w:val="22"/>
          <w:szCs w:val="22"/>
          <w:color w:val="auto"/>
        </w:rPr>
        <w:t>1 from S&amp;P and at least P</w:t>
      </w:r>
      <w:r>
        <w:rPr>
          <w:rFonts w:ascii="MS PGothic" w:cs="MS PGothic" w:eastAsia="MS PGothic" w:hAnsi="MS PGothic"/>
          <w:sz w:val="22"/>
          <w:szCs w:val="22"/>
          <w:color w:val="auto"/>
        </w:rPr>
        <w:t>‑</w:t>
      </w:r>
      <w:r>
        <w:rPr>
          <w:rFonts w:ascii="Arial" w:cs="Arial" w:eastAsia="Arial" w:hAnsi="Arial"/>
          <w:sz w:val="22"/>
          <w:szCs w:val="22"/>
          <w:color w:val="auto"/>
        </w:rPr>
        <w:t>1 from Moody’s (or if only one of S&amp;P or Moody’s provides such rating, such investment shall also have an equivalent credit rating from any other rating agency);</w:t>
      </w:r>
    </w:p>
    <w:p>
      <w:pPr>
        <w:spacing w:after="0" w:line="185" w:lineRule="exact"/>
        <w:rPr>
          <w:rFonts w:ascii="Arial" w:cs="Arial" w:eastAsia="Arial" w:hAnsi="Arial"/>
          <w:sz w:val="22"/>
          <w:szCs w:val="22"/>
          <w:color w:val="auto"/>
        </w:rPr>
      </w:pPr>
    </w:p>
    <w:p>
      <w:pPr>
        <w:jc w:val="both"/>
        <w:ind w:left="880" w:firstLine="816"/>
        <w:spacing w:after="0" w:line="251" w:lineRule="exact"/>
        <w:tabs>
          <w:tab w:leader="none" w:pos="257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9"/>
          <w:szCs w:val="19"/>
          <w:color w:val="auto"/>
        </w:rPr>
        <w:t>‑</w:t>
      </w:r>
      <w:r>
        <w:rPr>
          <w:rFonts w:ascii="Arial" w:cs="Arial" w:eastAsia="Arial" w:hAnsi="Arial"/>
          <w:sz w:val="19"/>
          <w:szCs w:val="19"/>
          <w:color w:val="auto"/>
        </w:rPr>
        <w:t>1 from S&amp;P and at least P</w:t>
      </w:r>
      <w:r>
        <w:rPr>
          <w:rFonts w:ascii="MS PGothic" w:cs="MS PGothic" w:eastAsia="MS PGothic" w:hAnsi="MS PGothic"/>
          <w:sz w:val="19"/>
          <w:szCs w:val="19"/>
          <w:color w:val="auto"/>
        </w:rPr>
        <w:t>‑</w:t>
      </w:r>
      <w:r>
        <w:rPr>
          <w:rFonts w:ascii="Arial" w:cs="Arial" w:eastAsia="Arial" w:hAnsi="Arial"/>
          <w:sz w:val="19"/>
          <w:szCs w:val="19"/>
          <w:color w:val="auto"/>
        </w:rPr>
        <w:t>1 from Moody’s (or if only one of S&amp;P or Moody’s provides such rating, such investment shall also have an equivalent credit rating from any other rating agency);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880" w:firstLine="816"/>
        <w:spacing w:after="0" w:line="248" w:lineRule="exact"/>
        <w:tabs>
          <w:tab w:leader="none" w:pos="259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22"/>
          <w:szCs w:val="22"/>
          <w:color w:val="auto"/>
        </w:rPr>
        <w:t>‑</w:t>
      </w:r>
      <w:r>
        <w:rPr>
          <w:rFonts w:ascii="Arial" w:cs="Arial" w:eastAsia="Arial" w:hAnsi="Arial"/>
          <w:sz w:val="22"/>
          <w:szCs w:val="22"/>
          <w:color w:val="auto"/>
        </w:rPr>
        <w:t>1 from S&amp;P and at least P</w:t>
      </w:r>
      <w:r>
        <w:rPr>
          <w:rFonts w:ascii="MS PGothic" w:cs="MS PGothic" w:eastAsia="MS PGothic" w:hAnsi="MS PGothic"/>
          <w:sz w:val="22"/>
          <w:szCs w:val="22"/>
          <w:color w:val="auto"/>
        </w:rPr>
        <w:t>‑</w:t>
      </w:r>
      <w:r>
        <w:rPr>
          <w:rFonts w:ascii="Arial" w:cs="Arial" w:eastAsia="Arial" w:hAnsi="Arial"/>
          <w:sz w:val="22"/>
          <w:szCs w:val="22"/>
          <w:color w:val="auto"/>
        </w:rPr>
        <w:t>1 from Moody’s (or if only one of S&amp;P or Moody’s provides such rating, such investment shall also have an equivalent credit rating from any other rating agency); and</w:t>
      </w:r>
    </w:p>
    <w:p>
      <w:pPr>
        <w:spacing w:after="0" w:line="188" w:lineRule="exact"/>
        <w:rPr>
          <w:rFonts w:ascii="Arial" w:cs="Arial" w:eastAsia="Arial" w:hAnsi="Arial"/>
          <w:sz w:val="22"/>
          <w:szCs w:val="22"/>
          <w:color w:val="auto"/>
        </w:rPr>
      </w:pPr>
    </w:p>
    <w:p>
      <w:pPr>
        <w:jc w:val="both"/>
        <w:ind w:left="880" w:firstLine="816"/>
        <w:spacing w:after="0"/>
        <w:tabs>
          <w:tab w:leader="none" w:pos="257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(including as to credit quality and maturity).</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2" w:lineRule="exact"/>
        <w:rPr>
          <w:sz w:val="20"/>
          <w:szCs w:val="20"/>
          <w:color w:val="auto"/>
        </w:rPr>
      </w:pPr>
    </w:p>
    <w:p>
      <w:pPr>
        <w:jc w:val="both"/>
        <w:ind w:firstLine="8"/>
        <w:spacing w:after="0" w:line="233" w:lineRule="auto"/>
        <w:tabs>
          <w:tab w:leader="none" w:pos="40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8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CDOR Rate</w:t>
      </w:r>
      <w:r>
        <w:rPr>
          <w:rFonts w:ascii="Arial" w:cs="Arial" w:eastAsia="Arial" w:hAnsi="Arial"/>
          <w:sz w:val="21"/>
          <w:szCs w:val="21"/>
          <w:color w:val="auto"/>
        </w:rPr>
        <w:t>”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 of Reuters Monitor Money Rates Service (or such other page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5660"/>
        <w:spacing w:after="0"/>
        <w:tabs>
          <w:tab w:leader="none" w:pos="936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3" w:name="page164"/>
    <w:bookmarkEnd w:id="163"/>
    <w:p>
      <w:pPr>
        <w:jc w:val="both"/>
        <w:spacing w:after="0" w:line="297" w:lineRule="auto"/>
        <w:rPr>
          <w:sz w:val="20"/>
          <w:szCs w:val="20"/>
          <w:color w:val="auto"/>
        </w:rPr>
      </w:pPr>
      <w:r>
        <w:rPr>
          <w:rFonts w:ascii="Arial" w:cs="Arial" w:eastAsia="Arial" w:hAnsi="Arial"/>
          <w:sz w:val="19"/>
          <w:szCs w:val="19"/>
          <w:color w:val="auto"/>
        </w:rPr>
        <w:t>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34"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w:t>
      </w:r>
    </w:p>
    <w:p>
      <w:pPr>
        <w:spacing w:after="0" w:line="18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95"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Arial" w:cs="Arial" w:eastAsia="Arial" w:hAnsi="Arial"/>
          <w:sz w:val="22"/>
          <w:szCs w:val="22"/>
          <w:u w:val="single" w:color="auto"/>
          <w:color w:val="auto"/>
        </w:rPr>
        <w:t>Class</w:t>
      </w:r>
      <w:r>
        <w:rPr>
          <w:rFonts w:ascii="Arial" w:cs="Arial" w:eastAsia="Arial" w:hAnsi="Arial"/>
          <w:sz w:val="22"/>
          <w:szCs w:val="22"/>
          <w:color w:val="auto"/>
        </w:rPr>
        <w:t>” of a Letter of Credit refers to whether such Letter of Credit is a Dollar Letter of Credit or a Multicurrency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4" w:name="page165"/>
    <w:bookmarkEnd w:id="164"/>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has the meaning assigned to such term in the Guarantee and Security Agreement.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SunTrust in its capacity as Collateral Agent under the Guarantee and Security Agreement, and includes any successor Collateral Agent thereunder.</w:t>
      </w:r>
    </w:p>
    <w:p>
      <w:pPr>
        <w:spacing w:after="0" w:line="173"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Pool</w:t>
      </w:r>
      <w:r>
        <w:rPr>
          <w:rFonts w:ascii="Arial" w:cs="Arial" w:eastAsia="Arial" w:hAnsi="Arial"/>
          <w:sz w:val="19"/>
          <w:szCs w:val="19"/>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5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Combined Debt Amount</w:t>
      </w:r>
      <w:r>
        <w:rPr>
          <w:rFonts w:ascii="Arial" w:cs="Arial" w:eastAsia="Arial" w:hAnsi="Arial"/>
          <w:sz w:val="22"/>
          <w:szCs w:val="22"/>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means, collectively, the Dollar Commitments and the Multicurrency Commitments.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the Extended Commitment Termination Date or the relevant Non-Extended Commitment Termination Date, as applicable.</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Group</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5.13(a)</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xml:space="preserve">” have meanings correlative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“Control” shall not include “negative” control or “blocking” rights whereby action cannot be taken without the vote or consent of any Person.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5" w:name="page166"/>
    <w:bookmarkEnd w:id="165"/>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Debt Amount</w:t>
      </w:r>
      <w:r>
        <w:rPr>
          <w:rFonts w:ascii="Arial" w:cs="Arial" w:eastAsia="Arial" w:hAnsi="Arial"/>
          <w:sz w:val="19"/>
          <w:szCs w:val="19"/>
          <w:color w:val="auto"/>
        </w:rPr>
        <w:t xml:space="preserve">” means, on any date, the sum of (x) all of the Revolving Credit Exposures of all Lenders on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the aggregate amount of Other Covered Indebtedness, the 2019 Convertible Notes, the 2022 Convertible Notes, the 2023 Notes, Special Unsecured Indebtedness and Unsecured Longer Term Indebtedness on such date </w:t>
      </w:r>
      <w:r>
        <w:rPr>
          <w:rFonts w:ascii="Arial" w:cs="Arial" w:eastAsia="Arial" w:hAnsi="Arial"/>
          <w:sz w:val="19"/>
          <w:szCs w:val="19"/>
          <w:u w:val="single" w:color="auto"/>
          <w:color w:val="auto"/>
        </w:rPr>
        <w:t>minus</w:t>
      </w:r>
    </w:p>
    <w:p>
      <w:pPr>
        <w:spacing w:after="0" w:line="2" w:lineRule="exact"/>
        <w:rPr>
          <w:sz w:val="20"/>
          <w:szCs w:val="20"/>
          <w:color w:val="auto"/>
        </w:rPr>
      </w:pPr>
    </w:p>
    <w:p>
      <w:pPr>
        <w:jc w:val="both"/>
        <w:ind w:firstLine="8"/>
        <w:spacing w:after="0" w:line="270" w:lineRule="auto"/>
        <w:tabs>
          <w:tab w:leader="none" w:pos="30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 LC Exposures fully Cash Collateralized on such date pursuant to </w:t>
      </w:r>
      <w:r>
        <w:rPr>
          <w:rFonts w:ascii="Arial" w:cs="Arial" w:eastAsia="Arial" w:hAnsi="Arial"/>
          <w:sz w:val="19"/>
          <w:szCs w:val="19"/>
          <w:u w:val="single" w:color="auto"/>
          <w:color w:val="auto"/>
        </w:rPr>
        <w:t>Section 2.05(k)</w:t>
      </w:r>
      <w:r>
        <w:rPr>
          <w:rFonts w:ascii="Arial" w:cs="Arial" w:eastAsia="Arial" w:hAnsi="Arial"/>
          <w:sz w:val="19"/>
          <w:szCs w:val="19"/>
          <w:color w:val="auto"/>
        </w:rPr>
        <w:t xml:space="preserve"> and the last paragraph of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2019 Convertible Notes, the 2022 Convertible Notes, the 2023 Notes, Special Unsecured Indebtedness and Unsecured Longer-Term Indebtedness shall be excluded from the calculation of the Covered Debt Amount, in each case, until the date that is nine (9) months prior to the scheduled maturity date of the 2019 Convertible Notes, the 2022 Convertible Notes, the 2023 Notes, Special Unsecured Indebtedness or such Unsecured Longer-Term Indebtedness, as applicable (provided that, to the extent, but only to the extent, any portion of the 2019 Convertible Notes, the 2022 Convertible Notes, the 2023 Notes, Special Unsecured Indebtedness or Unsecured Longer-Term Indebtedness is subject to a contractually scheduled amortization payment or other principal payment or mandatory redemption (other than in common stock of the Borrower) earlier than six (6) months after the Final Maturity Date (in the case of the 2019 Convertible Notes, the 2022 Convertible Notes, the 2023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means Dollars or any Foreign Currency.</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2.19(b)</w:t>
      </w:r>
      <w:r>
        <w:rPr>
          <w:rFonts w:ascii="Arial" w:cs="Arial" w:eastAsia="Arial" w:hAnsi="Arial"/>
          <w:sz w:val="19"/>
          <w:szCs w:val="19"/>
          <w:color w:val="auto"/>
        </w:rPr>
        <w:t>,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6" w:name="page167"/>
    <w:bookmarkEnd w:id="166"/>
    <w:p>
      <w:pPr>
        <w:jc w:val="both"/>
        <w:spacing w:after="0" w:line="269" w:lineRule="auto"/>
        <w:rPr>
          <w:sz w:val="20"/>
          <w:szCs w:val="20"/>
          <w:color w:val="auto"/>
        </w:rPr>
      </w:pPr>
      <w:r>
        <w:rPr>
          <w:rFonts w:ascii="Arial" w:cs="Arial" w:eastAsia="Arial" w:hAnsi="Arial"/>
          <w:sz w:val="19"/>
          <w:szCs w:val="19"/>
          <w:color w:val="auto"/>
        </w:rPr>
        <w:t xml:space="preserve">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w:t>
      </w:r>
    </w:p>
    <w:p>
      <w:pPr>
        <w:spacing w:after="0" w:line="5" w:lineRule="exact"/>
        <w:rPr>
          <w:sz w:val="20"/>
          <w:szCs w:val="20"/>
          <w:color w:val="auto"/>
        </w:rPr>
      </w:pPr>
    </w:p>
    <w:p>
      <w:pPr>
        <w:jc w:val="both"/>
        <w:ind w:firstLine="8"/>
        <w:spacing w:after="0" w:line="270" w:lineRule="auto"/>
        <w:tabs>
          <w:tab w:leader="none" w:pos="34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2.19(b)</w:t>
      </w:r>
      <w:r>
        <w:rPr>
          <w:rFonts w:ascii="Arial" w:cs="Arial" w:eastAsia="Arial" w:hAnsi="Arial"/>
          <w:sz w:val="19"/>
          <w:szCs w:val="19"/>
          <w:color w:val="auto"/>
        </w:rPr>
        <w:t>) upon such determination (and the Administrative Agent shall deliver written notice of such determination to the Borrower, each Issuing Bank and each Lender and each Swingline Lender).</w:t>
      </w:r>
    </w:p>
    <w:p>
      <w:pPr>
        <w:spacing w:after="0" w:line="16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Obligations</w:t>
      </w:r>
      <w:r>
        <w:rPr>
          <w:rFonts w:ascii="Arial" w:cs="Arial" w:eastAsia="Arial" w:hAnsi="Arial"/>
          <w:sz w:val="22"/>
          <w:szCs w:val="22"/>
          <w:color w:val="auto"/>
        </w:rPr>
        <w:t>” means all obligations of the Borrower with respect to (a) principal of and interest on the Loans and (b) accrued and unpaid fees under the Loan Documents.</w:t>
      </w:r>
    </w:p>
    <w:p>
      <w:pPr>
        <w:spacing w:after="0" w:line="17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88"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Commitment</w:t>
      </w:r>
      <w:r>
        <w:rPr>
          <w:rFonts w:ascii="Arial" w:cs="Arial" w:eastAsia="Arial" w:hAnsi="Arial"/>
          <w:sz w:val="21"/>
          <w:szCs w:val="21"/>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7" w:name="page168"/>
    <w:bookmarkEnd w:id="167"/>
    <w:p>
      <w:pPr>
        <w:jc w:val="both"/>
        <w:spacing w:after="0" w:line="238" w:lineRule="auto"/>
        <w:rPr>
          <w:sz w:val="20"/>
          <w:szCs w:val="20"/>
          <w:color w:val="auto"/>
        </w:rPr>
      </w:pPr>
      <w:r>
        <w:rPr>
          <w:rFonts w:ascii="Arial" w:cs="Arial" w:eastAsia="Arial" w:hAnsi="Arial"/>
          <w:sz w:val="22"/>
          <w:szCs w:val="22"/>
          <w:color w:val="auto"/>
        </w:rPr>
        <w:t xml:space="preserve">time pursuant to assignments by or to such Lender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The amount of each Lender’s Dollar Commitment as of the Sixth Amendment Effective Date is set forth on </w:t>
      </w:r>
      <w:r>
        <w:rPr>
          <w:rFonts w:ascii="Arial" w:cs="Arial" w:eastAsia="Arial" w:hAnsi="Arial"/>
          <w:sz w:val="22"/>
          <w:szCs w:val="22"/>
          <w:u w:val="single" w:color="auto"/>
          <w:color w:val="auto"/>
        </w:rPr>
        <w:t>Schedule 1.01(b)</w:t>
      </w:r>
      <w:r>
        <w:rPr>
          <w:rFonts w:ascii="Arial" w:cs="Arial" w:eastAsia="Arial" w:hAnsi="Arial"/>
          <w:sz w:val="22"/>
          <w:szCs w:val="22"/>
          <w:color w:val="auto"/>
        </w:rPr>
        <w:t>, or in the Assignment and Assumption pursuant to which such Lender shall have assumed its Dollar Commitment, as applicable. The aggregate amount of the Lenders’ Dollar Commitments as of the Sixth Amendment Effective Date is $120,000,000.</w:t>
      </w:r>
    </w:p>
    <w:p>
      <w:pPr>
        <w:spacing w:after="0" w:line="18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LC Exposure</w:t>
      </w:r>
      <w:r>
        <w:rPr>
          <w:rFonts w:ascii="Arial" w:cs="Arial" w:eastAsia="Arial" w:hAnsi="Arial"/>
          <w:sz w:val="21"/>
          <w:szCs w:val="21"/>
          <w:color w:val="auto"/>
        </w:rPr>
        <w:t xml:space="preserve">” means, at any time, the sum of (a) the aggregate undrawn amount of all outstanding Dollar Letters of Credit at such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74"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Lender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Letters of Credit</w:t>
      </w:r>
      <w:r>
        <w:rPr>
          <w:rFonts w:ascii="Arial" w:cs="Arial" w:eastAsia="Arial" w:hAnsi="Arial"/>
          <w:sz w:val="22"/>
          <w:szCs w:val="22"/>
          <w:color w:val="auto"/>
        </w:rPr>
        <w:t>” means Letters of Credit that utilize the Dollar Commitments.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Loan</w:t>
      </w:r>
      <w:r>
        <w:rPr>
          <w:rFonts w:ascii="Arial" w:cs="Arial" w:eastAsia="Arial" w:hAnsi="Arial"/>
          <w:sz w:val="22"/>
          <w:szCs w:val="22"/>
          <w:color w:val="auto"/>
        </w:rPr>
        <w:t>” means a Loan denominated in Dollars.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8" w:name="page169"/>
    <w:bookmarkEnd w:id="168"/>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which date is February 27, 2014.</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21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7"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means a single currency of the Participating Member States.</w:t>
      </w:r>
    </w:p>
    <w:p>
      <w:pPr>
        <w:spacing w:after="0" w:line="206"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Eurocurrency</w:t>
      </w:r>
      <w:r>
        <w:rPr>
          <w:rFonts w:ascii="Arial" w:cs="Arial" w:eastAsia="Arial" w:hAnsi="Arial"/>
          <w:sz w:val="21"/>
          <w:szCs w:val="21"/>
          <w:color w:val="auto"/>
        </w:rPr>
        <w:t>”, when used in reference to any Loan or Borrowing, refers to whether such Loan, or the Loans constituting such Borrowing, are bearing interest at a rate determined by reference to the Adjusted LIBO Rate.</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9" w:name="page170"/>
    <w:bookmarkEnd w:id="169"/>
    <w:p>
      <w:pPr>
        <w:jc w:val="both"/>
        <w:ind w:firstLine="175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9"/>
          <w:szCs w:val="19"/>
          <w:u w:val="single" w:color="auto"/>
          <w:color w:val="auto"/>
        </w:rPr>
        <w:t>Section 2.16(f)</w:t>
      </w:r>
      <w:r>
        <w:rPr>
          <w:rFonts w:ascii="Arial" w:cs="Arial" w:eastAsia="Arial" w:hAnsi="Arial"/>
          <w:sz w:val="19"/>
          <w:szCs w:val="19"/>
          <w:color w:val="auto"/>
        </w:rPr>
        <w:t>, (d) any U.S. federal, state or local backup withholding Taxes imposed on payments made under any Loan Document, and (e) any Taxes that are imposed under FATCA.</w:t>
      </w:r>
    </w:p>
    <w:p>
      <w:pPr>
        <w:spacing w:after="0" w:line="200" w:lineRule="exact"/>
        <w:rPr>
          <w:sz w:val="20"/>
          <w:szCs w:val="20"/>
          <w:color w:val="auto"/>
        </w:rPr>
      </w:pP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xml:space="preserve">” has the meaning assigned to such term in the </w:t>
      </w:r>
      <w:r>
        <w:rPr>
          <w:rFonts w:ascii="Arial" w:cs="Arial" w:eastAsia="Arial" w:hAnsi="Arial"/>
          <w:sz w:val="21"/>
          <w:szCs w:val="21"/>
          <w:u w:val="single" w:color="auto"/>
          <w:color w:val="auto"/>
        </w:rPr>
        <w:t>recitals</w:t>
      </w:r>
      <w:r>
        <w:rPr>
          <w:rFonts w:ascii="Arial" w:cs="Arial" w:eastAsia="Arial" w:hAnsi="Arial"/>
          <w:sz w:val="21"/>
          <w:szCs w:val="21"/>
          <w:color w:val="auto"/>
        </w:rPr>
        <w:t xml:space="preserve"> to this Agreement.</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recitals</w:t>
      </w:r>
      <w:r>
        <w:rPr>
          <w:rFonts w:ascii="Arial" w:cs="Arial" w:eastAsia="Arial" w:hAnsi="Arial"/>
          <w:sz w:val="22"/>
          <w:szCs w:val="22"/>
          <w:color w:val="auto"/>
        </w:rPr>
        <w:t xml:space="preserve"> to this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recitals</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Applicable Margin</w:t>
      </w:r>
      <w:r>
        <w:rPr>
          <w:rFonts w:ascii="Arial" w:cs="Arial" w:eastAsia="Arial" w:hAnsi="Arial"/>
          <w:sz w:val="19"/>
          <w:szCs w:val="19"/>
          <w:color w:val="auto"/>
        </w:rPr>
        <w:t>” means, with respect to any 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w:t>
      </w:r>
    </w:p>
    <w:p>
      <w:pPr>
        <w:spacing w:after="0" w:line="4" w:lineRule="exact"/>
        <w:rPr>
          <w:sz w:val="20"/>
          <w:szCs w:val="20"/>
          <w:color w:val="auto"/>
        </w:rPr>
      </w:pPr>
    </w:p>
    <w:p>
      <w:pPr>
        <w:jc w:val="both"/>
        <w:ind w:firstLine="8"/>
        <w:spacing w:after="0" w:line="273" w:lineRule="auto"/>
        <w:tabs>
          <w:tab w:leader="none" w:pos="27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respect to any ABR Loan, 0.875% per annum; and (ii) with respect to any Eurocurrency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Borrowing Base Certificate has not been delivered in accordance with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and including the date on which the required Borrowing Base Certificate is delivered.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0" w:name="page171"/>
    <w:bookmarkEnd w:id="170"/>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Availability Period</w:t>
      </w:r>
      <w:r>
        <w:rPr>
          <w:rFonts w:ascii="Arial" w:cs="Arial" w:eastAsia="Arial" w:hAnsi="Arial"/>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 Termination Date</w:t>
      </w:r>
      <w:r>
        <w:rPr>
          <w:rFonts w:ascii="Arial" w:cs="Arial" w:eastAsia="Arial" w:hAnsi="Arial"/>
          <w:sz w:val="19"/>
          <w:szCs w:val="19"/>
          <w:color w:val="auto"/>
        </w:rPr>
        <w:t>” means, with respect to each Extending Lender, February 18, 2022.</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Final Maturity Date</w:t>
      </w:r>
      <w:r>
        <w:rPr>
          <w:rFonts w:ascii="Arial" w:cs="Arial" w:eastAsia="Arial" w:hAnsi="Arial"/>
          <w:sz w:val="22"/>
          <w:szCs w:val="22"/>
          <w:color w:val="auto"/>
        </w:rPr>
        <w:t>” means, with respect to each Extending Lender, February 17, 2023.</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Loans</w:t>
      </w:r>
      <w:r>
        <w:rPr>
          <w:rFonts w:ascii="Arial" w:cs="Arial" w:eastAsia="Arial" w:hAnsi="Arial"/>
          <w:sz w:val="21"/>
          <w:szCs w:val="21"/>
          <w:color w:val="auto"/>
        </w:rPr>
        <w:t>” means Loans or Borrowings of any Extending Lender maturing on the Extended Final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means each Lender designated as an “Extending Lender”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External Manager</w:t>
      </w:r>
      <w:r>
        <w:rPr>
          <w:rFonts w:ascii="Arial" w:cs="Arial" w:eastAsia="Arial" w:hAnsi="Arial"/>
          <w:sz w:val="22"/>
          <w:szCs w:val="22"/>
          <w:color w:val="auto"/>
        </w:rPr>
        <w:t>” means TSL Advisers, LLC.</w:t>
      </w:r>
    </w:p>
    <w:p>
      <w:pPr>
        <w:spacing w:after="0" w:line="206"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Extraordinary Receipts shall not include any (x) amounts that the Borrower receives from the Administrative Agent or any Lender pursuant to </w:t>
      </w:r>
      <w:r>
        <w:rPr>
          <w:rFonts w:ascii="Arial" w:cs="Arial" w:eastAsia="Arial" w:hAnsi="Arial"/>
          <w:sz w:val="19"/>
          <w:szCs w:val="19"/>
          <w:u w:val="single" w:color="auto"/>
          <w:color w:val="auto"/>
        </w:rPr>
        <w:t>Section 2.16(f)</w:t>
      </w:r>
      <w:r>
        <w:rPr>
          <w:rFonts w:ascii="Arial" w:cs="Arial" w:eastAsia="Arial" w:hAnsi="Arial"/>
          <w:sz w:val="19"/>
          <w:szCs w:val="19"/>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200" w:lineRule="exact"/>
        <w:rPr>
          <w:sz w:val="20"/>
          <w:szCs w:val="20"/>
          <w:color w:val="auto"/>
        </w:rPr>
      </w:pPr>
    </w:p>
    <w:p>
      <w:pPr>
        <w:spacing w:after="0" w:line="209"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43"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1" w:name="page172"/>
    <w:bookmarkEnd w:id="171"/>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Maturity Date</w:t>
      </w:r>
      <w:r>
        <w:rPr>
          <w:rFonts w:ascii="Arial" w:cs="Arial" w:eastAsia="Arial" w:hAnsi="Arial"/>
          <w:sz w:val="19"/>
          <w:szCs w:val="19"/>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34"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Subsidiary</w:t>
      </w:r>
      <w:r>
        <w:rPr>
          <w:rFonts w:ascii="Arial" w:cs="Arial" w:eastAsia="Arial" w:hAnsi="Arial"/>
          <w:sz w:val="22"/>
          <w:szCs w:val="22"/>
          <w:color w:val="auto"/>
        </w:rPr>
        <w:t>” means an SPE Subsidiary or an SBIC Subsidiary.</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at any time any Currency other than Dollars.</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Equivalent</w:t>
      </w:r>
      <w:r>
        <w:rPr>
          <w:rFonts w:ascii="Arial" w:cs="Arial" w:eastAsia="Arial" w:hAnsi="Arial"/>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not a “United States person” as defined under Section 7701(a)(30)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Code.</w:t>
      </w:r>
    </w:p>
    <w:p>
      <w:pPr>
        <w:spacing w:after="0" w:line="18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8"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2" w:name="page173"/>
    <w:bookmarkEnd w:id="172"/>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2" w:lineRule="exact"/>
        <w:rPr>
          <w:sz w:val="20"/>
          <w:szCs w:val="20"/>
          <w:color w:val="auto"/>
        </w:rPr>
      </w:pPr>
    </w:p>
    <w:p>
      <w:pPr>
        <w:jc w:val="both"/>
        <w:ind w:firstLine="8"/>
        <w:spacing w:after="0" w:line="243" w:lineRule="auto"/>
        <w:tabs>
          <w:tab w:leader="none" w:pos="31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4"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and Security Agreement</w:t>
      </w:r>
      <w:r>
        <w:rPr>
          <w:rFonts w:ascii="Arial" w:cs="Arial" w:eastAsia="Arial" w:hAnsi="Arial"/>
          <w:sz w:val="22"/>
          <w:szCs w:val="22"/>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8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 Assumption Agreement</w:t>
      </w:r>
      <w:r>
        <w:rPr>
          <w:rFonts w:ascii="Arial" w:cs="Arial" w:eastAsia="Arial" w:hAnsi="Arial"/>
          <w:sz w:val="21"/>
          <w:szCs w:val="21"/>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21"/>
          <w:szCs w:val="21"/>
          <w:u w:val="single" w:color="auto"/>
          <w:color w:val="auto"/>
        </w:rPr>
        <w:t>Section 5.08</w:t>
      </w:r>
      <w:r>
        <w:rPr>
          <w:rFonts w:ascii="Arial" w:cs="Arial" w:eastAsia="Arial" w:hAnsi="Arial"/>
          <w:sz w:val="21"/>
          <w:szCs w:val="21"/>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21"/>
          <w:szCs w:val="21"/>
          <w:u w:val="single" w:color="auto"/>
          <w:color w:val="auto"/>
        </w:rPr>
        <w:t>Section 5.08</w:t>
      </w:r>
      <w:r>
        <w:rPr>
          <w:rFonts w:ascii="Arial" w:cs="Arial" w:eastAsia="Arial" w:hAnsi="Arial"/>
          <w:sz w:val="21"/>
          <w:szCs w:val="21"/>
          <w:color w:val="auto"/>
        </w:rPr>
        <w:t>).</w:t>
      </w:r>
    </w:p>
    <w:p>
      <w:pPr>
        <w:spacing w:after="0" w:line="174"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Agreement</w:t>
      </w:r>
      <w:r>
        <w:rPr>
          <w:rFonts w:ascii="Arial" w:cs="Arial" w:eastAsia="Arial" w:hAnsi="Arial"/>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8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Immaterial Subsidiaries</w:t>
      </w:r>
      <w:r>
        <w:rPr>
          <w:rFonts w:ascii="Arial" w:cs="Arial" w:eastAsia="Arial" w:hAnsi="Arial"/>
          <w:sz w:val="21"/>
          <w:szCs w:val="21"/>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3" w:name="page174"/>
    <w:bookmarkEnd w:id="173"/>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200" w:lineRule="exact"/>
        <w:rPr>
          <w:sz w:val="20"/>
          <w:szCs w:val="20"/>
          <w:color w:val="auto"/>
        </w:rPr>
      </w:pPr>
    </w:p>
    <w:p>
      <w:pPr>
        <w:spacing w:after="0" w:line="21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 imposed on or with respect to any payment made by or on account of any obligation of the Borrower under this Agreement.</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w:t>
      </w:r>
      <w:r>
        <w:rPr>
          <w:rFonts w:ascii="Arial" w:cs="Arial" w:eastAsia="Arial" w:hAnsi="Arial"/>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88"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Classification Group</w:t>
      </w:r>
      <w:r>
        <w:rPr>
          <w:rFonts w:ascii="Arial" w:cs="Arial" w:eastAsia="Arial" w:hAnsi="Arial"/>
          <w:sz w:val="19"/>
          <w:szCs w:val="19"/>
          <w:color w:val="auto"/>
        </w:rPr>
        <w:t xml:space="preserve">” means (a) any of the classification groups set forth in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134"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a Syndicated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4" w:name="page175"/>
    <w:bookmarkEnd w:id="174"/>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62"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Company Act</w:t>
      </w:r>
      <w:r>
        <w:rPr>
          <w:rFonts w:ascii="Arial" w:cs="Arial" w:eastAsia="Arial" w:hAnsi="Arial"/>
          <w:sz w:val="21"/>
          <w:szCs w:val="21"/>
          <w:color w:val="auto"/>
        </w:rPr>
        <w:t>” means the Investment Company Act of 1940, as amended from time to time.</w:t>
      </w:r>
    </w:p>
    <w:p>
      <w:pPr>
        <w:spacing w:after="0" w:line="21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Policies</w:t>
      </w:r>
      <w:r>
        <w:rPr>
          <w:rFonts w:ascii="Arial" w:cs="Arial" w:eastAsia="Arial" w:hAnsi="Arial"/>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5" w:name="page176"/>
    <w:bookmarkEnd w:id="175"/>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xml:space="preserve">” means SunTrust, JPMorgan Chase Bank, N.A., and any other Issuing Bank designated pursuant to </w:t>
      </w:r>
      <w:r>
        <w:rPr>
          <w:rFonts w:ascii="Arial" w:cs="Arial" w:eastAsia="Arial" w:hAnsi="Arial"/>
          <w:sz w:val="22"/>
          <w:szCs w:val="22"/>
          <w:u w:val="single" w:color="auto"/>
          <w:color w:val="auto"/>
        </w:rPr>
        <w:t>Section 2.05(l)</w:t>
      </w:r>
      <w:r>
        <w:rPr>
          <w:rFonts w:ascii="Arial" w:cs="Arial" w:eastAsia="Arial" w:hAnsi="Arial"/>
          <w:sz w:val="22"/>
          <w:szCs w:val="22"/>
          <w:color w:val="auto"/>
        </w:rPr>
        <w:t xml:space="preserve">, in their capacity as the issuers of Letters of Credit hereunder, and their respective successors in such capacity as provided in </w:t>
      </w:r>
      <w:r>
        <w:rPr>
          <w:rFonts w:ascii="Arial" w:cs="Arial" w:eastAsia="Arial" w:hAnsi="Arial"/>
          <w:sz w:val="22"/>
          <w:szCs w:val="22"/>
          <w:u w:val="single" w:color="auto"/>
          <w:color w:val="auto"/>
        </w:rPr>
        <w:t>Section 2.05(j)</w:t>
      </w:r>
      <w:r>
        <w:rPr>
          <w:rFonts w:ascii="Arial" w:cs="Arial" w:eastAsia="Arial" w:hAnsi="Arial"/>
          <w:sz w:val="22"/>
          <w:szCs w:val="22"/>
          <w:color w:val="auto"/>
        </w:rPr>
        <w:t>. In the case of any Letter of Credit to be issued in an Agreed Foreign Currency, SunTrust and JPMorgan Chase Bank, N.A., respectively, may designate any of their respective affiliates as the “Issuing Bank” for purposes of such Letter of Credit.</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Joint Lead Arrangers</w:t>
      </w:r>
      <w:r>
        <w:rPr>
          <w:rFonts w:ascii="Arial" w:cs="Arial" w:eastAsia="Arial" w:hAnsi="Arial"/>
          <w:sz w:val="21"/>
          <w:szCs w:val="21"/>
          <w:color w:val="auto"/>
        </w:rPr>
        <w:t>” means SunTrust Robinson Humphrey, Inc. and JPMorgan Chase Bank, N.A.</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any Issuing Bank pursuant to a Letter of Credit.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the Dollar LC Exposure and the Multicurrency LC Exposure.</w:t>
      </w:r>
    </w:p>
    <w:p>
      <w:pPr>
        <w:spacing w:after="0" w:line="241"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the Dollar Lenders and the Multicurrency Lenders. Unless the context otherwise requires, the term “Lenders” includes each Swingline Lender.</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pursuant to this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Collateral Account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2.05(k)</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Documents</w:t>
      </w:r>
      <w:r>
        <w:rPr>
          <w:rFonts w:ascii="Arial" w:cs="Arial" w:eastAsia="Arial" w:hAnsi="Arial"/>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Quoted Currency</w:t>
      </w:r>
      <w:r>
        <w:rPr>
          <w:rFonts w:ascii="Arial" w:cs="Arial" w:eastAsia="Arial" w:hAnsi="Arial"/>
          <w:sz w:val="21"/>
          <w:szCs w:val="21"/>
          <w:color w:val="auto"/>
        </w:rPr>
        <w:t>” means each of the following currencies: Dollars; Euro; English Pounds Sterling; Japanese Yen; and Swiss Franc; in each case as long as there is a published LIBO rate with respect thereto.</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means, for any Interest Period:</w:t>
      </w:r>
    </w:p>
    <w:p>
      <w:pPr>
        <w:spacing w:after="0" w:line="206" w:lineRule="exact"/>
        <w:rPr>
          <w:sz w:val="20"/>
          <w:szCs w:val="20"/>
          <w:color w:val="auto"/>
        </w:rPr>
      </w:pPr>
    </w:p>
    <w:p>
      <w:pPr>
        <w:jc w:val="both"/>
        <w:ind w:firstLine="1763"/>
        <w:spacing w:after="0" w:line="275" w:lineRule="auto"/>
        <w:tabs>
          <w:tab w:leader="none" w:pos="264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(the “</w:t>
      </w:r>
      <w:r>
        <w:rPr>
          <w:rFonts w:ascii="Arial" w:cs="Arial" w:eastAsia="Arial" w:hAnsi="Arial"/>
          <w:sz w:val="19"/>
          <w:szCs w:val="19"/>
          <w:u w:val="single" w:color="auto"/>
          <w:color w:val="auto"/>
        </w:rPr>
        <w:t>Screen Rate</w:t>
      </w:r>
      <w:r>
        <w:rPr>
          <w:rFonts w:ascii="Arial" w:cs="Arial" w:eastAsia="Arial" w:hAnsi="Arial"/>
          <w:sz w:val="19"/>
          <w:szCs w:val="19"/>
          <w:color w:val="auto"/>
        </w:rPr>
        <w:t>”); provided that if the Administrative Agent determines that the relevant foregoing sources are unavailable for the relevant Interest Period, LIBO Rate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6" w:name="page177"/>
    <w:bookmarkEnd w:id="176"/>
    <w:p>
      <w:pPr>
        <w:jc w:val="both"/>
        <w:spacing w:after="0" w:line="247" w:lineRule="auto"/>
        <w:rPr>
          <w:sz w:val="20"/>
          <w:szCs w:val="20"/>
          <w:color w:val="auto"/>
        </w:rPr>
      </w:pPr>
      <w:r>
        <w:rPr>
          <w:rFonts w:ascii="Arial" w:cs="Arial" w:eastAsia="Arial" w:hAnsi="Arial"/>
          <w:sz w:val="21"/>
          <w:szCs w:val="21"/>
          <w:color w:val="auto"/>
        </w:rPr>
        <w:t>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78" w:lineRule="exact"/>
        <w:rPr>
          <w:sz w:val="20"/>
          <w:szCs w:val="20"/>
          <w:color w:val="auto"/>
        </w:rPr>
      </w:pPr>
    </w:p>
    <w:p>
      <w:pPr>
        <w:ind w:left="2660" w:hanging="897"/>
        <w:spacing w:after="0"/>
        <w:tabs>
          <w:tab w:leader="none" w:pos="26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Canadian Dollars, the CDOR Rate per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annum;</w:t>
      </w:r>
    </w:p>
    <w:p>
      <w:pPr>
        <w:spacing w:after="0" w:line="188" w:lineRule="exact"/>
        <w:rPr>
          <w:sz w:val="20"/>
          <w:szCs w:val="20"/>
          <w:color w:val="auto"/>
        </w:rPr>
      </w:pPr>
    </w:p>
    <w:p>
      <w:pPr>
        <w:jc w:val="both"/>
        <w:ind w:firstLine="1763"/>
        <w:spacing w:after="0" w:line="235" w:lineRule="auto"/>
        <w:tabs>
          <w:tab w:leader="none" w:pos="264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8" w:lineRule="exact"/>
        <w:rPr>
          <w:rFonts w:ascii="Arial" w:cs="Arial" w:eastAsia="Arial" w:hAnsi="Arial"/>
          <w:sz w:val="22"/>
          <w:szCs w:val="22"/>
          <w:color w:val="auto"/>
        </w:rPr>
      </w:pPr>
    </w:p>
    <w:p>
      <w:pPr>
        <w:jc w:val="both"/>
        <w:ind w:firstLine="1763"/>
        <w:spacing w:after="0" w:line="235" w:lineRule="auto"/>
        <w:tabs>
          <w:tab w:leader="none" w:pos="265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to time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8" w:lineRule="exact"/>
        <w:rPr>
          <w:rFonts w:ascii="Arial" w:cs="Arial" w:eastAsia="Arial" w:hAnsi="Arial"/>
          <w:sz w:val="22"/>
          <w:szCs w:val="22"/>
          <w:color w:val="auto"/>
        </w:rPr>
      </w:pPr>
    </w:p>
    <w:p>
      <w:pPr>
        <w:jc w:val="both"/>
        <w:ind w:firstLine="1763"/>
        <w:spacing w:after="0" w:line="235" w:lineRule="auto"/>
        <w:tabs>
          <w:tab w:leader="none" w:pos="264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188" w:lineRule="exact"/>
        <w:rPr>
          <w:rFonts w:ascii="Arial" w:cs="Arial" w:eastAsia="Arial" w:hAnsi="Arial"/>
          <w:sz w:val="22"/>
          <w:szCs w:val="22"/>
          <w:color w:val="auto"/>
        </w:rPr>
      </w:pPr>
    </w:p>
    <w:p>
      <w:pPr>
        <w:ind w:firstLine="1763"/>
        <w:spacing w:after="0" w:line="328" w:lineRule="auto"/>
        <w:tabs>
          <w:tab w:leader="none" w:pos="261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05" w:lineRule="exact"/>
        <w:rPr>
          <w:sz w:val="20"/>
          <w:szCs w:val="20"/>
          <w:color w:val="auto"/>
        </w:rPr>
      </w:pPr>
    </w:p>
    <w:p>
      <w:pPr>
        <w:ind w:left="1760"/>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if such rate is less than zero, such rate shall be deemed to be zero for purposes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7" w:name="page178"/>
    <w:bookmarkEnd w:id="177"/>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5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and the Sixth Amendment to this Agreement dated as of February 20, 2018.</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within the meaning of Regulations T, U and X.</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3.04(b)</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9"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 Indebtedness (other than the Loans, Letters of Credit and Hedging Agreements), of any one or more of the Borrower and its Subsidiaries in an aggregate principal amount exceeding $25,000,000 and</w:t>
      </w:r>
    </w:p>
    <w:p>
      <w:pPr>
        <w:spacing w:after="0" w:line="2" w:lineRule="exact"/>
        <w:rPr>
          <w:sz w:val="20"/>
          <w:szCs w:val="20"/>
          <w:color w:val="auto"/>
        </w:rPr>
      </w:pPr>
    </w:p>
    <w:p>
      <w:pPr>
        <w:jc w:val="both"/>
        <w:ind w:firstLine="8"/>
        <w:spacing w:after="0" w:line="234" w:lineRule="auto"/>
        <w:tabs>
          <w:tab w:leader="none" w:pos="31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8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8" w:name="page179"/>
    <w:bookmarkEnd w:id="178"/>
    <w:p>
      <w:pPr>
        <w:jc w:val="both"/>
        <w:ind w:firstLine="1755"/>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Commitment</w:t>
      </w:r>
      <w:r>
        <w:rPr>
          <w:rFonts w:ascii="Arial" w:cs="Arial" w:eastAsia="Arial" w:hAnsi="Arial"/>
          <w:sz w:val="21"/>
          <w:szCs w:val="21"/>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amount of each Lender’s Multicurrency Commitment as of the Sixth Amendment Effective Date is set forth on </w:t>
      </w:r>
      <w:r>
        <w:rPr>
          <w:rFonts w:ascii="Arial" w:cs="Arial" w:eastAsia="Arial" w:hAnsi="Arial"/>
          <w:sz w:val="21"/>
          <w:szCs w:val="21"/>
          <w:u w:val="single" w:color="auto"/>
          <w:color w:val="auto"/>
        </w:rPr>
        <w:t>Schedule 1.01(b)</w:t>
      </w:r>
      <w:r>
        <w:rPr>
          <w:rFonts w:ascii="Arial" w:cs="Arial" w:eastAsia="Arial" w:hAnsi="Arial"/>
          <w:sz w:val="21"/>
          <w:szCs w:val="21"/>
          <w:color w:val="auto"/>
        </w:rPr>
        <w:t>, or in the Assignment and Assumption pursuant to which such Lender shall have assumed its Multicurrency commitment, as applicable. The aggregate amount of the Lenders’ Multicurrency Commitments as of the Sixth Amendment Effective Date is $870,000,000.</w:t>
      </w:r>
    </w:p>
    <w:p>
      <w:pPr>
        <w:spacing w:after="0" w:line="182"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LC Exposure</w:t>
      </w:r>
      <w:r>
        <w:rPr>
          <w:rFonts w:ascii="Arial" w:cs="Arial" w:eastAsia="Arial" w:hAnsi="Arial"/>
          <w:sz w:val="19"/>
          <w:szCs w:val="19"/>
          <w:color w:val="auto"/>
        </w:rPr>
        <w:t xml:space="preserve">” means, at any time, the sum of (a) the aggregate undrawn amount of all outstanding Multicurrency Letters of Credit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Lender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5" w:lineRule="exact"/>
        <w:rPr>
          <w:sz w:val="20"/>
          <w:szCs w:val="20"/>
          <w:color w:val="auto"/>
        </w:rPr>
      </w:pPr>
    </w:p>
    <w:p>
      <w:pPr>
        <w:ind w:left="1760" w:right="74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Letters of Credit</w:t>
      </w:r>
      <w:r>
        <w:rPr>
          <w:rFonts w:ascii="Arial" w:cs="Arial" w:eastAsia="Arial" w:hAnsi="Arial"/>
          <w:sz w:val="22"/>
          <w:szCs w:val="22"/>
          <w:color w:val="auto"/>
        </w:rPr>
        <w:t>” means Letters of Credit that utilize the Multicurrency Commitments. “</w:t>
      </w:r>
      <w:r>
        <w:rPr>
          <w:rFonts w:ascii="Arial" w:cs="Arial" w:eastAsia="Arial" w:hAnsi="Arial"/>
          <w:sz w:val="22"/>
          <w:szCs w:val="22"/>
          <w:u w:val="single" w:color="auto"/>
          <w:color w:val="auto"/>
        </w:rPr>
        <w:t>Multicurrency Loan</w:t>
      </w:r>
      <w:r>
        <w:rPr>
          <w:rFonts w:ascii="Arial" w:cs="Arial" w:eastAsia="Arial" w:hAnsi="Arial"/>
          <w:sz w:val="22"/>
          <w:szCs w:val="22"/>
          <w:color w:val="auto"/>
        </w:rPr>
        <w:t>” means a Loan denominated in Dollars or an Agreed Foreign Currency. “</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w:t>
      </w:r>
      <w:r>
        <w:rPr>
          <w:rFonts w:ascii="Arial" w:cs="Arial" w:eastAsia="Arial" w:hAnsi="Arial"/>
          <w:sz w:val="22"/>
          <w:szCs w:val="22"/>
          <w:u w:val="single" w:color="auto"/>
          <w:color w:val="auto"/>
        </w:rPr>
        <w:t>National Currency</w:t>
      </w:r>
      <w:r>
        <w:rPr>
          <w:rFonts w:ascii="Arial" w:cs="Arial" w:eastAsia="Arial" w:hAnsi="Arial"/>
          <w:sz w:val="22"/>
          <w:szCs w:val="22"/>
          <w:color w:val="auto"/>
        </w:rPr>
        <w:t>” means the currency, other than the Euro, of a Participating Member State. “</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w:t>
      </w:r>
    </w:p>
    <w:p>
      <w:pPr>
        <w:spacing w:after="0" w:line="3" w:lineRule="exact"/>
        <w:rPr>
          <w:sz w:val="20"/>
          <w:szCs w:val="20"/>
          <w:color w:val="auto"/>
        </w:rPr>
      </w:pPr>
    </w:p>
    <w:p>
      <w:pPr>
        <w:jc w:val="both"/>
        <w:ind w:firstLine="1763"/>
        <w:spacing w:after="0" w:line="249" w:lineRule="auto"/>
        <w:tabs>
          <w:tab w:leader="none" w:pos="264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21"/>
          <w:szCs w:val="21"/>
          <w:u w:val="single" w:color="auto"/>
          <w:color w:val="auto"/>
        </w:rPr>
        <w:t>Section 2.10(d)</w:t>
      </w:r>
      <w:r>
        <w:rPr>
          <w:rFonts w:ascii="Arial" w:cs="Arial" w:eastAsia="Arial" w:hAnsi="Arial"/>
          <w:sz w:val="21"/>
          <w:szCs w:val="21"/>
          <w:color w:val="auto"/>
        </w:rPr>
        <w:t>), an amount equal to (a) the sum of cash and Cash Equivalents received in connection with such transaction (including any cash or Cash Equivalents received by way of deferred payment pursuant to, or by monetization of,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9" w:name="page180"/>
    <w:bookmarkEnd w:id="179"/>
    <w:p>
      <w:pPr>
        <w:jc w:val="both"/>
        <w:spacing w:after="0" w:line="270" w:lineRule="auto"/>
        <w:rPr>
          <w:sz w:val="20"/>
          <w:szCs w:val="20"/>
          <w:color w:val="auto"/>
        </w:rPr>
      </w:pPr>
      <w:r>
        <w:rPr>
          <w:rFonts w:ascii="Arial" w:cs="Arial" w:eastAsia="Arial" w:hAnsi="Arial"/>
          <w:sz w:val="19"/>
          <w:szCs w:val="19"/>
          <w:color w:val="auto"/>
        </w:rPr>
        <w:t xml:space="preserve">receivable or otherwise, but only as and when so received)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amount of any estimated taxes pursuant to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firstLine="8"/>
        <w:spacing w:after="0" w:line="233" w:lineRule="auto"/>
        <w:tabs>
          <w:tab w:leader="none" w:pos="389" w:val="left"/>
        </w:tabs>
        <w:numPr>
          <w:ilvl w:val="0"/>
          <w:numId w:val="116"/>
        </w:numPr>
        <w:rPr>
          <w:rFonts w:ascii="Arial" w:cs="Arial" w:eastAsia="Arial" w:hAnsi="Arial"/>
          <w:sz w:val="22"/>
          <w:szCs w:val="22"/>
          <w:u w:val="single" w:color="auto"/>
          <w:color w:val="auto"/>
        </w:rPr>
      </w:pPr>
      <w:r>
        <w:rPr>
          <w:rFonts w:ascii="Arial" w:cs="Arial" w:eastAsia="Arial" w:hAnsi="Arial"/>
          <w:sz w:val="22"/>
          <w:szCs w:val="22"/>
          <w:color w:val="auto"/>
        </w:rPr>
        <w:t>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88" w:lineRule="exact"/>
        <w:rPr>
          <w:rFonts w:ascii="Arial" w:cs="Arial" w:eastAsia="Arial" w:hAnsi="Arial"/>
          <w:sz w:val="22"/>
          <w:szCs w:val="22"/>
          <w:u w:val="single" w:color="auto"/>
          <w:color w:val="auto"/>
        </w:rPr>
      </w:pPr>
    </w:p>
    <w:p>
      <w:pPr>
        <w:jc w:val="both"/>
        <w:ind w:firstLine="1763"/>
        <w:spacing w:after="0" w:line="273" w:lineRule="auto"/>
        <w:tabs>
          <w:tab w:leader="none" w:pos="265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an amount equal to (i) the sum of the cash and Cash Equivalents received in connection with such transaction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(1) reasonable out-of-pocket fees, costs and expenses, incurred by the Borrower or such Subsidiary in connection therewith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any reasonable costs, fees, commissions, premiums, expenses, or underwriting discounts or commissions incurred by the Borrower or any of its Subsidiaries in connection with such sale or issuance.</w:t>
      </w:r>
    </w:p>
    <w:p>
      <w:pPr>
        <w:spacing w:after="0" w:line="16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a Lender that is not a Defaulting Lender at such time.</w:t>
      </w:r>
    </w:p>
    <w:p>
      <w:pPr>
        <w:spacing w:after="0" w:line="20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Non-Extended Applicable Margin</w:t>
      </w:r>
      <w:r>
        <w:rPr>
          <w:rFonts w:ascii="Arial" w:cs="Arial" w:eastAsia="Arial" w:hAnsi="Arial"/>
          <w:sz w:val="19"/>
          <w:szCs w:val="19"/>
          <w:color w:val="auto"/>
        </w:rPr>
        <w:t xml:space="preserve">” means, with respect to any Non-Extending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 (i) with respect to any ABR Loan, 1.00% per annum; and (ii) with respect to any Eurocurrency Loan, 2.00% per annum. 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Borrowing Base Certificate has not been delivered in accordance with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then from and including the day immediately succeeding the date on which such Borrowing Base Certificate was required to be delivered, the Non-Extended Applicable Margin shall be the Non-Extended Applicable Margin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and including the date on which the required Borrowing Base Certificate is delivered.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0" w:name="page181"/>
    <w:bookmarkEnd w:id="180"/>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Availability Period</w:t>
      </w:r>
      <w:r>
        <w:rPr>
          <w:rFonts w:ascii="Arial" w:cs="Arial" w:eastAsia="Arial" w:hAnsi="Arial"/>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86"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Non-Extended Commitment Termination Date</w:t>
      </w:r>
      <w:r>
        <w:rPr>
          <w:rFonts w:ascii="Arial" w:cs="Arial" w:eastAsia="Arial" w:hAnsi="Arial"/>
          <w:sz w:val="21"/>
          <w:szCs w:val="21"/>
          <w:color w:val="auto"/>
        </w:rPr>
        <w:t xml:space="preserve">” means, with respect to each Non-Extending Lender, the “Non-Extended Commitment Termination Date” set forth next to such Non-Extending Lender’s name on </w:t>
      </w:r>
      <w:r>
        <w:rPr>
          <w:rFonts w:ascii="Arial" w:cs="Arial" w:eastAsia="Arial" w:hAnsi="Arial"/>
          <w:sz w:val="21"/>
          <w:szCs w:val="21"/>
          <w:u w:val="single" w:color="auto"/>
          <w:color w:val="auto"/>
        </w:rPr>
        <w:t>Schedule 1.01(b)</w:t>
      </w:r>
      <w:r>
        <w:rPr>
          <w:rFonts w:ascii="Arial" w:cs="Arial" w:eastAsia="Arial" w:hAnsi="Arial"/>
          <w:sz w:val="21"/>
          <w:szCs w:val="21"/>
          <w:color w:val="auto"/>
        </w:rPr>
        <w:t>.</w:t>
      </w:r>
    </w:p>
    <w:p>
      <w:pPr>
        <w:spacing w:after="0" w:line="151"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Final Maturity Date</w:t>
      </w:r>
      <w:r>
        <w:rPr>
          <w:rFonts w:ascii="Arial" w:cs="Arial" w:eastAsia="Arial" w:hAnsi="Arial"/>
          <w:sz w:val="22"/>
          <w:szCs w:val="22"/>
          <w:color w:val="auto"/>
        </w:rPr>
        <w:t xml:space="preserve">” means, with respect to each Non-Extending Lender, the “Non-Extended Final Maturity Date” set forth next to such Non-Extending Lender’s name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Loans</w:t>
      </w:r>
      <w:r>
        <w:rPr>
          <w:rFonts w:ascii="Arial" w:cs="Arial" w:eastAsia="Arial" w:hAnsi="Arial"/>
          <w:sz w:val="22"/>
          <w:szCs w:val="22"/>
          <w:color w:val="auto"/>
        </w:rPr>
        <w:t>” means Loans or Borrowings of any Non-Extending Lender maturing on the Non-Extended Final Maturity Date for such Non-Extending Lender.</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Lender</w:t>
      </w:r>
      <w:r>
        <w:rPr>
          <w:rFonts w:ascii="Arial" w:cs="Arial" w:eastAsia="Arial" w:hAnsi="Arial"/>
          <w:sz w:val="19"/>
          <w:szCs w:val="19"/>
          <w:color w:val="auto"/>
        </w:rPr>
        <w:t xml:space="preserve">” means each Lender designated as a “Non-Extending Lender”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Non-LIBO Quoted Currency</w:t>
      </w:r>
      <w:r>
        <w:rPr>
          <w:rFonts w:ascii="Arial" w:cs="Arial" w:eastAsia="Arial" w:hAnsi="Arial"/>
          <w:sz w:val="22"/>
          <w:szCs w:val="22"/>
          <w:color w:val="auto"/>
        </w:rPr>
        <w:t>” means any currency other than a LIBO Quoted Currency.</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Non-Public Information</w:t>
      </w:r>
      <w:r>
        <w:rPr>
          <w:rFonts w:ascii="Arial" w:cs="Arial" w:eastAsia="Arial" w:hAnsi="Arial"/>
          <w:sz w:val="22"/>
          <w:szCs w:val="22"/>
          <w:color w:val="auto"/>
        </w:rPr>
        <w:t>” means material non-public information (within the meaning of United States federal, state or other applicable securities laws) with respect to Borrower or its Affiliates or their Securities.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means, collectively, the Borrower and the Subsidiary Guarantors.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Effective Date</w:t>
      </w:r>
      <w:r>
        <w:rPr>
          <w:rFonts w:ascii="Arial" w:cs="Arial" w:eastAsia="Arial" w:hAnsi="Arial"/>
          <w:sz w:val="22"/>
          <w:szCs w:val="22"/>
          <w:color w:val="auto"/>
        </w:rPr>
        <w:t>” means July 3, 2013.</w:t>
      </w:r>
    </w:p>
    <w:p>
      <w:pPr>
        <w:spacing w:after="0" w:line="206"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Covered Indebtedness</w:t>
      </w:r>
      <w:r>
        <w:rPr>
          <w:rFonts w:ascii="Arial" w:cs="Arial" w:eastAsia="Arial" w:hAnsi="Arial"/>
          <w:sz w:val="21"/>
          <w:szCs w:val="21"/>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21"/>
          <w:szCs w:val="21"/>
          <w:u w:val="single" w:color="auto"/>
          <w:color w:val="auto"/>
        </w:rPr>
        <w:t>Section 6.02(e)</w:t>
      </w:r>
      <w:r>
        <w:rPr>
          <w:rFonts w:ascii="Arial" w:cs="Arial" w:eastAsia="Arial" w:hAnsi="Arial"/>
          <w:sz w:val="21"/>
          <w:szCs w:val="21"/>
          <w:color w:val="auto"/>
        </w:rPr>
        <w:t>.</w:t>
      </w:r>
    </w:p>
    <w:p>
      <w:pPr>
        <w:spacing w:after="0" w:line="167"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Permitted Indebtedness</w:t>
      </w:r>
      <w:r>
        <w:rPr>
          <w:rFonts w:ascii="Arial" w:cs="Arial" w:eastAsia="Arial" w:hAnsi="Arial"/>
          <w:sz w:val="21"/>
          <w:szCs w:val="21"/>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21"/>
          <w:szCs w:val="21"/>
          <w:u w:val="single" w:color="auto"/>
          <w:color w:val="auto"/>
        </w:rPr>
        <w:t>clause (l)</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1" w:name="page182"/>
    <w:bookmarkEnd w:id="181"/>
    <w:p>
      <w:pPr>
        <w:jc w:val="both"/>
        <w:ind w:firstLine="1755"/>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hereof (unless such assignment is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2.18(b)</w:t>
      </w:r>
      <w:r>
        <w:rPr>
          <w:rFonts w:ascii="Arial" w:cs="Arial" w:eastAsia="Arial" w:hAnsi="Arial"/>
          <w:sz w:val="19"/>
          <w:szCs w:val="19"/>
          <w:color w:val="auto"/>
        </w:rPr>
        <w:t xml:space="preserve"> )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5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9.04(f)</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9.04(f)</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Member State</w:t>
      </w:r>
      <w:r>
        <w:rPr>
          <w:rFonts w:ascii="Arial" w:cs="Arial" w:eastAsia="Arial" w:hAnsi="Arial"/>
          <w:sz w:val="19"/>
          <w:szCs w:val="19"/>
          <w:color w:val="auto"/>
        </w:rPr>
        <w:t>” means any member state of the European Community that adopts or has adopted the Euro as its lawful currency in accordance with the legislation of the European Union relating to the European Monetary Union.</w:t>
      </w:r>
    </w:p>
    <w:p>
      <w:pPr>
        <w:spacing w:after="0" w:line="10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Equity Interests</w:t>
      </w:r>
      <w:r>
        <w:rPr>
          <w:rFonts w:ascii="Arial" w:cs="Arial" w:eastAsia="Arial" w:hAnsi="Arial"/>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6"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2" w:name="page183"/>
    <w:bookmarkEnd w:id="182"/>
    <w:p>
      <w:pPr>
        <w:jc w:val="both"/>
        <w:spacing w:after="0" w:line="271" w:lineRule="auto"/>
        <w:rPr>
          <w:sz w:val="20"/>
          <w:szCs w:val="20"/>
          <w:color w:val="auto"/>
        </w:rPr>
      </w:pPr>
      <w:r>
        <w:rPr>
          <w:rFonts w:ascii="Arial" w:cs="Arial" w:eastAsia="Arial" w:hAnsi="Arial"/>
          <w:sz w:val="19"/>
          <w:szCs w:val="19"/>
          <w:color w:val="auto"/>
        </w:rPr>
        <w:t xml:space="preserve">applicable period for taking an appeal so long as such judgments or awards do not constitute an Event of Default under </w:t>
      </w:r>
      <w:r>
        <w:rPr>
          <w:rFonts w:ascii="Arial" w:cs="Arial" w:eastAsia="Arial" w:hAnsi="Arial"/>
          <w:sz w:val="19"/>
          <w:szCs w:val="19"/>
          <w:u w:val="single" w:color="auto"/>
          <w:color w:val="auto"/>
        </w:rPr>
        <w:t>clause (l)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VII</w:t>
      </w:r>
      <w:r>
        <w:rPr>
          <w:rFonts w:ascii="Arial" w:cs="Arial" w:eastAsia="Arial" w:hAnsi="Arial"/>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200" w:lineRule="exact"/>
        <w:rPr>
          <w:sz w:val="20"/>
          <w:szCs w:val="20"/>
          <w:color w:val="auto"/>
        </w:rPr>
      </w:pPr>
    </w:p>
    <w:p>
      <w:pPr>
        <w:spacing w:after="0" w:line="212"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Policy Amendment</w:t>
      </w:r>
      <w:r>
        <w:rPr>
          <w:rFonts w:ascii="Arial" w:cs="Arial" w:eastAsia="Arial" w:hAnsi="Arial"/>
          <w:sz w:val="19"/>
          <w:szCs w:val="19"/>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5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SBIC Guarantee</w:t>
      </w:r>
      <w:r>
        <w:rPr>
          <w:rFonts w:ascii="Arial" w:cs="Arial" w:eastAsia="Arial" w:hAnsi="Arial"/>
          <w:sz w:val="22"/>
          <w:szCs w:val="22"/>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22"/>
          <w:szCs w:val="22"/>
          <w:u w:val="single" w:color="auto"/>
          <w:color w:val="auto"/>
        </w:rPr>
        <w:t>clause (s)</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it shall be an Event of Default hereunder if any such event or condition giving rise to such recourse occurs).</w:t>
      </w:r>
    </w:p>
    <w:p>
      <w:pPr>
        <w:spacing w:after="0" w:line="188"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means has the meaning set forth in </w:t>
      </w:r>
      <w:r>
        <w:rPr>
          <w:rFonts w:ascii="Arial" w:cs="Arial" w:eastAsia="Arial" w:hAnsi="Arial"/>
          <w:sz w:val="22"/>
          <w:szCs w:val="22"/>
          <w:u w:val="single" w:color="auto"/>
          <w:color w:val="auto"/>
        </w:rPr>
        <w:t>Section 5.01(i)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3" w:name="page184"/>
    <w:bookmarkEnd w:id="183"/>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Investment</w:t>
      </w:r>
      <w:r>
        <w:rPr>
          <w:rFonts w:ascii="Arial" w:cs="Arial" w:eastAsia="Arial" w:hAnsi="Arial"/>
          <w:sz w:val="19"/>
          <w:szCs w:val="19"/>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62" w:lineRule="exact"/>
        <w:rPr>
          <w:sz w:val="20"/>
          <w:szCs w:val="20"/>
          <w:color w:val="auto"/>
        </w:rPr>
      </w:pPr>
    </w:p>
    <w:p>
      <w:pPr>
        <w:ind w:right="4100"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means the rate which is quoted as the “prime rate” in the print edition of </w:t>
      </w:r>
      <w:r>
        <w:rPr>
          <w:rFonts w:ascii="Arial" w:cs="Arial" w:eastAsia="Arial" w:hAnsi="Arial"/>
          <w:sz w:val="21"/>
          <w:szCs w:val="21"/>
          <w:i w:val="1"/>
          <w:iCs w:val="1"/>
          <w:color w:val="auto"/>
        </w:rPr>
        <w:t>The Wall Street Journal</w:t>
      </w:r>
      <w:r>
        <w:rPr>
          <w:rFonts w:ascii="Arial" w:cs="Arial" w:eastAsia="Arial" w:hAnsi="Arial"/>
          <w:sz w:val="21"/>
          <w:szCs w:val="21"/>
          <w:color w:val="auto"/>
        </w:rPr>
        <w:t>, Money Rates Section.</w:t>
      </w:r>
    </w:p>
    <w:p>
      <w:pPr>
        <w:spacing w:after="0" w:line="151"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Center</w:t>
      </w:r>
      <w:r>
        <w:rPr>
          <w:rFonts w:ascii="Arial" w:cs="Arial" w:eastAsia="Arial" w:hAnsi="Arial"/>
          <w:sz w:val="22"/>
          <w:szCs w:val="22"/>
          <w:color w:val="auto"/>
        </w:rPr>
        <w:t>” means, in the case of any Currency, the principal financial center where such Currency is cleared and settled, as determined by the Administrative Agent.</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means Lenders that do not wish to receive Non-Public Information with respect to the Borrower or any of its Subsidiaries or their Securities.</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Dates</w:t>
      </w:r>
      <w:r>
        <w:rPr>
          <w:rFonts w:ascii="Arial" w:cs="Arial" w:eastAsia="Arial" w:hAnsi="Arial"/>
          <w:sz w:val="22"/>
          <w:szCs w:val="22"/>
          <w:color w:val="auto"/>
        </w:rPr>
        <w:t>” means the last Business Day of March, June, September and December in each year, commencing on September 30, 2013.</w:t>
      </w:r>
    </w:p>
    <w:p>
      <w:pPr>
        <w:spacing w:after="0" w:line="173"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Quoted Investments</w:t>
      </w:r>
      <w:r>
        <w:rPr>
          <w:rFonts w:ascii="Arial" w:cs="Arial" w:eastAsia="Arial" w:hAnsi="Arial"/>
          <w:sz w:val="22"/>
          <w:szCs w:val="22"/>
          <w:color w:val="auto"/>
        </w:rPr>
        <w:t xml:space="preserve">” means a Portfolio Investment with a value assigned by the Borrower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06"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filed by the Borrower with the Securities and Exchange Commission on March 14, 2011.</w:t>
      </w:r>
    </w:p>
    <w:p>
      <w:pPr>
        <w:spacing w:after="0" w:line="173" w:lineRule="exact"/>
        <w:rPr>
          <w:sz w:val="20"/>
          <w:szCs w:val="20"/>
          <w:color w:val="auto"/>
        </w:rPr>
      </w:pPr>
    </w:p>
    <w:p>
      <w:pPr>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Regulations D, T, U and X</w:t>
      </w:r>
      <w:r>
        <w:rPr>
          <w:rFonts w:ascii="Arial" w:cs="Arial" w:eastAsia="Arial" w:hAnsi="Arial"/>
          <w:sz w:val="19"/>
          <w:szCs w:val="19"/>
          <w:color w:val="auto"/>
        </w:rPr>
        <w:t>” means, respectively, Regulations D, T, U and X of the Board of Governors of the Federal Reserve System (or any successor), as the same may be modified and supplemented and in effect from time to time.</w:t>
      </w:r>
    </w:p>
    <w:p>
      <w:pPr>
        <w:spacing w:after="0" w:line="105"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partners, directors, officers, employees, agents and advisors of such Person and such Person’s Affiliates.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4" w:name="page185"/>
    <w:bookmarkEnd w:id="184"/>
    <w:p>
      <w:pPr>
        <w:jc w:val="both"/>
        <w:ind w:right="20" w:firstLine="1755"/>
        <w:spacing w:after="0" w:line="23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Relevant Available Funds</w:t>
      </w:r>
      <w:r>
        <w:rPr>
          <w:rFonts w:ascii="Arial" w:cs="Arial" w:eastAsia="Arial" w:hAnsi="Arial"/>
          <w:sz w:val="22"/>
          <w:szCs w:val="22"/>
          <w:b w:val="1"/>
          <w:bCs w:val="1"/>
          <w:color w:val="auto"/>
        </w:rPr>
        <w:t xml:space="preserve"> </w:t>
      </w:r>
      <w:r>
        <w:rPr>
          <w:rFonts w:ascii="Arial" w:cs="Arial" w:eastAsia="Arial" w:hAnsi="Arial"/>
          <w:sz w:val="22"/>
          <w:szCs w:val="22"/>
          <w:color w:val="auto"/>
        </w:rPr>
        <w:t>” means the sum (without duplication) of (a) the aggregate undrawn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commitments of the Borrower’s equity holders to the Borrower,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87"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5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the chief executive officer, president, chief financial officer, treasurer, assistant treasurer or controller of an Obligor.</w:t>
      </w:r>
    </w:p>
    <w:p>
      <w:pPr>
        <w:spacing w:after="0" w:line="173"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78"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 of Capital</w:t>
      </w:r>
      <w:r>
        <w:rPr>
          <w:rFonts w:ascii="Arial" w:cs="Arial" w:eastAsia="Arial" w:hAnsi="Arial"/>
          <w:sz w:val="19"/>
          <w:szCs w:val="19"/>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net of any fees, costs, expenses and taxes payable with respect thereto).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5" w:name="page186"/>
    <w:bookmarkEnd w:id="185"/>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Lender at any time, the sum of the outstanding principal amount of such Lender’s Revolving Dollar Credit Exposure and Revolving Multicurrency Credit Exposure at such time.</w:t>
      </w:r>
    </w:p>
    <w:p>
      <w:pPr>
        <w:spacing w:after="0" w:line="10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Dollar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Multicurrency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86" w:lineRule="exact"/>
        <w:rPr>
          <w:sz w:val="20"/>
          <w:szCs w:val="20"/>
          <w:color w:val="auto"/>
        </w:rPr>
      </w:pPr>
    </w:p>
    <w:p>
      <w:pPr>
        <w:jc w:val="both"/>
        <w:ind w:right="20"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Percentage</w:t>
      </w:r>
      <w:r>
        <w:rPr>
          <w:rFonts w:ascii="Arial" w:cs="Arial" w:eastAsia="Arial" w:hAnsi="Arial"/>
          <w:sz w:val="21"/>
          <w:szCs w:val="21"/>
          <w:color w:val="auto"/>
        </w:rPr>
        <w:t>” means, as of any date of determination, the result, expressed as a percentage, of the Revolving Credit Exposure on such date divided by the aggregate outstanding Covered Debt Amount on such date.</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RIC</w:t>
      </w:r>
      <w:r>
        <w:rPr>
          <w:rFonts w:ascii="Arial" w:cs="Arial" w:eastAsia="Arial" w:hAnsi="Arial"/>
          <w:sz w:val="21"/>
          <w:szCs w:val="21"/>
          <w:color w:val="auto"/>
        </w:rPr>
        <w:t>” means a person qualifying for treatment as a “regulated investment company” under the Code.</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or any successor thereto.</w:t>
      </w:r>
    </w:p>
    <w:p>
      <w:pPr>
        <w:spacing w:after="0" w:line="206"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territory or region that is the subject or the target of country-wide or territory-wide Sanctions broadly prohibiting dealings with such country, territory or region (currently, Cuba, Crimea and Sevastopol, Iran, North Korea and Syria).</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3.15(a)</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w:t>
      </w:r>
      <w:r>
        <w:rPr>
          <w:rFonts w:ascii="Arial" w:cs="Arial" w:eastAsia="Arial" w:hAnsi="Arial"/>
          <w:sz w:val="22"/>
          <w:szCs w:val="22"/>
          <w:color w:val="auto"/>
        </w:rPr>
        <w:t>” means the United States Small Business Administration.</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SBIC Equity Commitment</w:t>
      </w:r>
      <w:r>
        <w:rPr>
          <w:rFonts w:ascii="Arial" w:cs="Arial" w:eastAsia="Arial" w:hAnsi="Arial"/>
          <w:sz w:val="22"/>
          <w:szCs w:val="22"/>
          <w:color w:val="auto"/>
        </w:rPr>
        <w:t>” means a commitment by the Borrower to make one or more capital contributions to an SBIC Subsidiary.</w:t>
      </w:r>
    </w:p>
    <w:p>
      <w:pPr>
        <w:spacing w:after="0" w:line="17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SBIC Subsidiary</w:t>
      </w:r>
      <w:r>
        <w:rPr>
          <w:rFonts w:ascii="Arial" w:cs="Arial" w:eastAsia="Arial" w:hAnsi="Arial"/>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6" w:name="page187"/>
    <w:bookmarkEnd w:id="186"/>
    <w:p>
      <w:pPr>
        <w:jc w:val="both"/>
        <w:spacing w:after="0" w:line="238" w:lineRule="auto"/>
        <w:rPr>
          <w:sz w:val="20"/>
          <w:szCs w:val="20"/>
          <w:color w:val="auto"/>
        </w:rPr>
      </w:pPr>
      <w:r>
        <w:rPr>
          <w:rFonts w:ascii="Arial" w:cs="Arial" w:eastAsia="Arial" w:hAnsi="Arial"/>
          <w:sz w:val="22"/>
          <w:szCs w:val="22"/>
          <w:color w:val="auto"/>
        </w:rPr>
        <w:t>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Debt Amount</w:t>
      </w:r>
      <w:r>
        <w:rPr>
          <w:rFonts w:ascii="Arial" w:cs="Arial" w:eastAsia="Arial" w:hAnsi="Arial"/>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86"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Longer-Term Indebtedness</w:t>
      </w:r>
      <w:r>
        <w:rPr>
          <w:rFonts w:ascii="Arial" w:cs="Arial" w:eastAsia="Arial" w:hAnsi="Arial"/>
          <w:sz w:val="19"/>
          <w:szCs w:val="19"/>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200" w:lineRule="exact"/>
        <w:rPr>
          <w:sz w:val="20"/>
          <w:szCs w:val="20"/>
          <w:color w:val="auto"/>
        </w:rPr>
      </w:pPr>
    </w:p>
    <w:p>
      <w:pPr>
        <w:spacing w:after="0" w:line="209"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Shorter-Term Indebtedness</w:t>
      </w:r>
      <w:r>
        <w:rPr>
          <w:rFonts w:ascii="Arial" w:cs="Arial" w:eastAsia="Arial" w:hAnsi="Arial"/>
          <w:sz w:val="19"/>
          <w:szCs w:val="19"/>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9"/>
          <w:szCs w:val="19"/>
          <w:u w:val="single" w:color="auto"/>
          <w:color w:val="auto"/>
        </w:rPr>
        <w:t>Section 6.11(a)</w:t>
      </w:r>
      <w:r>
        <w:rPr>
          <w:rFonts w:ascii="Arial" w:cs="Arial" w:eastAsia="Arial" w:hAnsi="Arial"/>
          <w:sz w:val="19"/>
          <w:szCs w:val="19"/>
          <w:color w:val="auto"/>
        </w:rPr>
        <w:t>.</w:t>
      </w:r>
    </w:p>
    <w:p>
      <w:pPr>
        <w:spacing w:after="0" w:line="15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7" w:name="page188"/>
    <w:bookmarkEnd w:id="187"/>
    <w:p>
      <w:pPr>
        <w:jc w:val="both"/>
        <w:ind w:right="20"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Shareholders’ Equity</w:t>
      </w:r>
      <w:r>
        <w:rPr>
          <w:rFonts w:ascii="Arial" w:cs="Arial" w:eastAsia="Arial" w:hAnsi="Arial"/>
          <w:sz w:val="21"/>
          <w:szCs w:val="21"/>
          <w:color w:val="auto"/>
        </w:rPr>
        <w:t>” means, at any date, the amount determined on a consolidated basis, without duplication, in accordance with GAAP, of shareholders equity for the Borrower and its Subsidiaries at such date.</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Sixth Amendment Effective Date</w:t>
      </w:r>
      <w:r>
        <w:rPr>
          <w:rFonts w:ascii="Arial" w:cs="Arial" w:eastAsia="Arial" w:hAnsi="Arial"/>
          <w:sz w:val="22"/>
          <w:szCs w:val="22"/>
          <w:color w:val="auto"/>
        </w:rPr>
        <w:t>” means February 20, 2018.</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 Subsidiary</w:t>
      </w:r>
      <w:r>
        <w:rPr>
          <w:rFonts w:ascii="Arial" w:cs="Arial" w:eastAsia="Arial" w:hAnsi="Arial"/>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5" w:lineRule="exact"/>
        <w:rPr>
          <w:sz w:val="20"/>
          <w:szCs w:val="20"/>
          <w:color w:val="auto"/>
        </w:rPr>
      </w:pPr>
    </w:p>
    <w:p>
      <w:pPr>
        <w:jc w:val="both"/>
        <w:ind w:firstLine="1763"/>
        <w:spacing w:after="0" w:line="236" w:lineRule="auto"/>
        <w:tabs>
          <w:tab w:leader="none" w:pos="264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7" w:lineRule="exact"/>
        <w:rPr>
          <w:rFonts w:ascii="Arial" w:cs="Arial" w:eastAsia="Arial" w:hAnsi="Arial"/>
          <w:sz w:val="22"/>
          <w:szCs w:val="22"/>
          <w:color w:val="auto"/>
        </w:rPr>
      </w:pPr>
    </w:p>
    <w:p>
      <w:pPr>
        <w:jc w:val="both"/>
        <w:ind w:firstLine="1763"/>
        <w:spacing w:after="0" w:line="238" w:lineRule="auto"/>
        <w:tabs>
          <w:tab w:leader="none" w:pos="265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5" w:lineRule="exact"/>
        <w:rPr>
          <w:rFonts w:ascii="Arial" w:cs="Arial" w:eastAsia="Arial" w:hAnsi="Arial"/>
          <w:sz w:val="22"/>
          <w:szCs w:val="22"/>
          <w:color w:val="auto"/>
        </w:rPr>
      </w:pPr>
    </w:p>
    <w:p>
      <w:pPr>
        <w:ind w:firstLine="1763"/>
        <w:spacing w:after="0" w:line="251" w:lineRule="auto"/>
        <w:tabs>
          <w:tab w:leader="none" w:pos="264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which no Obligor has any obligation to maintain or preserve such entity’s financial condition or cause such entity to achieve certain levels of operating results.</w:t>
      </w:r>
    </w:p>
    <w:p>
      <w:pPr>
        <w:spacing w:after="0" w:line="173"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7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Equity Interest</w:t>
      </w:r>
      <w:r>
        <w:rPr>
          <w:rFonts w:ascii="Arial" w:cs="Arial" w:eastAsia="Arial" w:hAnsi="Arial"/>
          <w:sz w:val="21"/>
          <w:szCs w:val="21"/>
          <w:color w:val="auto"/>
        </w:rPr>
        <w:t xml:space="preserve">” means any Equity Interest that is subject to a Lien in favor of creditors of the issuer of such Equity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77"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Unsecured Indebtedness</w:t>
      </w:r>
      <w:r>
        <w:rPr>
          <w:rFonts w:ascii="Arial" w:cs="Arial" w:eastAsia="Arial" w:hAnsi="Arial"/>
          <w:sz w:val="19"/>
          <w:szCs w:val="19"/>
          <w:color w:val="auto"/>
        </w:rPr>
        <w:t>” means Indebtedness of an Obligor issued after the Sixth Amendment Effective Date (which may be Guaranteed by Subsidiary Guarantors) that (a) has no amortization prior to, and a final maturity date not earlier than, five years from the date such Indebtedness is issued (it being understood that none of: (w) the conversion features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8" w:name="page189"/>
    <w:bookmarkEnd w:id="188"/>
    <w:p>
      <w:pPr>
        <w:jc w:val="both"/>
        <w:spacing w:after="0" w:line="248" w:lineRule="auto"/>
        <w:rPr>
          <w:sz w:val="20"/>
          <w:szCs w:val="20"/>
          <w:color w:val="auto"/>
        </w:rPr>
      </w:pPr>
      <w:r>
        <w:rPr>
          <w:rFonts w:ascii="Arial" w:cs="Arial" w:eastAsia="Arial" w:hAnsi="Arial"/>
          <w:sz w:val="21"/>
          <w:szCs w:val="21"/>
          <w:color w:val="auto"/>
        </w:rPr>
        <w:t xml:space="preserve">under convertible notes; (x) the triggering and/or settlement thereof or (y) any cash payment made in respect thereof, shall constitute “amortization” for purposes of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Special Unsecured Indebtedness shall not include any Indebtedness permitted pursuant to </w:t>
      </w:r>
      <w:r>
        <w:rPr>
          <w:rFonts w:ascii="Arial" w:cs="Arial" w:eastAsia="Arial" w:hAnsi="Arial"/>
          <w:sz w:val="21"/>
          <w:szCs w:val="21"/>
          <w:u w:val="single" w:color="auto"/>
          <w:color w:val="auto"/>
        </w:rPr>
        <w:t>Section 6.01(l)</w:t>
      </w:r>
      <w:r>
        <w:rPr>
          <w:rFonts w:ascii="Arial" w:cs="Arial" w:eastAsia="Arial" w:hAnsi="Arial"/>
          <w:sz w:val="21"/>
          <w:szCs w:val="21"/>
          <w:color w:val="auto"/>
        </w:rPr>
        <w:t>.</w:t>
      </w:r>
    </w:p>
    <w:p>
      <w:pPr>
        <w:spacing w:after="0" w:line="177"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59"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9" w:name="page190"/>
    <w:bookmarkEnd w:id="189"/>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SunTrust</w:t>
      </w:r>
      <w:r>
        <w:rPr>
          <w:rFonts w:ascii="Arial" w:cs="Arial" w:eastAsia="Arial" w:hAnsi="Arial"/>
          <w:sz w:val="22"/>
          <w:szCs w:val="22"/>
          <w:color w:val="auto"/>
        </w:rPr>
        <w:t>” means SunTrust Bank.</w:t>
      </w:r>
    </w:p>
    <w:p>
      <w:pPr>
        <w:spacing w:after="0" w:line="20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74"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xml:space="preserve">” means any of SunTrust or JPMorgan Chase Bank, N.A., in its capacity as lender of Swingline Loans hereunder, and its successors in such capacity as provided in </w:t>
      </w:r>
      <w:r>
        <w:rPr>
          <w:rFonts w:ascii="Arial" w:cs="Arial" w:eastAsia="Arial" w:hAnsi="Arial"/>
          <w:sz w:val="22"/>
          <w:szCs w:val="22"/>
          <w:u w:val="single" w:color="auto"/>
          <w:color w:val="auto"/>
        </w:rPr>
        <w:t>Section 2.04(d)</w:t>
      </w:r>
      <w:r>
        <w:rPr>
          <w:rFonts w:ascii="Arial" w:cs="Arial" w:eastAsia="Arial" w:hAnsi="Arial"/>
          <w:sz w:val="22"/>
          <w:szCs w:val="22"/>
          <w:color w:val="auto"/>
        </w:rPr>
        <w: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Syndicated</w:t>
      </w:r>
      <w:r>
        <w:rPr>
          <w:rFonts w:ascii="Arial" w:cs="Arial" w:eastAsia="Arial" w:hAnsi="Arial"/>
          <w:sz w:val="22"/>
          <w:szCs w:val="22"/>
          <w:color w:val="auto"/>
        </w:rPr>
        <w:t xml:space="preserve">”, when used in reference to any Loan or Borrowing, refers to whether such Loan, or the Loans constituting such Borrowing, are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3"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means the earliest to occur of (i) the Extended Final Maturity Date, (ii) the date of the termination of the Commitments in full pursuant to </w:t>
      </w:r>
      <w:r>
        <w:rPr>
          <w:rFonts w:ascii="Arial" w:cs="Arial" w:eastAsia="Arial" w:hAnsi="Arial"/>
          <w:sz w:val="22"/>
          <w:szCs w:val="22"/>
          <w:u w:val="single" w:color="auto"/>
          <w:color w:val="auto"/>
        </w:rPr>
        <w:t>Section 2.08(c)</w:t>
      </w:r>
      <w:r>
        <w:rPr>
          <w:rFonts w:ascii="Arial" w:cs="Arial" w:eastAsia="Arial" w:hAnsi="Arial"/>
          <w:sz w:val="22"/>
          <w:szCs w:val="22"/>
          <w:color w:val="auto"/>
        </w:rPr>
        <w:t xml:space="preserve">, or (iii) the date on which the Commitments are terminated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Period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5.12(b)(ii)(E)(x)</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Quarter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05"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0" w:name="page191"/>
    <w:bookmarkEnd w:id="190"/>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Undisclosed Administration</w:t>
      </w:r>
      <w:r>
        <w:rPr>
          <w:rFonts w:ascii="Arial" w:cs="Arial" w:eastAsia="Arial" w:hAnsi="Arial"/>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means the Uniform Commercial Code as in effect from time to time in the State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New York.</w:t>
      </w:r>
    </w:p>
    <w:p>
      <w:pPr>
        <w:spacing w:after="0" w:line="188"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Unsecured Longer-Term Indebtedness</w:t>
      </w:r>
      <w:r>
        <w:rPr>
          <w:rFonts w:ascii="Arial" w:cs="Arial" w:eastAsia="Arial" w:hAnsi="Arial"/>
          <w:sz w:val="19"/>
          <w:szCs w:val="19"/>
          <w:color w:val="auto"/>
        </w:rPr>
        <w:t xml:space="preserve">”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w:t>
      </w:r>
    </w:p>
    <w:p>
      <w:pPr>
        <w:spacing w:after="0" w:line="4" w:lineRule="exact"/>
        <w:rPr>
          <w:sz w:val="20"/>
          <w:szCs w:val="20"/>
          <w:color w:val="auto"/>
        </w:rPr>
      </w:pPr>
    </w:p>
    <w:p>
      <w:pPr>
        <w:jc w:val="both"/>
        <w:ind w:firstLine="8"/>
        <w:spacing w:after="0" w:line="234" w:lineRule="auto"/>
        <w:tabs>
          <w:tab w:leader="none" w:pos="32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87"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Unsecured Shorter-Term Indebtedness</w:t>
      </w:r>
      <w:r>
        <w:rPr>
          <w:rFonts w:ascii="Arial" w:cs="Arial" w:eastAsia="Arial" w:hAnsi="Arial"/>
          <w:sz w:val="21"/>
          <w:szCs w:val="21"/>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21"/>
          <w:szCs w:val="21"/>
          <w:u w:val="single" w:color="auto"/>
          <w:color w:val="auto"/>
        </w:rPr>
        <w:t>Section 6.11(a)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Unsecured Shorter-Term Indebtedness shall not include any Indebtedness permitted pursuant to </w:t>
      </w:r>
      <w:r>
        <w:rPr>
          <w:rFonts w:ascii="Arial" w:cs="Arial" w:eastAsia="Arial" w:hAnsi="Arial"/>
          <w:sz w:val="21"/>
          <w:szCs w:val="21"/>
          <w:u w:val="single" w:color="auto"/>
          <w:color w:val="auto"/>
        </w:rPr>
        <w:t>Section 6.01(l)</w:t>
      </w:r>
      <w:r>
        <w:rPr>
          <w:rFonts w:ascii="Arial" w:cs="Arial" w:eastAsia="Arial" w:hAnsi="Arial"/>
          <w:sz w:val="21"/>
          <w:szCs w:val="21"/>
          <w:color w:val="auto"/>
        </w:rPr>
        <w:t>.</w:t>
      </w:r>
    </w:p>
    <w:p>
      <w:pPr>
        <w:spacing w:after="0" w:line="174"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Unquoted Investments</w:t>
      </w:r>
      <w:r>
        <w:rPr>
          <w:rFonts w:ascii="Arial" w:cs="Arial" w:eastAsia="Arial" w:hAnsi="Arial"/>
          <w:sz w:val="22"/>
          <w:szCs w:val="22"/>
          <w:color w:val="auto"/>
        </w:rPr>
        <w:t xml:space="preserve">” means a Portfolio Investment with a value assigned by the Borrower pursuant to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1" w:name="page192"/>
    <w:bookmarkEnd w:id="191"/>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4"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pacing w:after="0" w:line="2" w:lineRule="exact"/>
        <w:rPr>
          <w:sz w:val="20"/>
          <w:szCs w:val="20"/>
          <w:color w:val="auto"/>
        </w:rPr>
      </w:pPr>
    </w:p>
    <w:p>
      <w:pPr>
        <w:jc w:val="both"/>
        <w:ind w:firstLine="8"/>
        <w:spacing w:after="0" w:line="233" w:lineRule="auto"/>
        <w:tabs>
          <w:tab w:leader="none" w:pos="32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8"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Accounting Terms; GAAP</w:t>
      </w:r>
      <w:r>
        <w:rPr>
          <w:rFonts w:ascii="Arial" w:cs="Arial" w:eastAsia="Arial" w:hAnsi="Arial"/>
          <w:sz w:val="21"/>
          <w:szCs w:val="21"/>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2" w:name="page193"/>
    <w:bookmarkEnd w:id="192"/>
    <w:p>
      <w:pPr>
        <w:jc w:val="both"/>
        <w:spacing w:after="0" w:line="277" w:lineRule="auto"/>
        <w:rPr>
          <w:sz w:val="20"/>
          <w:szCs w:val="20"/>
          <w:color w:val="auto"/>
        </w:rPr>
      </w:pPr>
      <w:r>
        <w:rPr>
          <w:rFonts w:ascii="Arial" w:cs="Arial" w:eastAsia="Arial" w:hAnsi="Arial"/>
          <w:sz w:val="19"/>
          <w:szCs w:val="19"/>
          <w:color w:val="auto"/>
        </w:rPr>
        <w:t>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5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Currencies; Currency Equivalents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Currencies Generally</w:t>
      </w:r>
      <w:r>
        <w:rPr>
          <w:rFonts w:ascii="Arial" w:cs="Arial" w:eastAsia="Arial" w:hAnsi="Arial"/>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and the last sentence of </w:t>
      </w:r>
      <w:r>
        <w:rPr>
          <w:rFonts w:ascii="Arial" w:cs="Arial" w:eastAsia="Arial" w:hAnsi="Arial"/>
          <w:sz w:val="19"/>
          <w:szCs w:val="19"/>
          <w:u w:val="single" w:color="auto"/>
          <w:color w:val="auto"/>
        </w:rPr>
        <w:t>Section 2.17(a)</w:t>
      </w:r>
      <w:r>
        <w:rPr>
          <w:rFonts w:ascii="Arial" w:cs="Arial" w:eastAsia="Arial" w:hAnsi="Arial"/>
          <w:sz w:val="19"/>
          <w:szCs w:val="19"/>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w:t>
      </w:r>
    </w:p>
    <w:p>
      <w:pPr>
        <w:spacing w:after="0" w:line="5" w:lineRule="exact"/>
        <w:rPr>
          <w:sz w:val="20"/>
          <w:szCs w:val="20"/>
          <w:color w:val="auto"/>
        </w:rPr>
      </w:pPr>
    </w:p>
    <w:p>
      <w:pPr>
        <w:jc w:val="both"/>
        <w:ind w:firstLine="8"/>
        <w:spacing w:after="0" w:line="271" w:lineRule="auto"/>
        <w:tabs>
          <w:tab w:leader="none" w:pos="39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6.04(f)</w:t>
      </w:r>
      <w:r>
        <w:rPr>
          <w:rFonts w:ascii="Arial" w:cs="Arial" w:eastAsia="Arial" w:hAnsi="Arial"/>
          <w:sz w:val="19"/>
          <w:szCs w:val="19"/>
          <w:color w:val="auto"/>
        </w:rPr>
        <w:t>, in no event shall the Borrower or any Obligor be deemed to not be in compliance with any such basket solely as a result of a change in exchange rates.</w:t>
      </w:r>
    </w:p>
    <w:p>
      <w:pPr>
        <w:spacing w:after="0" w:line="200" w:lineRule="exact"/>
        <w:rPr>
          <w:sz w:val="20"/>
          <w:szCs w:val="20"/>
          <w:color w:val="auto"/>
        </w:rPr>
      </w:pPr>
    </w:p>
    <w:p>
      <w:pPr>
        <w:spacing w:after="0" w:line="201"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Special Provisions Relating to Euro</w:t>
      </w:r>
      <w:r>
        <w:rPr>
          <w:rFonts w:ascii="Arial" w:cs="Arial" w:eastAsia="Arial" w:hAnsi="Arial"/>
          <w:sz w:val="22"/>
          <w:szCs w:val="22"/>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and to the extent that any such legislation provides that any such obligation of any such party payable within such Participating Member State by crediting an account of the creditor can be paid by the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3" w:name="page194"/>
    <w:bookmarkEnd w:id="193"/>
    <w:p>
      <w:pPr>
        <w:jc w:val="both"/>
        <w:spacing w:after="0" w:line="234" w:lineRule="auto"/>
        <w:rPr>
          <w:sz w:val="20"/>
          <w:szCs w:val="20"/>
          <w:color w:val="auto"/>
        </w:rPr>
      </w:pPr>
      <w:r>
        <w:rPr>
          <w:rFonts w:ascii="Arial" w:cs="Arial" w:eastAsia="Arial" w:hAnsi="Arial"/>
          <w:sz w:val="22"/>
          <w:szCs w:val="22"/>
          <w:color w:val="auto"/>
        </w:rPr>
        <w:t xml:space="preserve">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Borrowing denominated in such currency that is outstanding immediately prior to such date, such replacement shall take effect at the end of the Interest Period therefor.</w:t>
      </w:r>
    </w:p>
    <w:p>
      <w:pPr>
        <w:spacing w:after="0" w:line="188"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The Commitments</w:t>
      </w:r>
      <w:r>
        <w:rPr>
          <w:rFonts w:ascii="Arial" w:cs="Arial" w:eastAsia="Arial" w:hAnsi="Arial"/>
          <w:sz w:val="22"/>
          <w:szCs w:val="22"/>
          <w:color w:val="auto"/>
        </w:rPr>
        <w:t>. Subject to the terms and conditions set forth herein:</w:t>
      </w:r>
    </w:p>
    <w:p>
      <w:pPr>
        <w:spacing w:after="0" w:line="20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each Dollar Lender severally agrees to make Syndicated Loans in Dollars to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Borrower from time to time during such Dollar Lender’s Availability Period in an aggregate principal amount that will not result in</w:t>
      </w:r>
    </w:p>
    <w:p>
      <w:pPr>
        <w:spacing w:after="0" w:line="25" w:lineRule="exact"/>
        <w:rPr>
          <w:sz w:val="20"/>
          <w:szCs w:val="20"/>
          <w:color w:val="auto"/>
        </w:rPr>
      </w:pPr>
    </w:p>
    <w:p>
      <w:pPr>
        <w:jc w:val="both"/>
        <w:ind w:firstLine="8"/>
        <w:spacing w:after="0" w:line="287" w:lineRule="auto"/>
        <w:tabs>
          <w:tab w:leader="none" w:pos="28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4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(b) 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77"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Within the foregoing limits and subject to the terms and conditions set forth herein, the Borrower may borrow, prepay and reborrow Syndicated Loans.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4" w:name="page195"/>
    <w:bookmarkEnd w:id="194"/>
    <w:p>
      <w:pPr>
        <w:ind w:left="176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Obligations of Lenders</w:t>
      </w:r>
      <w:r>
        <w:rPr>
          <w:rFonts w:ascii="Arial" w:cs="Arial" w:eastAsia="Arial" w:hAnsi="Arial"/>
          <w:sz w:val="22"/>
          <w:szCs w:val="22"/>
          <w:color w:val="auto"/>
        </w:rPr>
        <w:t xml:space="preserve">. Each Syndicated Loan shall be made as part of a Borrowing consisting of Loans of the same Class of Commitments (other than with respect to any Syndicated Loan requested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8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Type of Loans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Borrower to repay such Loan in accordance with the terms of this Agreement.</w:t>
      </w:r>
    </w:p>
    <w:p>
      <w:pPr>
        <w:spacing w:after="0" w:line="18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Minimum Amounts</w:t>
      </w:r>
      <w:r>
        <w:rPr>
          <w:rFonts w:ascii="Arial" w:cs="Arial" w:eastAsia="Arial" w:hAnsi="Arial"/>
          <w:sz w:val="22"/>
          <w:szCs w:val="22"/>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22"/>
          <w:szCs w:val="22"/>
          <w:u w:val="single" w:color="auto"/>
          <w:color w:val="auto"/>
        </w:rPr>
        <w:t>Section 2.05(f)</w:t>
      </w:r>
      <w:r>
        <w:rPr>
          <w:rFonts w:ascii="Arial" w:cs="Arial" w:eastAsia="Arial" w:hAnsi="Arial"/>
          <w:sz w:val="22"/>
          <w:szCs w:val="22"/>
          <w:color w:val="auto"/>
        </w:rPr>
        <w:t>. Borrowings of more than one Class, Currency and Type may be outstanding at the same time.</w:t>
      </w:r>
    </w:p>
    <w:p>
      <w:pPr>
        <w:spacing w:after="0" w:line="188"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Limitations on Interest Periods</w:t>
      </w:r>
      <w:r>
        <w:rPr>
          <w:rFonts w:ascii="Arial" w:cs="Arial" w:eastAsia="Arial" w:hAnsi="Arial"/>
          <w:sz w:val="21"/>
          <w:szCs w:val="21"/>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67"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Treatment of Classes</w:t>
      </w:r>
      <w:r>
        <w:rPr>
          <w:rFonts w:ascii="Arial" w:cs="Arial" w:eastAsia="Arial" w:hAnsi="Arial"/>
          <w:sz w:val="22"/>
          <w:szCs w:val="22"/>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Syndicated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Notice by the Borrower</w:t>
      </w:r>
      <w:r>
        <w:rPr>
          <w:rFonts w:ascii="Arial" w:cs="Arial" w:eastAsia="Arial" w:hAnsi="Arial"/>
          <w:sz w:val="19"/>
          <w:szCs w:val="19"/>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5" w:name="page196"/>
    <w:bookmarkEnd w:id="195"/>
    <w:p>
      <w:pPr>
        <w:jc w:val="both"/>
        <w:spacing w:after="0" w:line="236" w:lineRule="auto"/>
        <w:rPr>
          <w:sz w:val="20"/>
          <w:szCs w:val="20"/>
          <w:color w:val="auto"/>
        </w:rPr>
      </w:pPr>
      <w:r>
        <w:rPr>
          <w:rFonts w:ascii="Arial" w:cs="Arial" w:eastAsia="Arial" w:hAnsi="Arial"/>
          <w:sz w:val="22"/>
          <w:szCs w:val="22"/>
          <w:color w:val="auto"/>
        </w:rPr>
        <w:t>Eurocurrency Borrowing denominated in a Foreign Currency, not later than 11:00 a.m., Atlanta, Georgia time, four Business Days before the date of the proposed Borrowing or (iii) in the case of a Syndicated ABR Borrowing, not later than 11:00 a.m., Atlanta, Georgia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60" w:type="dxa"/>
            <w:vAlign w:val="bottom"/>
          </w:tcPr>
          <w:p>
            <w:pPr>
              <w:ind w:left="1760"/>
              <w:spacing w:after="0"/>
              <w:rPr>
                <w:sz w:val="20"/>
                <w:szCs w:val="20"/>
                <w:color w:val="auto"/>
              </w:rPr>
            </w:pPr>
            <w:r>
              <w:rPr>
                <w:rFonts w:ascii="Arial" w:cs="Arial" w:eastAsia="Arial" w:hAnsi="Arial"/>
                <w:sz w:val="22"/>
                <w:szCs w:val="22"/>
                <w:color w:val="auto"/>
              </w:rPr>
              <w:t>(b)</w:t>
            </w:r>
          </w:p>
        </w:tc>
        <w:tc>
          <w:tcPr>
            <w:tcW w:w="300" w:type="dxa"/>
            <w:vAlign w:val="bottom"/>
          </w:tcPr>
          <w:p>
            <w:pPr>
              <w:spacing w:after="0"/>
              <w:rPr>
                <w:sz w:val="21"/>
                <w:szCs w:val="21"/>
                <w:color w:val="auto"/>
              </w:rPr>
            </w:pPr>
          </w:p>
        </w:tc>
        <w:tc>
          <w:tcPr>
            <w:tcW w:w="7460" w:type="dxa"/>
            <w:vAlign w:val="bottom"/>
            <w:gridSpan w:val="9"/>
          </w:tcPr>
          <w:p>
            <w:pPr>
              <w:jc w:val="right"/>
              <w:spacing w:after="0"/>
              <w:rPr>
                <w:sz w:val="20"/>
                <w:szCs w:val="20"/>
                <w:color w:val="auto"/>
              </w:rPr>
            </w:pPr>
            <w:r>
              <w:rPr>
                <w:rFonts w:ascii="Arial" w:cs="Arial" w:eastAsia="Arial" w:hAnsi="Arial"/>
                <w:sz w:val="22"/>
                <w:szCs w:val="22"/>
                <w:color w:val="auto"/>
                <w:w w:val="94"/>
              </w:rPr>
              <w:t>Content of Borrowing Requests.  Each telephonic and written Borrowing Request</w:t>
            </w:r>
          </w:p>
        </w:tc>
      </w:tr>
      <w:tr>
        <w:trPr>
          <w:trHeight w:val="20"/>
        </w:trPr>
        <w:tc>
          <w:tcPr>
            <w:tcW w:w="396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10820" w:type="dxa"/>
            <w:vAlign w:val="bottom"/>
            <w:gridSpan w:val="9"/>
          </w:tcPr>
          <w:p>
            <w:pPr>
              <w:spacing w:after="0" w:line="223" w:lineRule="exact"/>
              <w:rPr>
                <w:sz w:val="20"/>
                <w:szCs w:val="20"/>
                <w:color w:val="auto"/>
              </w:rPr>
            </w:pPr>
            <w:r>
              <w:rPr>
                <w:rFonts w:ascii="Arial" w:cs="Arial" w:eastAsia="Arial" w:hAnsi="Arial"/>
                <w:sz w:val="22"/>
                <w:szCs w:val="22"/>
                <w:color w:val="auto"/>
              </w:rPr>
              <w:t>shall specify the following information in compliance with Section 2.02: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58"/>
        </w:trPr>
        <w:tc>
          <w:tcPr>
            <w:tcW w:w="3660" w:type="dxa"/>
            <w:vAlign w:val="bottom"/>
          </w:tcPr>
          <w:p>
            <w:pPr>
              <w:ind w:left="1700"/>
              <w:spacing w:after="0"/>
              <w:rPr>
                <w:sz w:val="20"/>
                <w:szCs w:val="20"/>
                <w:color w:val="auto"/>
              </w:rPr>
            </w:pPr>
            <w:r>
              <w:rPr>
                <w:rFonts w:ascii="Arial" w:cs="Arial" w:eastAsia="Arial" w:hAnsi="Arial"/>
                <w:sz w:val="22"/>
                <w:szCs w:val="22"/>
                <w:color w:val="auto"/>
              </w:rPr>
              <w:t>(i)</w:t>
            </w:r>
          </w:p>
        </w:tc>
        <w:tc>
          <w:tcPr>
            <w:tcW w:w="7160" w:type="dxa"/>
            <w:vAlign w:val="bottom"/>
            <w:gridSpan w:val="8"/>
          </w:tcPr>
          <w:p>
            <w:pPr>
              <w:ind w:left="180"/>
              <w:spacing w:after="0"/>
              <w:rPr>
                <w:sz w:val="20"/>
                <w:szCs w:val="20"/>
                <w:color w:val="auto"/>
              </w:rPr>
            </w:pPr>
            <w:r>
              <w:rPr>
                <w:rFonts w:ascii="Arial" w:cs="Arial" w:eastAsia="Arial" w:hAnsi="Arial"/>
                <w:sz w:val="22"/>
                <w:szCs w:val="22"/>
                <w:color w:val="auto"/>
              </w:rPr>
              <w:t>whether such Borrowing is to be made under the Dollar Commitments</w:t>
            </w:r>
          </w:p>
        </w:tc>
        <w:tc>
          <w:tcPr>
            <w:tcW w:w="300" w:type="dxa"/>
            <w:vAlign w:val="bottom"/>
          </w:tcPr>
          <w:p>
            <w:pPr>
              <w:ind w:left="20"/>
              <w:spacing w:after="0"/>
              <w:rPr>
                <w:sz w:val="20"/>
                <w:szCs w:val="20"/>
                <w:color w:val="auto"/>
              </w:rPr>
            </w:pPr>
            <w:r>
              <w:rPr>
                <w:rFonts w:ascii="Arial" w:cs="Arial" w:eastAsia="Arial" w:hAnsi="Arial"/>
                <w:sz w:val="22"/>
                <w:szCs w:val="22"/>
                <w:color w:val="auto"/>
              </w:rPr>
              <w:t>or</w:t>
            </w:r>
          </w:p>
        </w:tc>
        <w:tc>
          <w:tcPr>
            <w:tcW w:w="300" w:type="dxa"/>
            <w:vAlign w:val="bottom"/>
          </w:tcPr>
          <w:p>
            <w:pPr>
              <w:jc w:val="right"/>
              <w:spacing w:after="0"/>
              <w:rPr>
                <w:sz w:val="20"/>
                <w:szCs w:val="20"/>
                <w:color w:val="auto"/>
              </w:rPr>
            </w:pPr>
            <w:r>
              <w:rPr>
                <w:rFonts w:ascii="Arial" w:cs="Arial" w:eastAsia="Arial" w:hAnsi="Arial"/>
                <w:sz w:val="22"/>
                <w:szCs w:val="22"/>
                <w:color w:val="auto"/>
                <w:w w:val="91"/>
              </w:rPr>
              <w:t>the</w:t>
            </w:r>
          </w:p>
        </w:tc>
      </w:tr>
      <w:tr>
        <w:trPr>
          <w:trHeight w:val="275"/>
        </w:trPr>
        <w:tc>
          <w:tcPr>
            <w:tcW w:w="3660" w:type="dxa"/>
            <w:vAlign w:val="bottom"/>
          </w:tcPr>
          <w:p>
            <w:pPr>
              <w:ind w:left="880"/>
              <w:spacing w:after="0"/>
              <w:rPr>
                <w:sz w:val="20"/>
                <w:szCs w:val="20"/>
                <w:color w:val="auto"/>
              </w:rPr>
            </w:pPr>
            <w:r>
              <w:rPr>
                <w:rFonts w:ascii="Arial" w:cs="Arial" w:eastAsia="Arial" w:hAnsi="Arial"/>
                <w:sz w:val="22"/>
                <w:szCs w:val="22"/>
                <w:color w:val="auto"/>
                <w:w w:val="99"/>
              </w:rPr>
              <w:t>Multicurrency Commitments;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59"/>
        </w:trPr>
        <w:tc>
          <w:tcPr>
            <w:tcW w:w="3660" w:type="dxa"/>
            <w:vAlign w:val="bottom"/>
          </w:tcPr>
          <w:p>
            <w:pPr>
              <w:ind w:left="1700"/>
              <w:spacing w:after="0"/>
              <w:rPr>
                <w:sz w:val="20"/>
                <w:szCs w:val="20"/>
                <w:color w:val="auto"/>
              </w:rPr>
            </w:pPr>
            <w:r>
              <w:rPr>
                <w:rFonts w:ascii="Arial" w:cs="Arial" w:eastAsia="Arial" w:hAnsi="Arial"/>
                <w:sz w:val="22"/>
                <w:szCs w:val="22"/>
                <w:color w:val="auto"/>
              </w:rPr>
              <w:t>(ii)</w:t>
            </w:r>
          </w:p>
        </w:tc>
        <w:tc>
          <w:tcPr>
            <w:tcW w:w="7160" w:type="dxa"/>
            <w:vAlign w:val="bottom"/>
            <w:gridSpan w:val="8"/>
          </w:tcPr>
          <w:p>
            <w:pPr>
              <w:ind w:left="240"/>
              <w:spacing w:after="0"/>
              <w:rPr>
                <w:sz w:val="20"/>
                <w:szCs w:val="20"/>
                <w:color w:val="auto"/>
              </w:rPr>
            </w:pPr>
            <w:r>
              <w:rPr>
                <w:rFonts w:ascii="Arial" w:cs="Arial" w:eastAsia="Arial" w:hAnsi="Arial"/>
                <w:sz w:val="22"/>
                <w:szCs w:val="22"/>
                <w:color w:val="auto"/>
              </w:rPr>
              <w:t>the aggregate amount and Currency of the requested Borrowing;</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660" w:type="dxa"/>
            <w:vAlign w:val="bottom"/>
          </w:tcPr>
          <w:p>
            <w:pPr>
              <w:ind w:left="1700"/>
              <w:spacing w:after="0"/>
              <w:rPr>
                <w:sz w:val="20"/>
                <w:szCs w:val="20"/>
                <w:color w:val="auto"/>
              </w:rPr>
            </w:pPr>
            <w:r>
              <w:rPr>
                <w:rFonts w:ascii="Arial" w:cs="Arial" w:eastAsia="Arial" w:hAnsi="Arial"/>
                <w:sz w:val="22"/>
                <w:szCs w:val="22"/>
                <w:color w:val="auto"/>
              </w:rPr>
              <w:t>(iii)</w:t>
            </w:r>
          </w:p>
        </w:tc>
        <w:tc>
          <w:tcPr>
            <w:tcW w:w="300" w:type="dxa"/>
            <w:vAlign w:val="bottom"/>
          </w:tcPr>
          <w:p>
            <w:pPr>
              <w:spacing w:after="0"/>
              <w:rPr>
                <w:sz w:val="24"/>
                <w:szCs w:val="24"/>
                <w:color w:val="auto"/>
              </w:rPr>
            </w:pPr>
          </w:p>
        </w:tc>
        <w:tc>
          <w:tcPr>
            <w:tcW w:w="6860" w:type="dxa"/>
            <w:vAlign w:val="bottom"/>
            <w:gridSpan w:val="7"/>
          </w:tcPr>
          <w:p>
            <w:pPr>
              <w:spacing w:after="0"/>
              <w:rPr>
                <w:sz w:val="20"/>
                <w:szCs w:val="20"/>
                <w:color w:val="auto"/>
              </w:rPr>
            </w:pPr>
            <w:r>
              <w:rPr>
                <w:rFonts w:ascii="Arial" w:cs="Arial" w:eastAsia="Arial" w:hAnsi="Arial"/>
                <w:sz w:val="22"/>
                <w:szCs w:val="22"/>
                <w:color w:val="auto"/>
              </w:rPr>
              <w:t>the date of such Borrowing, which shall be a Business Day;</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8"/>
        </w:trPr>
        <w:tc>
          <w:tcPr>
            <w:tcW w:w="3660" w:type="dxa"/>
            <w:vAlign w:val="bottom"/>
          </w:tcPr>
          <w:p>
            <w:pPr>
              <w:ind w:left="1700"/>
              <w:spacing w:after="0"/>
              <w:rPr>
                <w:sz w:val="20"/>
                <w:szCs w:val="20"/>
                <w:color w:val="auto"/>
              </w:rPr>
            </w:pPr>
            <w:r>
              <w:rPr>
                <w:rFonts w:ascii="Arial" w:cs="Arial" w:eastAsia="Arial" w:hAnsi="Arial"/>
                <w:sz w:val="22"/>
                <w:szCs w:val="22"/>
                <w:color w:val="auto"/>
              </w:rPr>
              <w:t>(iv)</w:t>
            </w:r>
          </w:p>
        </w:tc>
        <w:tc>
          <w:tcPr>
            <w:tcW w:w="300" w:type="dxa"/>
            <w:vAlign w:val="bottom"/>
          </w:tcPr>
          <w:p>
            <w:pPr>
              <w:spacing w:after="0"/>
              <w:rPr>
                <w:sz w:val="24"/>
                <w:szCs w:val="24"/>
                <w:color w:val="auto"/>
              </w:rPr>
            </w:pPr>
          </w:p>
        </w:tc>
        <w:tc>
          <w:tcPr>
            <w:tcW w:w="7460" w:type="dxa"/>
            <w:vAlign w:val="bottom"/>
            <w:gridSpan w:val="9"/>
          </w:tcPr>
          <w:p>
            <w:pPr>
              <w:jc w:val="right"/>
              <w:spacing w:after="0"/>
              <w:rPr>
                <w:sz w:val="20"/>
                <w:szCs w:val="20"/>
                <w:color w:val="auto"/>
              </w:rPr>
            </w:pPr>
            <w:r>
              <w:rPr>
                <w:rFonts w:ascii="Arial" w:cs="Arial" w:eastAsia="Arial" w:hAnsi="Arial"/>
                <w:sz w:val="22"/>
                <w:szCs w:val="22"/>
                <w:color w:val="auto"/>
              </w:rPr>
              <w:t>in the case of a Syndicated Borrowing denominated in Dollars, whether such</w:t>
            </w:r>
          </w:p>
        </w:tc>
      </w:tr>
      <w:tr>
        <w:trPr>
          <w:trHeight w:val="275"/>
        </w:trPr>
        <w:tc>
          <w:tcPr>
            <w:tcW w:w="10820" w:type="dxa"/>
            <w:vAlign w:val="bottom"/>
            <w:gridSpan w:val="9"/>
          </w:tcPr>
          <w:p>
            <w:pPr>
              <w:ind w:left="880"/>
              <w:spacing w:after="0"/>
              <w:rPr>
                <w:sz w:val="20"/>
                <w:szCs w:val="20"/>
                <w:color w:val="auto"/>
              </w:rPr>
            </w:pPr>
            <w:r>
              <w:rPr>
                <w:rFonts w:ascii="Arial" w:cs="Arial" w:eastAsia="Arial" w:hAnsi="Arial"/>
                <w:sz w:val="22"/>
                <w:szCs w:val="22"/>
                <w:color w:val="auto"/>
              </w:rPr>
              <w:t>Borrowing is to be an ABR Borrowing or a Eurocurrency Borrowing;</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28"/>
        </w:trPr>
        <w:tc>
          <w:tcPr>
            <w:tcW w:w="3660" w:type="dxa"/>
            <w:vAlign w:val="bottom"/>
          </w:tcPr>
          <w:p>
            <w:pPr>
              <w:ind w:left="1700"/>
              <w:spacing w:after="0"/>
              <w:rPr>
                <w:sz w:val="20"/>
                <w:szCs w:val="20"/>
                <w:color w:val="auto"/>
              </w:rPr>
            </w:pPr>
            <w:r>
              <w:rPr>
                <w:rFonts w:ascii="Arial" w:cs="Arial" w:eastAsia="Arial" w:hAnsi="Arial"/>
                <w:sz w:val="22"/>
                <w:szCs w:val="22"/>
                <w:color w:val="auto"/>
              </w:rPr>
              <w:t>(v)</w:t>
            </w:r>
          </w:p>
        </w:tc>
        <w:tc>
          <w:tcPr>
            <w:tcW w:w="7760" w:type="dxa"/>
            <w:vAlign w:val="bottom"/>
            <w:gridSpan w:val="10"/>
          </w:tcPr>
          <w:p>
            <w:pPr>
              <w:jc w:val="right"/>
              <w:spacing w:after="0"/>
              <w:rPr>
                <w:sz w:val="20"/>
                <w:szCs w:val="20"/>
                <w:color w:val="auto"/>
              </w:rPr>
            </w:pPr>
            <w:r>
              <w:rPr>
                <w:rFonts w:ascii="Arial" w:cs="Arial" w:eastAsia="Arial" w:hAnsi="Arial"/>
                <w:sz w:val="22"/>
                <w:szCs w:val="22"/>
                <w:color w:val="auto"/>
                <w:w w:val="92"/>
              </w:rPr>
              <w:t>in the case of a Eurocurrency Borrowing, the Interest Period therefor, which shall be a</w:t>
            </w:r>
          </w:p>
        </w:tc>
      </w:tr>
      <w:tr>
        <w:trPr>
          <w:trHeight w:val="224"/>
        </w:trPr>
        <w:tc>
          <w:tcPr>
            <w:tcW w:w="10820" w:type="dxa"/>
            <w:vAlign w:val="bottom"/>
            <w:gridSpan w:val="9"/>
          </w:tcPr>
          <w:p>
            <w:pPr>
              <w:ind w:left="880"/>
              <w:spacing w:after="0" w:line="224" w:lineRule="exact"/>
              <w:rPr>
                <w:sz w:val="20"/>
                <w:szCs w:val="20"/>
                <w:color w:val="auto"/>
              </w:rPr>
            </w:pPr>
            <w:r>
              <w:rPr>
                <w:rFonts w:ascii="Arial" w:cs="Arial" w:eastAsia="Arial" w:hAnsi="Arial"/>
                <w:sz w:val="22"/>
                <w:szCs w:val="22"/>
                <w:color w:val="auto"/>
                <w:w w:val="95"/>
              </w:rPr>
              <w:t>period contemplated by the definition of the term “Interest Period” and permitted under Section 2.02(d); and</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58"/>
        </w:trPr>
        <w:tc>
          <w:tcPr>
            <w:tcW w:w="3660" w:type="dxa"/>
            <w:vAlign w:val="bottom"/>
          </w:tcPr>
          <w:p>
            <w:pPr>
              <w:ind w:left="1700"/>
              <w:spacing w:after="0"/>
              <w:rPr>
                <w:sz w:val="20"/>
                <w:szCs w:val="20"/>
                <w:color w:val="auto"/>
              </w:rPr>
            </w:pPr>
            <w:r>
              <w:rPr>
                <w:rFonts w:ascii="Arial" w:cs="Arial" w:eastAsia="Arial" w:hAnsi="Arial"/>
                <w:sz w:val="22"/>
                <w:szCs w:val="22"/>
                <w:color w:val="auto"/>
              </w:rPr>
              <w:t>(vi)</w:t>
            </w:r>
          </w:p>
        </w:tc>
        <w:tc>
          <w:tcPr>
            <w:tcW w:w="300" w:type="dxa"/>
            <w:vAlign w:val="bottom"/>
          </w:tcPr>
          <w:p>
            <w:pPr>
              <w:spacing w:after="0"/>
              <w:rPr>
                <w:sz w:val="24"/>
                <w:szCs w:val="24"/>
                <w:color w:val="auto"/>
              </w:rPr>
            </w:pPr>
          </w:p>
        </w:tc>
        <w:tc>
          <w:tcPr>
            <w:tcW w:w="6860" w:type="dxa"/>
            <w:vAlign w:val="bottom"/>
            <w:gridSpan w:val="7"/>
          </w:tcPr>
          <w:p>
            <w:pPr>
              <w:spacing w:after="0"/>
              <w:rPr>
                <w:sz w:val="20"/>
                <w:szCs w:val="20"/>
                <w:color w:val="auto"/>
              </w:rPr>
            </w:pPr>
            <w:r>
              <w:rPr>
                <w:rFonts w:ascii="Arial" w:cs="Arial" w:eastAsia="Arial" w:hAnsi="Arial"/>
                <w:sz w:val="22"/>
                <w:szCs w:val="22"/>
                <w:color w:val="auto"/>
              </w:rPr>
              <w:t>the location and number of the Borrower’s account to which funds are</w:t>
            </w:r>
          </w:p>
        </w:tc>
        <w:tc>
          <w:tcPr>
            <w:tcW w:w="300" w:type="dxa"/>
            <w:vAlign w:val="bottom"/>
          </w:tcPr>
          <w:p>
            <w:pPr>
              <w:ind w:left="100"/>
              <w:spacing w:after="0"/>
              <w:rPr>
                <w:sz w:val="20"/>
                <w:szCs w:val="20"/>
                <w:color w:val="auto"/>
              </w:rPr>
            </w:pPr>
            <w:r>
              <w:rPr>
                <w:rFonts w:ascii="Arial" w:cs="Arial" w:eastAsia="Arial" w:hAnsi="Arial"/>
                <w:sz w:val="22"/>
                <w:szCs w:val="22"/>
                <w:color w:val="auto"/>
                <w:w w:val="97"/>
              </w:rPr>
              <w:t>to</w:t>
            </w:r>
          </w:p>
        </w:tc>
        <w:tc>
          <w:tcPr>
            <w:tcW w:w="300" w:type="dxa"/>
            <w:vAlign w:val="bottom"/>
          </w:tcPr>
          <w:p>
            <w:pPr>
              <w:jc w:val="right"/>
              <w:spacing w:after="0"/>
              <w:rPr>
                <w:sz w:val="20"/>
                <w:szCs w:val="20"/>
                <w:color w:val="auto"/>
              </w:rPr>
            </w:pPr>
            <w:r>
              <w:rPr>
                <w:rFonts w:ascii="Arial" w:cs="Arial" w:eastAsia="Arial" w:hAnsi="Arial"/>
                <w:sz w:val="22"/>
                <w:szCs w:val="22"/>
                <w:color w:val="auto"/>
              </w:rPr>
              <w:t>be</w:t>
            </w:r>
          </w:p>
        </w:tc>
      </w:tr>
      <w:tr>
        <w:trPr>
          <w:trHeight w:val="275"/>
        </w:trPr>
        <w:tc>
          <w:tcPr>
            <w:tcW w:w="3660" w:type="dxa"/>
            <w:vAlign w:val="bottom"/>
          </w:tcPr>
          <w:p>
            <w:pPr>
              <w:ind w:left="880"/>
              <w:spacing w:after="0"/>
              <w:rPr>
                <w:sz w:val="20"/>
                <w:szCs w:val="20"/>
                <w:color w:val="auto"/>
              </w:rPr>
            </w:pPr>
            <w:r>
              <w:rPr>
                <w:rFonts w:ascii="Arial" w:cs="Arial" w:eastAsia="Arial" w:hAnsi="Arial"/>
                <w:sz w:val="22"/>
                <w:szCs w:val="22"/>
                <w:color w:val="auto"/>
              </w:rPr>
              <w:t>disbursed.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09"/>
        </w:trPr>
        <w:tc>
          <w:tcPr>
            <w:tcW w:w="3660" w:type="dxa"/>
            <w:vAlign w:val="bottom"/>
          </w:tcPr>
          <w:p>
            <w:pPr>
              <w:ind w:left="1760"/>
              <w:spacing w:after="0"/>
              <w:rPr>
                <w:sz w:val="20"/>
                <w:szCs w:val="20"/>
                <w:color w:val="auto"/>
              </w:rPr>
            </w:pPr>
            <w:r>
              <w:rPr>
                <w:rFonts w:ascii="Arial" w:cs="Arial" w:eastAsia="Arial" w:hAnsi="Arial"/>
                <w:sz w:val="22"/>
                <w:szCs w:val="22"/>
                <w:color w:val="auto"/>
              </w:rPr>
              <w:t>(c)</w:t>
            </w:r>
          </w:p>
        </w:tc>
        <w:tc>
          <w:tcPr>
            <w:tcW w:w="300" w:type="dxa"/>
            <w:vAlign w:val="bottom"/>
          </w:tcPr>
          <w:p>
            <w:pPr>
              <w:spacing w:after="0"/>
              <w:rPr>
                <w:sz w:val="24"/>
                <w:szCs w:val="24"/>
                <w:color w:val="auto"/>
              </w:rPr>
            </w:pPr>
          </w:p>
        </w:tc>
        <w:tc>
          <w:tcPr>
            <w:tcW w:w="7460" w:type="dxa"/>
            <w:vAlign w:val="bottom"/>
            <w:gridSpan w:val="9"/>
          </w:tcPr>
          <w:p>
            <w:pPr>
              <w:jc w:val="right"/>
              <w:spacing w:after="0"/>
              <w:rPr>
                <w:sz w:val="20"/>
                <w:szCs w:val="20"/>
                <w:color w:val="auto"/>
              </w:rPr>
            </w:pPr>
            <w:r>
              <w:rPr>
                <w:rFonts w:ascii="Arial" w:cs="Arial" w:eastAsia="Arial" w:hAnsi="Arial"/>
                <w:sz w:val="22"/>
                <w:szCs w:val="22"/>
                <w:color w:val="auto"/>
                <w:w w:val="94"/>
              </w:rPr>
              <w:t>Notice by the Administrative Agent to the Lenders. Promptly following receipt of a</w:t>
            </w:r>
          </w:p>
        </w:tc>
      </w:tr>
      <w:tr>
        <w:trPr>
          <w:trHeight w:val="20"/>
        </w:trPr>
        <w:tc>
          <w:tcPr>
            <w:tcW w:w="3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Borrowing Request in accordance with this Section, the Administrative Agent shall advise each applicable Lender of the details thereof and of the amounts of such Lender’s Loan to be made as part of the requested Borrowing.</w:t>
      </w:r>
    </w:p>
    <w:p>
      <w:pPr>
        <w:spacing w:after="0" w:line="17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Failure to Elect</w:t>
      </w:r>
      <w:r>
        <w:rPr>
          <w:rFonts w:ascii="Arial" w:cs="Arial" w:eastAsia="Arial" w:hAnsi="Arial"/>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6" w:name="page197"/>
    <w:bookmarkEnd w:id="196"/>
    <w:p>
      <w:pPr>
        <w:ind w:left="17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Agreement to Make Swingline Loans</w:t>
      </w:r>
      <w:r>
        <w:rPr>
          <w:rFonts w:ascii="Arial" w:cs="Arial" w:eastAsia="Arial" w:hAnsi="Arial"/>
          <w:sz w:val="19"/>
          <w:szCs w:val="19"/>
          <w:color w:val="auto"/>
        </w:rPr>
        <w:t>.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w:t>
      </w:r>
    </w:p>
    <w:p>
      <w:pPr>
        <w:spacing w:after="0" w:line="4" w:lineRule="exact"/>
        <w:rPr>
          <w:sz w:val="20"/>
          <w:szCs w:val="20"/>
          <w:color w:val="auto"/>
        </w:rPr>
      </w:pPr>
    </w:p>
    <w:p>
      <w:pPr>
        <w:jc w:val="both"/>
        <w:ind w:firstLine="8"/>
        <w:spacing w:after="0" w:line="232" w:lineRule="auto"/>
        <w:tabs>
          <w:tab w:leader="none" w:pos="33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88" w:lineRule="exact"/>
        <w:rPr>
          <w:sz w:val="20"/>
          <w:szCs w:val="20"/>
          <w:color w:val="auto"/>
        </w:rPr>
      </w:pPr>
    </w:p>
    <w:p>
      <w:pPr>
        <w:ind w:left="1760"/>
        <w:spacing w:after="0"/>
        <w:tabs>
          <w:tab w:leader="none" w:pos="3940" w:val="left"/>
          <w:tab w:leader="none" w:pos="82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Notice of Swingline Loans by the Borrower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 request a Swingline Loan, the</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Borrower shall notify the Administrative Agent of such request by telephone (confirmed by telecopy) not later than 2:00 p.m.,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by remittance to the applicable Issuing Bank) by 3:00 p.m., Atlanta, Georgia time, on the requested date of such Swingline Loan.</w:t>
      </w:r>
    </w:p>
    <w:p>
      <w:pPr>
        <w:spacing w:after="0" w:line="155"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Participations by Lenders in Swingline Loans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any Swingline</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Lender may by written notice given to the Administrative Agent not later than 10:00 a.m., Atlanta, Georgia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Swingline Loan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if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would not be satisfied in respect of a Borrowing at the time such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7" w:name="page198"/>
    <w:bookmarkEnd w:id="197"/>
    <w:p>
      <w:pPr>
        <w:jc w:val="both"/>
        <w:spacing w:after="0" w:line="236" w:lineRule="auto"/>
        <w:rPr>
          <w:sz w:val="20"/>
          <w:szCs w:val="20"/>
          <w:color w:val="auto"/>
        </w:rPr>
      </w:pPr>
      <w:r>
        <w:rPr>
          <w:rFonts w:ascii="Arial" w:cs="Arial" w:eastAsia="Arial" w:hAnsi="Arial"/>
          <w:sz w:val="22"/>
          <w:szCs w:val="22"/>
          <w:color w:val="auto"/>
        </w:rPr>
        <w:t>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88"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Subject to the foregoing and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each Lender acknowledges and agrees that its obligation to acquire participations in Swingline Loans pursuant to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w:t>
      </w:r>
      <w:r>
        <w:rPr>
          <w:rFonts w:ascii="Arial" w:cs="Arial" w:eastAsia="Arial" w:hAnsi="Arial"/>
          <w:sz w:val="19"/>
          <w:szCs w:val="19"/>
          <w:color w:val="auto"/>
        </w:rPr>
        <w:t xml:space="preserve"> </w:t>
      </w:r>
      <w:r>
        <w:rPr>
          <w:rFonts w:ascii="Arial" w:cs="Arial" w:eastAsia="Arial" w:hAnsi="Arial"/>
          <w:sz w:val="19"/>
          <w:szCs w:val="19"/>
          <w:u w:val="single" w:color="auto"/>
          <w:color w:val="auto"/>
        </w:rPr>
        <w:t>mutandis</w:t>
      </w:r>
      <w:r>
        <w:rPr>
          <w:rFonts w:ascii="Arial" w:cs="Arial" w:eastAsia="Arial" w:hAnsi="Arial"/>
          <w:sz w:val="19"/>
          <w:szCs w:val="19"/>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62" w:lineRule="exact"/>
        <w:rPr>
          <w:sz w:val="20"/>
          <w:szCs w:val="20"/>
          <w:color w:val="auto"/>
        </w:rPr>
      </w:pPr>
    </w:p>
    <w:p>
      <w:pPr>
        <w:ind w:left="1760"/>
        <w:spacing w:after="0"/>
        <w:tabs>
          <w:tab w:leader="none" w:pos="3940" w:val="left"/>
          <w:tab w:leader="none" w:pos="88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Resignation and Replacement of Swingline Lender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Any Swingline Lender may</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Arial" w:cs="Arial" w:eastAsia="Arial" w:hAnsi="Arial"/>
          <w:sz w:val="19"/>
          <w:szCs w:val="19"/>
          <w:u w:val="single" w:color="auto"/>
          <w:color w:val="auto"/>
        </w:rPr>
        <w:t>Section 2.19(a)</w:t>
      </w:r>
      <w:r>
        <w:rPr>
          <w:rFonts w:ascii="Arial" w:cs="Arial" w:eastAsia="Arial" w:hAnsi="Arial"/>
          <w:sz w:val="19"/>
          <w:szCs w:val="19"/>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8" w:name="page199"/>
    <w:bookmarkEnd w:id="198"/>
    <w:p>
      <w:pPr>
        <w:jc w:val="both"/>
        <w:spacing w:after="0" w:line="235" w:lineRule="auto"/>
        <w:rPr>
          <w:sz w:val="20"/>
          <w:szCs w:val="20"/>
          <w:color w:val="auto"/>
        </w:rPr>
      </w:pPr>
      <w:r>
        <w:rPr>
          <w:rFonts w:ascii="Arial" w:cs="Arial" w:eastAsia="Arial" w:hAnsi="Arial"/>
          <w:sz w:val="22"/>
          <w:szCs w:val="22"/>
          <w:color w:val="auto"/>
        </w:rPr>
        <w:t>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terms and conditions set forth herein, in addition to the Loans provided for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Arial" w:cs="Arial" w:eastAsia="Arial" w:hAnsi="Arial"/>
          <w:sz w:val="21"/>
          <w:szCs w:val="21"/>
          <w:u w:val="single" w:color="auto"/>
          <w:color w:val="auto"/>
        </w:rPr>
        <w:t>Section 2.05</w:t>
      </w:r>
      <w:r>
        <w:rPr>
          <w:rFonts w:ascii="Arial" w:cs="Arial" w:eastAsia="Arial" w:hAnsi="Arial"/>
          <w:sz w:val="21"/>
          <w:szCs w:val="21"/>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90"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Notice of Issuance, Amendment, Renewal or Extension</w:t>
      </w:r>
      <w:r>
        <w:rPr>
          <w:rFonts w:ascii="Arial" w:cs="Arial" w:eastAsia="Arial" w:hAnsi="Arial"/>
          <w:sz w:val="19"/>
          <w:szCs w:val="19"/>
          <w:color w:val="auto"/>
        </w:rPr>
        <w:t>. To request the issuance of a</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200" w:lineRule="exact"/>
        <w:rPr>
          <w:sz w:val="20"/>
          <w:szCs w:val="20"/>
          <w:color w:val="auto"/>
        </w:rPr>
      </w:pPr>
    </w:p>
    <w:p>
      <w:pPr>
        <w:spacing w:after="0" w:line="209"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Limitations on Amounts</w:t>
      </w:r>
      <w:r>
        <w:rPr>
          <w:rFonts w:ascii="Arial" w:cs="Arial" w:eastAsia="Arial" w:hAnsi="Arial"/>
          <w:sz w:val="22"/>
          <w:szCs w:val="22"/>
          <w:color w:val="auto"/>
        </w:rPr>
        <w:t>. A Letter of Credit shall be issued, amended, renewed or extended only if (and upon issuance, amendment, renewal or extension of each Letter of Credit the Borrower shall be deemed to represent and warrant that), after giving effect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9" w:name="page200"/>
    <w:bookmarkEnd w:id="199"/>
    <w:p>
      <w:pPr>
        <w:jc w:val="both"/>
        <w:spacing w:after="0" w:line="273" w:lineRule="auto"/>
        <w:rPr>
          <w:sz w:val="20"/>
          <w:szCs w:val="20"/>
          <w:color w:val="auto"/>
        </w:rPr>
      </w:pPr>
      <w:r>
        <w:rPr>
          <w:rFonts w:ascii="Arial" w:cs="Arial" w:eastAsia="Arial" w:hAnsi="Arial"/>
          <w:sz w:val="19"/>
          <w:szCs w:val="19"/>
          <w:color w:val="auto"/>
        </w:rPr>
        <w:t xml:space="preserve">issuance, amendment, renewal or extension (i) the aggregate LC Exposure of the applicable Issuing Bank requested to issue such Letter of Credit (determined for these purposes without giving effect to the participations therein of the Lenders pursuant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shall not exceed the amount set forth opposite the name of such Issuing Bank on </w:t>
      </w:r>
      <w:r>
        <w:rPr>
          <w:rFonts w:ascii="Arial" w:cs="Arial" w:eastAsia="Arial" w:hAnsi="Arial"/>
          <w:sz w:val="19"/>
          <w:szCs w:val="19"/>
          <w:u w:val="single" w:color="auto"/>
          <w:color w:val="auto"/>
        </w:rPr>
        <w:t>Schedule 2.05</w:t>
      </w:r>
      <w:r>
        <w:rPr>
          <w:rFonts w:ascii="Arial" w:cs="Arial" w:eastAsia="Arial" w:hAnsi="Arial"/>
          <w:sz w:val="19"/>
          <w:szCs w:val="19"/>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62"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85"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Letter of Credit pursuant to this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if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0" w:name="page201"/>
    <w:bookmarkEnd w:id="200"/>
    <w:p>
      <w:pPr>
        <w:jc w:val="both"/>
        <w:spacing w:after="0" w:line="297" w:lineRule="auto"/>
        <w:rPr>
          <w:sz w:val="20"/>
          <w:szCs w:val="20"/>
          <w:color w:val="auto"/>
        </w:rPr>
      </w:pPr>
      <w:r>
        <w:rPr>
          <w:rFonts w:ascii="Arial" w:cs="Arial" w:eastAsia="Arial" w:hAnsi="Arial"/>
          <w:sz w:val="19"/>
          <w:szCs w:val="19"/>
          <w:color w:val="auto"/>
        </w:rPr>
        <w:t>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34"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with respect to Loans made by such Lender (and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shall apply, </w:t>
      </w:r>
      <w:r>
        <w:rPr>
          <w:rFonts w:ascii="Arial" w:cs="Arial" w:eastAsia="Arial" w:hAnsi="Arial"/>
          <w:sz w:val="21"/>
          <w:szCs w:val="21"/>
          <w:u w:val="single" w:color="auto"/>
          <w:color w:val="auto"/>
        </w:rPr>
        <w:t>mutatis mutandis</w:t>
      </w:r>
      <w:r>
        <w:rPr>
          <w:rFonts w:ascii="Arial" w:cs="Arial" w:eastAsia="Arial" w:hAnsi="Arial"/>
          <w:sz w:val="21"/>
          <w:szCs w:val="21"/>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95"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(f) </w:t>
      </w:r>
      <w:r>
        <w:rPr>
          <w:rFonts w:ascii="Arial" w:cs="Arial" w:eastAsia="Arial" w:hAnsi="Arial"/>
          <w:sz w:val="21"/>
          <w:szCs w:val="21"/>
          <w:u w:val="single" w:color="auto"/>
          <w:color w:val="auto"/>
        </w:rPr>
        <w:t>Reimbursement</w:t>
      </w:r>
      <w:r>
        <w:rPr>
          <w:rFonts w:ascii="Arial" w:cs="Arial" w:eastAsia="Arial" w:hAnsi="Arial"/>
          <w:sz w:val="21"/>
          <w:szCs w:val="21"/>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2.04</w:t>
      </w:r>
      <w:r>
        <w:rPr>
          <w:rFonts w:ascii="Arial" w:cs="Arial" w:eastAsia="Arial" w:hAnsi="Arial"/>
          <w:sz w:val="21"/>
          <w:szCs w:val="21"/>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2"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1" w:name="page202"/>
    <w:bookmarkEnd w:id="201"/>
    <w:p>
      <w:pPr>
        <w:jc w:val="both"/>
        <w:ind w:firstLine="1755"/>
        <w:spacing w:after="0" w:line="233"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Obligations Absolute</w:t>
      </w:r>
      <w:r>
        <w:rPr>
          <w:rFonts w:ascii="Arial" w:cs="Arial" w:eastAsia="Arial" w:hAnsi="Arial"/>
          <w:sz w:val="22"/>
          <w:szCs w:val="22"/>
          <w:color w:val="auto"/>
        </w:rPr>
        <w:t xml:space="preserve">. The Borrower’s obligation to reimburse LC Disbursements as provided in </w:t>
      </w:r>
      <w:r>
        <w:rPr>
          <w:rFonts w:ascii="Arial" w:cs="Arial" w:eastAsia="Arial" w:hAnsi="Arial"/>
          <w:sz w:val="22"/>
          <w:szCs w:val="22"/>
          <w:u w:val="single" w:color="auto"/>
          <w:color w:val="auto"/>
        </w:rPr>
        <w:t>paragraph (f)</w:t>
      </w:r>
      <w:r>
        <w:rPr>
          <w:rFonts w:ascii="Arial" w:cs="Arial" w:eastAsia="Arial" w:hAnsi="Arial"/>
          <w:sz w:val="22"/>
          <w:szCs w:val="22"/>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94"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90"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(i) 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5"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(ii) the Issuing Banks shall have the right, in their sole discretion, to decline to accept such documents and to make such payment if such documents are not in strict compliance with the terms of such Letter of Credit; and</w:t>
      </w:r>
    </w:p>
    <w:p>
      <w:pPr>
        <w:spacing w:after="0" w:line="186"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(iii) 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u w:val="single" w:color="auto"/>
          <w:color w:val="auto"/>
        </w:rPr>
        <w:t>Disbursement Procedures</w:t>
      </w:r>
      <w:r>
        <w:rPr>
          <w:rFonts w:ascii="Arial" w:cs="Arial" w:eastAsia="Arial" w:hAnsi="Arial"/>
          <w:sz w:val="22"/>
          <w:szCs w:val="22"/>
          <w:color w:val="auto"/>
        </w:rPr>
        <w:t>.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2" w:name="page203"/>
    <w:bookmarkEnd w:id="202"/>
    <w:p>
      <w:pPr>
        <w:jc w:val="both"/>
        <w:spacing w:after="0" w:line="258" w:lineRule="auto"/>
        <w:rPr>
          <w:sz w:val="20"/>
          <w:szCs w:val="20"/>
          <w:color w:val="auto"/>
        </w:rPr>
      </w:pPr>
      <w:r>
        <w:rPr>
          <w:rFonts w:ascii="Arial" w:cs="Arial" w:eastAsia="Arial" w:hAnsi="Arial"/>
          <w:sz w:val="21"/>
          <w:szCs w:val="21"/>
          <w:color w:val="auto"/>
        </w:rPr>
        <w:t xml:space="preserve">telephone (confirmed by telecopy) of such demand for payment and whether such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67"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within two Business Days following the date when due pursuant to </w:t>
      </w:r>
      <w:r>
        <w:rPr>
          <w:rFonts w:ascii="Arial" w:cs="Arial" w:eastAsia="Arial" w:hAnsi="Arial"/>
          <w:sz w:val="19"/>
          <w:szCs w:val="19"/>
          <w:u w:val="single" w:color="auto"/>
          <w:color w:val="auto"/>
        </w:rPr>
        <w:t>paragraph</w:t>
      </w:r>
    </w:p>
    <w:p>
      <w:pPr>
        <w:spacing w:after="0" w:line="4" w:lineRule="exact"/>
        <w:rPr>
          <w:sz w:val="20"/>
          <w:szCs w:val="20"/>
          <w:color w:val="auto"/>
        </w:rPr>
      </w:pPr>
    </w:p>
    <w:p>
      <w:pPr>
        <w:jc w:val="both"/>
        <w:ind w:firstLine="8"/>
        <w:spacing w:after="0" w:line="287" w:lineRule="auto"/>
        <w:tabs>
          <w:tab w:leader="none" w:pos="302" w:val="left"/>
        </w:tabs>
        <w:numPr>
          <w:ilvl w:val="0"/>
          <w:numId w:val="123"/>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then the provisions of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shall apply. Interest accrued pursuant to this paragraph shall be for account of the applicable Issuing Bank, except that interest accrued on and after the date of payment by any Lender pursuant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to reimburse such Issuing Bank shall be for account of such Lender to the extent of such payment.</w:t>
      </w:r>
    </w:p>
    <w:p>
      <w:pPr>
        <w:spacing w:after="0" w:line="144"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9"/>
          <w:szCs w:val="19"/>
          <w:u w:val="single" w:color="auto"/>
          <w:color w:val="auto"/>
        </w:rPr>
        <w:t>Resignation and/or Replacement of an Issuing Bank</w:t>
      </w:r>
      <w:r>
        <w:rPr>
          <w:rFonts w:ascii="Arial" w:cs="Arial" w:eastAsia="Arial" w:hAnsi="Arial"/>
          <w:sz w:val="19"/>
          <w:szCs w:val="19"/>
          <w:color w:val="auto"/>
        </w:rPr>
        <w:t>. An Issuing Bank may resign and</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6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u w:val="single" w:color="auto"/>
          <w:color w:val="auto"/>
        </w:rPr>
        <w:t>Cash Collateralization</w:t>
      </w:r>
      <w:r>
        <w:rPr>
          <w:rFonts w:ascii="Arial" w:cs="Arial" w:eastAsia="Arial" w:hAnsi="Arial"/>
          <w:sz w:val="22"/>
          <w:szCs w:val="22"/>
          <w:color w:val="auto"/>
        </w:rPr>
        <w:t xml:space="preserve">. If the Borrower shall be required to provide Cash Collateral for LC Exposure pursuant to </w:t>
      </w:r>
      <w:r>
        <w:rPr>
          <w:rFonts w:ascii="Arial" w:cs="Arial" w:eastAsia="Arial" w:hAnsi="Arial"/>
          <w:sz w:val="22"/>
          <w:szCs w:val="22"/>
          <w:u w:val="single" w:color="auto"/>
          <w:color w:val="auto"/>
        </w:rPr>
        <w:t>Section 2.05(d)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2.10(b)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Article VII</w:t>
      </w:r>
      <w:r>
        <w:rPr>
          <w:rFonts w:ascii="Arial" w:cs="Arial" w:eastAsia="Arial" w:hAnsi="Arial"/>
          <w:sz w:val="22"/>
          <w:szCs w:val="22"/>
          <w:color w:val="auto"/>
        </w:rPr>
        <w:t>, the Borrower shall immediately deposit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03" w:name="page204"/>
    <w:bookmarkEnd w:id="203"/>
    <w:p>
      <w:pPr>
        <w:jc w:val="both"/>
        <w:spacing w:after="0" w:line="246" w:lineRule="auto"/>
        <w:rPr>
          <w:sz w:val="20"/>
          <w:szCs w:val="20"/>
          <w:color w:val="auto"/>
        </w:rPr>
      </w:pPr>
      <w:r>
        <w:rPr>
          <w:rFonts w:ascii="Arial" w:cs="Arial" w:eastAsia="Arial" w:hAnsi="Arial"/>
          <w:sz w:val="21"/>
          <w:szCs w:val="21"/>
          <w:color w:val="auto"/>
        </w:rPr>
        <w:t>segregated collateral account or accounts (herein, collectively, the “</w:t>
      </w:r>
      <w:r>
        <w:rPr>
          <w:rFonts w:ascii="Arial" w:cs="Arial" w:eastAsia="Arial" w:hAnsi="Arial"/>
          <w:sz w:val="21"/>
          <w:szCs w:val="21"/>
          <w:u w:val="single" w:color="auto"/>
          <w:color w:val="auto"/>
        </w:rPr>
        <w:t>Letter of Credit Collateral Account</w:t>
      </w:r>
      <w:r>
        <w:rPr>
          <w:rFonts w:ascii="Arial" w:cs="Arial" w:eastAsia="Arial" w:hAnsi="Arial"/>
          <w:sz w:val="21"/>
          <w:szCs w:val="21"/>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or the last paragraph of </w:t>
      </w:r>
      <w:r>
        <w:rPr>
          <w:rFonts w:ascii="Arial" w:cs="Arial" w:eastAsia="Arial" w:hAnsi="Arial"/>
          <w:sz w:val="21"/>
          <w:szCs w:val="21"/>
          <w:u w:val="single" w:color="auto"/>
          <w:color w:val="auto"/>
        </w:rPr>
        <w:t>Article VII</w:t>
      </w:r>
      <w:r>
        <w:rPr>
          <w:rFonts w:ascii="Arial" w:cs="Arial" w:eastAsia="Arial" w:hAnsi="Arial"/>
          <w:sz w:val="21"/>
          <w:szCs w:val="21"/>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81"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(l) </w:t>
      </w:r>
      <w:r>
        <w:rPr>
          <w:rFonts w:ascii="Arial" w:cs="Arial" w:eastAsia="Arial" w:hAnsi="Arial"/>
          <w:sz w:val="22"/>
          <w:szCs w:val="22"/>
          <w:u w:val="single" w:color="auto"/>
          <w:color w:val="auto"/>
        </w:rPr>
        <w:t>Additional Issuing Banks</w:t>
      </w:r>
      <w:r>
        <w:rPr>
          <w:rFonts w:ascii="Arial" w:cs="Arial" w:eastAsia="Arial" w:hAnsi="Arial"/>
          <w:sz w:val="22"/>
          <w:szCs w:val="22"/>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notice shall include an updated Schedule 2.05;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9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Funding by Lenders</w:t>
      </w:r>
      <w:r>
        <w:rPr>
          <w:rFonts w:ascii="Arial" w:cs="Arial" w:eastAsia="Arial" w:hAnsi="Arial"/>
          <w:sz w:val="21"/>
          <w:szCs w:val="21"/>
          <w:color w:val="auto"/>
        </w:rPr>
        <w:t xml:space="preserve">. Each Lender shall make each Loan to be made by it hereunder on the proposed date thereof by wire transfer of immediately available funds by (i) in the case of any Loan (other than a Syndicated ABR Borrowing), 11:00 a.m. Atlanta, Georgia time, and (ii) in the case of any Loan that is a Syndicated ABR Borrowing, 1:00 p.m. Atlanta, Georgia time, in each case, to the account of the Administrative Agent most recently designated by it for such purpose by notice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Swingline Loans shall be made as provided in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Syndicated ABR Borrowings made to finance the reimbursement of an LC Disbursement as provided in </w:t>
      </w:r>
      <w:r>
        <w:rPr>
          <w:rFonts w:ascii="Arial" w:cs="Arial" w:eastAsia="Arial" w:hAnsi="Arial"/>
          <w:sz w:val="21"/>
          <w:szCs w:val="21"/>
          <w:u w:val="single" w:color="auto"/>
          <w:color w:val="auto"/>
        </w:rPr>
        <w:t>Section 2.05(f)</w:t>
      </w:r>
      <w:r>
        <w:rPr>
          <w:rFonts w:ascii="Arial" w:cs="Arial" w:eastAsia="Arial" w:hAnsi="Arial"/>
          <w:sz w:val="21"/>
          <w:szCs w:val="21"/>
          <w:color w:val="auto"/>
        </w:rPr>
        <w:t xml:space="preserve"> shall be remitted by the Administrative Agent to the applicable Issuing Bank.</w:t>
      </w:r>
    </w:p>
    <w:p>
      <w:pPr>
        <w:spacing w:after="0" w:line="185"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Presumption by the Administrative Agent</w:t>
      </w:r>
      <w:r>
        <w:rPr>
          <w:rFonts w:ascii="Arial" w:cs="Arial" w:eastAsia="Arial" w:hAnsi="Arial"/>
          <w:sz w:val="21"/>
          <w:szCs w:val="21"/>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4" w:name="page205"/>
    <w:bookmarkEnd w:id="204"/>
    <w:p>
      <w:pPr>
        <w:jc w:val="both"/>
        <w:spacing w:after="0" w:line="249" w:lineRule="auto"/>
        <w:rPr>
          <w:sz w:val="20"/>
          <w:szCs w:val="20"/>
          <w:color w:val="auto"/>
        </w:rPr>
      </w:pPr>
      <w:r>
        <w:rPr>
          <w:rFonts w:ascii="Arial" w:cs="Arial" w:eastAsia="Arial" w:hAnsi="Arial"/>
          <w:sz w:val="21"/>
          <w:szCs w:val="21"/>
          <w:color w:val="auto"/>
        </w:rPr>
        <w:t>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Elections by the Borrower for Syndicated Borrowings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2.03(d)</w:t>
      </w:r>
      <w:r>
        <w:rPr>
          <w:rFonts w:ascii="Arial" w:cs="Arial" w:eastAsia="Arial" w:hAnsi="Arial"/>
          <w:sz w:val="19"/>
          <w:szCs w:val="19"/>
          <w:color w:val="auto"/>
        </w:rPr>
        <w:t>, the</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63"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Notice of Elections</w:t>
      </w:r>
      <w:r>
        <w:rPr>
          <w:rFonts w:ascii="Arial" w:cs="Arial" w:eastAsia="Arial" w:hAnsi="Arial"/>
          <w:sz w:val="19"/>
          <w:szCs w:val="19"/>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53"/>
        </w:trPr>
        <w:tc>
          <w:tcPr>
            <w:tcW w:w="2920" w:type="dxa"/>
            <w:vAlign w:val="bottom"/>
          </w:tcPr>
          <w:p>
            <w:pPr>
              <w:ind w:left="1760"/>
              <w:spacing w:after="0"/>
              <w:rPr>
                <w:sz w:val="20"/>
                <w:szCs w:val="20"/>
                <w:color w:val="auto"/>
              </w:rPr>
            </w:pPr>
            <w:r>
              <w:rPr>
                <w:rFonts w:ascii="Arial" w:cs="Arial" w:eastAsia="Arial" w:hAnsi="Arial"/>
                <w:sz w:val="22"/>
                <w:szCs w:val="22"/>
                <w:color w:val="auto"/>
              </w:rPr>
              <w:t>(c)</w:t>
            </w:r>
          </w:p>
        </w:tc>
        <w:tc>
          <w:tcPr>
            <w:tcW w:w="1020" w:type="dxa"/>
            <w:vAlign w:val="bottom"/>
          </w:tcPr>
          <w:p>
            <w:pPr>
              <w:spacing w:after="0"/>
              <w:rPr>
                <w:sz w:val="21"/>
                <w:szCs w:val="21"/>
                <w:color w:val="auto"/>
              </w:rPr>
            </w:pPr>
          </w:p>
        </w:tc>
        <w:tc>
          <w:tcPr>
            <w:tcW w:w="7460" w:type="dxa"/>
            <w:vAlign w:val="bottom"/>
            <w:gridSpan w:val="4"/>
          </w:tcPr>
          <w:p>
            <w:pPr>
              <w:jc w:val="right"/>
              <w:spacing w:after="0"/>
              <w:rPr>
                <w:sz w:val="20"/>
                <w:szCs w:val="20"/>
                <w:color w:val="auto"/>
              </w:rPr>
            </w:pPr>
            <w:r>
              <w:rPr>
                <w:rFonts w:ascii="Arial" w:cs="Arial" w:eastAsia="Arial" w:hAnsi="Arial"/>
                <w:sz w:val="22"/>
                <w:szCs w:val="22"/>
                <w:color w:val="auto"/>
                <w:w w:val="91"/>
              </w:rPr>
              <w:t>Content of Interest Election Requests. Each telephonic and written Interest Election</w:t>
            </w:r>
          </w:p>
        </w:tc>
      </w:tr>
      <w:tr>
        <w:trPr>
          <w:trHeight w:val="20"/>
        </w:trPr>
        <w:tc>
          <w:tcPr>
            <w:tcW w:w="3940" w:type="dxa"/>
            <w:vAlign w:val="bottom"/>
            <w:gridSpan w:val="2"/>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3"/>
        </w:trPr>
        <w:tc>
          <w:tcPr>
            <w:tcW w:w="11400" w:type="dxa"/>
            <w:vAlign w:val="bottom"/>
            <w:gridSpan w:val="6"/>
          </w:tcPr>
          <w:p>
            <w:pPr>
              <w:jc w:val="right"/>
              <w:ind w:right="4360"/>
              <w:spacing w:after="0" w:line="223" w:lineRule="exact"/>
              <w:rPr>
                <w:sz w:val="20"/>
                <w:szCs w:val="20"/>
                <w:color w:val="auto"/>
              </w:rPr>
            </w:pPr>
            <w:r>
              <w:rPr>
                <w:rFonts w:ascii="Arial" w:cs="Arial" w:eastAsia="Arial" w:hAnsi="Arial"/>
                <w:sz w:val="22"/>
                <w:szCs w:val="22"/>
                <w:color w:val="auto"/>
                <w:w w:val="90"/>
              </w:rPr>
              <w:t>Request shall specify the following information in compliance with Section 2.02:</w:t>
            </w:r>
          </w:p>
        </w:tc>
      </w:tr>
      <w:tr>
        <w:trPr>
          <w:trHeight w:val="20"/>
        </w:trPr>
        <w:tc>
          <w:tcPr>
            <w:tcW w:w="29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476"/>
        </w:trPr>
        <w:tc>
          <w:tcPr>
            <w:tcW w:w="2920" w:type="dxa"/>
            <w:vAlign w:val="bottom"/>
          </w:tcPr>
          <w:p>
            <w:pPr>
              <w:ind w:left="1700"/>
              <w:spacing w:after="0"/>
              <w:rPr>
                <w:sz w:val="20"/>
                <w:szCs w:val="20"/>
                <w:color w:val="auto"/>
              </w:rPr>
            </w:pPr>
            <w:r>
              <w:rPr>
                <w:rFonts w:ascii="Arial" w:cs="Arial" w:eastAsia="Arial" w:hAnsi="Arial"/>
                <w:sz w:val="22"/>
                <w:szCs w:val="22"/>
                <w:color w:val="auto"/>
              </w:rPr>
              <w:t>(i)</w:t>
            </w:r>
          </w:p>
        </w:tc>
        <w:tc>
          <w:tcPr>
            <w:tcW w:w="8480" w:type="dxa"/>
            <w:vAlign w:val="bottom"/>
            <w:gridSpan w:val="5"/>
          </w:tcPr>
          <w:p>
            <w:pPr>
              <w:jc w:val="right"/>
              <w:spacing w:after="0"/>
              <w:rPr>
                <w:sz w:val="20"/>
                <w:szCs w:val="20"/>
                <w:color w:val="auto"/>
              </w:rPr>
            </w:pPr>
            <w:r>
              <w:rPr>
                <w:rFonts w:ascii="Arial" w:cs="Arial" w:eastAsia="Arial" w:hAnsi="Arial"/>
                <w:sz w:val="22"/>
                <w:szCs w:val="22"/>
                <w:color w:val="auto"/>
              </w:rPr>
              <w:t>the Borrowing (including the Class of Commitment) to which such Interest Election</w:t>
            </w:r>
          </w:p>
        </w:tc>
      </w:tr>
    </w:tbl>
    <w:p>
      <w:pPr>
        <w:ind w:left="880"/>
        <w:spacing w:after="0" w:line="267" w:lineRule="auto"/>
        <w:rPr>
          <w:sz w:val="20"/>
          <w:szCs w:val="20"/>
          <w:color w:val="auto"/>
        </w:rPr>
      </w:pPr>
      <w:r>
        <w:rPr>
          <w:rFonts w:ascii="Arial" w:cs="Arial" w:eastAsia="Arial" w:hAnsi="Arial"/>
          <w:sz w:val="19"/>
          <w:szCs w:val="19"/>
          <w:color w:val="auto"/>
        </w:rPr>
        <w:t xml:space="preserve">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w:t>
      </w:r>
    </w:p>
    <w:p>
      <w:pPr>
        <w:ind w:left="1260" w:hanging="375"/>
        <w:spacing w:after="0"/>
        <w:tabs>
          <w:tab w:leader="none" w:pos="1260" w:val="left"/>
        </w:tabs>
        <w:numPr>
          <w:ilvl w:val="0"/>
          <w:numId w:val="124"/>
        </w:numPr>
        <w:rPr>
          <w:rFonts w:ascii="Arial" w:cs="Arial" w:eastAsia="Arial" w:hAnsi="Arial"/>
          <w:sz w:val="22"/>
          <w:szCs w:val="22"/>
          <w:u w:val="single" w:color="auto"/>
          <w:color w:val="auto"/>
        </w:rPr>
      </w:pPr>
      <w:r>
        <w:rPr>
          <w:rFonts w:ascii="Arial" w:cs="Arial" w:eastAsia="Arial" w:hAnsi="Arial"/>
          <w:sz w:val="22"/>
          <w:szCs w:val="22"/>
          <w:color w:val="auto"/>
        </w:rPr>
        <w:t>of this paragraph shall be specified for each resulting Borrowing);</w:t>
      </w:r>
    </w:p>
    <w:p>
      <w:pPr>
        <w:sectPr>
          <w:pgSz w:w="11900" w:h="16838" w:orient="portrait"/>
          <w:cols w:equalWidth="0" w:num="1">
            <w:col w:w="11420"/>
          </w:cols>
          <w:pgMar w:left="240" w:top="305" w:right="239" w:bottom="1440" w:gutter="0" w:footer="0" w:header="0"/>
        </w:sectPr>
      </w:pPr>
    </w:p>
    <w:p>
      <w:pPr>
        <w:spacing w:after="0" w:line="18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(ii)</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which shall be a Business Day;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effective date of the election made pursuant to such Interest Election Request,</w:t>
      </w:r>
    </w:p>
    <w:p>
      <w:pPr>
        <w:spacing w:after="0" w:line="461" w:lineRule="exact"/>
        <w:rPr>
          <w:sz w:val="20"/>
          <w:szCs w:val="20"/>
          <w:color w:val="auto"/>
        </w:rPr>
      </w:pPr>
    </w:p>
    <w:p>
      <w:pPr>
        <w:sectPr>
          <w:pgSz w:w="11900" w:h="16838" w:orient="portrait"/>
          <w:cols w:equalWidth="0" w:num="2">
            <w:col w:w="3580" w:space="320"/>
            <w:col w:w="7520"/>
          </w:cols>
          <w:pgMar w:left="240" w:top="305" w:right="239" w:bottom="1440" w:gutter="0" w:footer="0" w:header="0"/>
          <w:type w:val="continuous"/>
        </w:sectPr>
      </w:pPr>
    </w:p>
    <w:p>
      <w:pPr>
        <w:spacing w:after="0" w:line="23" w:lineRule="exact"/>
        <w:rPr>
          <w:sz w:val="20"/>
          <w:szCs w:val="20"/>
          <w:color w:val="auto"/>
        </w:rPr>
      </w:pPr>
    </w:p>
    <w:p>
      <w:pPr>
        <w:ind w:left="880" w:right="20" w:firstLine="810"/>
        <w:spacing w:after="0" w:line="251" w:lineRule="auto"/>
        <w:rPr>
          <w:sz w:val="20"/>
          <w:szCs w:val="20"/>
          <w:color w:val="auto"/>
        </w:rPr>
      </w:pPr>
      <w:r>
        <w:rPr>
          <w:rFonts w:ascii="Arial" w:cs="Arial" w:eastAsia="Arial" w:hAnsi="Arial"/>
          <w:sz w:val="22"/>
          <w:szCs w:val="22"/>
          <w:color w:val="auto"/>
        </w:rPr>
        <w:t>(iii) whether, in the case of a Borrowing denominated in Dollars, the resulting Borrowing is to be an ABR Borrowing or a Eurocurrency Borrowing; and</w:t>
      </w:r>
    </w:p>
    <w:p>
      <w:pPr>
        <w:spacing w:after="0" w:line="173"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if the resulting Borrowing is a Eurocurrency Borrowing, the Interest Period therefor</w:t>
      </w:r>
    </w:p>
    <w:p>
      <w:pPr>
        <w:sectPr>
          <w:pgSz w:w="11900" w:h="16838" w:orient="portrait"/>
          <w:cols w:equalWidth="0" w:num="1">
            <w:col w:w="11420"/>
          </w:cols>
          <w:pgMar w:left="240" w:top="305" w:right="239" w:bottom="1440" w:gutter="0" w:footer="0" w:header="0"/>
          <w:type w:val="continuous"/>
        </w:sectPr>
      </w:pPr>
    </w:p>
    <w:p>
      <w:pPr>
        <w:spacing w:after="0" w:line="56" w:lineRule="exact"/>
        <w:rPr>
          <w:sz w:val="20"/>
          <w:szCs w:val="20"/>
          <w:color w:val="auto"/>
        </w:rPr>
      </w:pPr>
    </w:p>
    <w:p>
      <w:pPr>
        <w:ind w:left="880" w:right="20"/>
        <w:spacing w:after="0" w:line="230" w:lineRule="auto"/>
        <w:rPr>
          <w:sz w:val="20"/>
          <w:szCs w:val="20"/>
          <w:color w:val="auto"/>
        </w:rPr>
      </w:pPr>
      <w:r>
        <w:rPr>
          <w:rFonts w:ascii="Arial" w:cs="Arial" w:eastAsia="Arial" w:hAnsi="Arial"/>
          <w:sz w:val="22"/>
          <w:szCs w:val="22"/>
          <w:color w:val="auto"/>
        </w:rPr>
        <w:t xml:space="preserve">after giving effect to such election, which shall be a period contemplated by the definition of the term “Interest Period” and permitted under </w:t>
      </w:r>
      <w:r>
        <w:rPr>
          <w:rFonts w:ascii="Arial" w:cs="Arial" w:eastAsia="Arial" w:hAnsi="Arial"/>
          <w:sz w:val="22"/>
          <w:szCs w:val="22"/>
          <w:u w:val="single" w:color="auto"/>
          <w:color w:val="auto"/>
        </w:rPr>
        <w:t>Section 2.02(d)</w:t>
      </w:r>
      <w:r>
        <w:rPr>
          <w:rFonts w:ascii="Arial" w:cs="Arial" w:eastAsia="Arial" w:hAnsi="Arial"/>
          <w:sz w:val="22"/>
          <w:szCs w:val="22"/>
          <w:color w:val="auto"/>
        </w:rPr>
        <w:t>.</w:t>
      </w:r>
    </w:p>
    <w:p>
      <w:pPr>
        <w:spacing w:after="0" w:line="186"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u w:val="single" w:color="auto"/>
          <w:color w:val="auto"/>
        </w:rPr>
        <w:t>Notice by the Administrative Agent to the Lenders</w:t>
      </w:r>
      <w:r>
        <w:rPr>
          <w:rFonts w:ascii="Arial" w:cs="Arial" w:eastAsia="Arial" w:hAnsi="Arial"/>
          <w:sz w:val="19"/>
          <w:szCs w:val="19"/>
          <w:color w:val="auto"/>
        </w:rPr>
        <w:t>. Promptly following receipt of an</w:t>
      </w:r>
    </w:p>
    <w:p>
      <w:pPr>
        <w:spacing w:after="0" w:line="43"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Interest Election Request, the Administrative Agent shall advise each applicable Lender of the details thereof and of such Lender’s portion of each resulting Borrowing.</w:t>
      </w:r>
    </w:p>
    <w:p>
      <w:pPr>
        <w:spacing w:after="0" w:line="185"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(e) </w:t>
      </w:r>
      <w:r>
        <w:rPr>
          <w:rFonts w:ascii="Arial" w:cs="Arial" w:eastAsia="Arial" w:hAnsi="Arial"/>
          <w:sz w:val="21"/>
          <w:szCs w:val="21"/>
          <w:u w:val="single" w:color="auto"/>
          <w:color w:val="auto"/>
        </w:rPr>
        <w:t>Failure to Elect; Events of Default</w:t>
      </w:r>
      <w:r>
        <w:rPr>
          <w:rFonts w:ascii="Arial" w:cs="Arial" w:eastAsia="Arial" w:hAnsi="Arial"/>
          <w:sz w:val="21"/>
          <w:szCs w:val="21"/>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Termination, Reduction or Increase of the Commitments</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60"/>
              <w:spacing w:after="0"/>
              <w:rPr>
                <w:sz w:val="20"/>
                <w:szCs w:val="20"/>
                <w:color w:val="auto"/>
              </w:rPr>
            </w:pPr>
            <w:r>
              <w:rPr>
                <w:rFonts w:ascii="Arial" w:cs="Arial" w:eastAsia="Arial" w:hAnsi="Arial"/>
                <w:sz w:val="22"/>
                <w:szCs w:val="22"/>
                <w:color w:val="auto"/>
              </w:rPr>
              <w:t>(a)</w:t>
            </w:r>
          </w:p>
        </w:tc>
        <w:tc>
          <w:tcPr>
            <w:tcW w:w="7480" w:type="dxa"/>
            <w:vAlign w:val="bottom"/>
            <w:gridSpan w:val="3"/>
          </w:tcPr>
          <w:p>
            <w:pPr>
              <w:jc w:val="right"/>
              <w:spacing w:after="0"/>
              <w:rPr>
                <w:sz w:val="20"/>
                <w:szCs w:val="20"/>
                <w:color w:val="auto"/>
              </w:rPr>
            </w:pPr>
            <w:r>
              <w:rPr>
                <w:rFonts w:ascii="Arial" w:cs="Arial" w:eastAsia="Arial" w:hAnsi="Arial"/>
                <w:sz w:val="22"/>
                <w:szCs w:val="22"/>
                <w:color w:val="auto"/>
                <w:w w:val="94"/>
              </w:rPr>
              <w:t>Scheduled Termination.  Unless previously terminated, the Commitments of each</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80" w:type="dxa"/>
            <w:vAlign w:val="bottom"/>
            <w:vMerge w:val="restart"/>
          </w:tcPr>
          <w:p>
            <w:pPr>
              <w:jc w:val="right"/>
              <w:spacing w:after="0"/>
              <w:rPr>
                <w:sz w:val="20"/>
                <w:szCs w:val="20"/>
                <w:color w:val="auto"/>
              </w:rPr>
            </w:pPr>
            <w:r>
              <w:rPr>
                <w:rFonts w:ascii="Arial" w:cs="Arial" w:eastAsia="Arial" w:hAnsi="Arial"/>
                <w:sz w:val="22"/>
                <w:szCs w:val="22"/>
                <w:color w:val="auto"/>
                <w:w w:val="96"/>
              </w:rPr>
              <w:t>shall terminate on the Extended Commitment</w:t>
            </w:r>
          </w:p>
        </w:tc>
        <w:tc>
          <w:tcPr>
            <w:tcW w:w="0" w:type="dxa"/>
            <w:vAlign w:val="bottom"/>
          </w:tcPr>
          <w:p>
            <w:pPr>
              <w:spacing w:after="0" w:line="20" w:lineRule="exact"/>
              <w:rPr>
                <w:sz w:val="1"/>
                <w:szCs w:val="1"/>
                <w:color w:val="auto"/>
              </w:rPr>
            </w:pPr>
          </w:p>
        </w:tc>
      </w:tr>
      <w:tr>
        <w:trPr>
          <w:trHeight w:val="242"/>
        </w:trPr>
        <w:tc>
          <w:tcPr>
            <w:tcW w:w="7140" w:type="dxa"/>
            <w:vAlign w:val="bottom"/>
            <w:gridSpan w:val="3"/>
          </w:tcPr>
          <w:p>
            <w:pPr>
              <w:spacing w:after="0" w:line="242" w:lineRule="exact"/>
              <w:rPr>
                <w:sz w:val="20"/>
                <w:szCs w:val="20"/>
                <w:color w:val="auto"/>
              </w:rPr>
            </w:pPr>
            <w:r>
              <w:rPr>
                <w:rFonts w:ascii="Arial" w:cs="Arial" w:eastAsia="Arial" w:hAnsi="Arial"/>
                <w:sz w:val="22"/>
                <w:szCs w:val="22"/>
                <w:color w:val="auto"/>
                <w:w w:val="97"/>
              </w:rPr>
              <w:t>Extending Lender with respect to such Extending Lender’s Extended Loans</w:t>
            </w:r>
          </w:p>
        </w:tc>
        <w:tc>
          <w:tcPr>
            <w:tcW w:w="4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140" w:type="dxa"/>
            <w:vAlign w:val="bottom"/>
            <w:gridSpan w:val="3"/>
          </w:tcPr>
          <w:p>
            <w:pPr>
              <w:spacing w:after="0"/>
              <w:rPr>
                <w:sz w:val="20"/>
                <w:szCs w:val="20"/>
                <w:color w:val="auto"/>
              </w:rPr>
            </w:pPr>
            <w:r>
              <w:rPr>
                <w:rFonts w:ascii="Arial" w:cs="Arial" w:eastAsia="Arial" w:hAnsi="Arial"/>
                <w:sz w:val="22"/>
                <w:szCs w:val="22"/>
                <w:color w:val="auto"/>
                <w:w w:val="96"/>
              </w:rPr>
              <w:t>Termination Date and the Commitments of each Non-Extending Lender with</w:t>
            </w:r>
          </w:p>
        </w:tc>
        <w:tc>
          <w:tcPr>
            <w:tcW w:w="4280" w:type="dxa"/>
            <w:vAlign w:val="bottom"/>
          </w:tcPr>
          <w:p>
            <w:pPr>
              <w:jc w:val="right"/>
              <w:spacing w:after="0"/>
              <w:rPr>
                <w:sz w:val="20"/>
                <w:szCs w:val="20"/>
                <w:color w:val="auto"/>
              </w:rPr>
            </w:pPr>
            <w:r>
              <w:rPr>
                <w:rFonts w:ascii="Arial" w:cs="Arial" w:eastAsia="Arial" w:hAnsi="Arial"/>
                <w:sz w:val="22"/>
                <w:szCs w:val="22"/>
                <w:color w:val="auto"/>
                <w:w w:val="95"/>
              </w:rPr>
              <w:t>respect to such Non-Extending Lender’s Non-</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1"/>
          <w:szCs w:val="21"/>
          <w:color w:val="auto"/>
        </w:rPr>
        <w:t>Extended Loans shall terminate on the Non-Extended Commitment Termination Date for such Non-Extending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type w:val="continuous"/>
        </w:sectPr>
      </w:pPr>
    </w:p>
    <w:bookmarkStart w:id="206" w:name="page207"/>
    <w:bookmarkEnd w:id="206"/>
    <w:p>
      <w:pPr>
        <w:jc w:val="both"/>
        <w:ind w:firstLine="1755"/>
        <w:spacing w:after="0" w:line="275"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Voluntary Termination or Reduction</w:t>
      </w:r>
      <w:r>
        <w:rPr>
          <w:rFonts w:ascii="Arial" w:cs="Arial" w:eastAsia="Arial" w:hAnsi="Arial"/>
          <w:sz w:val="19"/>
          <w:szCs w:val="19"/>
          <w:color w:val="auto"/>
        </w:rPr>
        <w:t xml:space="preserve">. The Borrower may at any time terminate, or from time to time reduce, the Commitments of either Class of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9"/>
          <w:szCs w:val="19"/>
          <w:u w:val="single" w:color="auto"/>
          <w:color w:val="auto"/>
        </w:rPr>
        <w:t>Section 2.04(a)(i)</w:t>
      </w:r>
      <w:r>
        <w:rPr>
          <w:rFonts w:ascii="Arial" w:cs="Arial" w:eastAsia="Arial" w:hAnsi="Arial"/>
          <w:sz w:val="19"/>
          <w:szCs w:val="19"/>
          <w:color w:val="auto"/>
        </w:rPr>
        <w:t xml:space="preserve"> and the Letters of Credit permitted under </w:t>
      </w:r>
      <w:r>
        <w:rPr>
          <w:rFonts w:ascii="Arial" w:cs="Arial" w:eastAsia="Arial" w:hAnsi="Arial"/>
          <w:sz w:val="19"/>
          <w:szCs w:val="19"/>
          <w:u w:val="single" w:color="auto"/>
          <w:color w:val="auto"/>
        </w:rPr>
        <w:t>Section 2.05(c)(i)</w:t>
      </w:r>
      <w:r>
        <w:rPr>
          <w:rFonts w:ascii="Arial" w:cs="Arial" w:eastAsia="Arial" w:hAnsi="Arial"/>
          <w:sz w:val="19"/>
          <w:szCs w:val="19"/>
          <w:color w:val="auto"/>
        </w:rPr>
        <w:t xml:space="preserve"> shall result in a dollar-for-dollar reduction of such amounts as applicable.</w:t>
      </w:r>
    </w:p>
    <w:p>
      <w:pPr>
        <w:spacing w:after="0" w:line="158" w:lineRule="exact"/>
        <w:rPr>
          <w:sz w:val="20"/>
          <w:szCs w:val="20"/>
          <w:color w:val="auto"/>
        </w:rPr>
      </w:pPr>
    </w:p>
    <w:p>
      <w:pPr>
        <w:ind w:left="1760"/>
        <w:spacing w:after="0"/>
        <w:tabs>
          <w:tab w:leader="none" w:pos="3920" w:val="left"/>
          <w:tab w:leader="none" w:pos="8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u w:val="single" w:color="auto"/>
          <w:color w:val="auto"/>
        </w:rPr>
        <w:t>Notice of Voluntary Termination or Reduction</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 Borrower shall notify the</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Administrative Agent of any election to terminate or reduce the Commitments under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1"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Effect of Termination or Reduction</w:t>
      </w:r>
      <w:r>
        <w:rPr>
          <w:rFonts w:ascii="Arial" w:cs="Arial" w:eastAsia="Arial" w:hAnsi="Arial"/>
          <w:sz w:val="22"/>
          <w:szCs w:val="22"/>
          <w:color w:val="auto"/>
        </w:rPr>
        <w:t xml:space="preserve">. Any termination or reduction of the Commitments of a Class of Commitments pursuant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shall be permanent. Each reduction of the Commitments of a Class of Commitments pursuant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shall be made ratably among the Lenders of such Class in accordance with their respective Commitments.</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2140" w:type="dxa"/>
            <w:vAlign w:val="bottom"/>
          </w:tcPr>
          <w:p>
            <w:pPr>
              <w:ind w:left="60"/>
              <w:spacing w:after="0"/>
              <w:rPr>
                <w:sz w:val="20"/>
                <w:szCs w:val="20"/>
                <w:color w:val="auto"/>
              </w:rPr>
            </w:pPr>
            <w:r>
              <w:rPr>
                <w:rFonts w:ascii="Arial" w:cs="Arial" w:eastAsia="Arial" w:hAnsi="Arial"/>
                <w:sz w:val="22"/>
                <w:szCs w:val="22"/>
                <w:color w:val="auto"/>
              </w:rPr>
              <w:t>(e)</w:t>
            </w:r>
          </w:p>
        </w:tc>
        <w:tc>
          <w:tcPr>
            <w:tcW w:w="100" w:type="dxa"/>
            <w:vAlign w:val="bottom"/>
          </w:tcPr>
          <w:p>
            <w:pPr>
              <w:spacing w:after="0"/>
              <w:rPr>
                <w:sz w:val="21"/>
                <w:szCs w:val="21"/>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rPr>
              <w:t>Increase of the Commitments.</w:t>
            </w: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39"/>
        </w:trPr>
        <w:tc>
          <w:tcPr>
            <w:tcW w:w="2140" w:type="dxa"/>
            <w:vAlign w:val="bottom"/>
          </w:tcPr>
          <w:p>
            <w:pPr>
              <w:spacing w:after="0"/>
              <w:rPr>
                <w:sz w:val="20"/>
                <w:szCs w:val="20"/>
                <w:color w:val="auto"/>
              </w:rPr>
            </w:pPr>
            <w:r>
              <w:rPr>
                <w:rFonts w:ascii="Arial" w:cs="Arial" w:eastAsia="Arial" w:hAnsi="Arial"/>
                <w:sz w:val="22"/>
                <w:szCs w:val="22"/>
                <w:color w:val="auto"/>
              </w:rPr>
              <w:t>(i)</w:t>
            </w:r>
          </w:p>
        </w:tc>
        <w:tc>
          <w:tcPr>
            <w:tcW w:w="7580" w:type="dxa"/>
            <w:vAlign w:val="bottom"/>
            <w:gridSpan w:val="4"/>
          </w:tcPr>
          <w:p>
            <w:pPr>
              <w:spacing w:after="0"/>
              <w:rPr>
                <w:sz w:val="20"/>
                <w:szCs w:val="20"/>
                <w:color w:val="auto"/>
              </w:rPr>
            </w:pPr>
            <w:r>
              <w:rPr>
                <w:rFonts w:ascii="Arial" w:cs="Arial" w:eastAsia="Arial" w:hAnsi="Arial"/>
                <w:sz w:val="22"/>
                <w:szCs w:val="22"/>
                <w:color w:val="auto"/>
                <w:w w:val="91"/>
              </w:rPr>
              <w:t>Requests for Increase by Borrower.  The Borrower may, at any time, request that the</w:t>
            </w:r>
          </w:p>
        </w:tc>
      </w:tr>
      <w:tr>
        <w:trPr>
          <w:trHeight w:val="20"/>
        </w:trPr>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880"/>
        <w:spacing w:after="0" w:line="277" w:lineRule="auto"/>
        <w:rPr>
          <w:sz w:val="20"/>
          <w:szCs w:val="20"/>
          <w:color w:val="auto"/>
        </w:rPr>
      </w:pPr>
      <w:r>
        <w:rPr>
          <w:rFonts w:ascii="Arial" w:cs="Arial" w:eastAsia="Arial" w:hAnsi="Arial"/>
          <w:sz w:val="19"/>
          <w:szCs w:val="19"/>
          <w:color w:val="auto"/>
        </w:rPr>
        <w:t>Commitments hereunder of a Class of Commitments be increased (each such proposed increase being a “</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Increase</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 Class of Non-Extended Loans be increased hereunder), upon notice to the Administrative Agent (who shall promptly notify the Lenders), which notice shall specify each existing Lender (each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and/or each additional lender (each an “</w:t>
      </w:r>
      <w:r>
        <w:rPr>
          <w:rFonts w:ascii="Arial" w:cs="Arial" w:eastAsia="Arial" w:hAnsi="Arial"/>
          <w:sz w:val="19"/>
          <w:szCs w:val="19"/>
          <w:u w:val="single" w:color="auto"/>
          <w:color w:val="auto"/>
        </w:rPr>
        <w:t>Assuming Lender</w:t>
      </w:r>
      <w:r>
        <w:rPr>
          <w:rFonts w:ascii="Arial" w:cs="Arial" w:eastAsia="Arial" w:hAnsi="Arial"/>
          <w:sz w:val="19"/>
          <w:szCs w:val="19"/>
          <w:color w:val="auto"/>
        </w:rPr>
        <w:t>”) that shall have agreed to an additional Commitment and the date on which such increase is to be effective (the “</w:t>
      </w:r>
      <w:r>
        <w:rPr>
          <w:rFonts w:ascii="Arial" w:cs="Arial" w:eastAsia="Arial" w:hAnsi="Arial"/>
          <w:sz w:val="19"/>
          <w:szCs w:val="19"/>
          <w:u w:val="single" w:color="auto"/>
          <w:color w:val="auto"/>
        </w:rPr>
        <w:t>Commitment Increase Date</w:t>
      </w:r>
      <w:r>
        <w:rPr>
          <w:rFonts w:ascii="Arial" w:cs="Arial" w:eastAsia="Arial" w:hAnsi="Arial"/>
          <w:sz w:val="19"/>
          <w:szCs w:val="19"/>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3" w:lineRule="exact"/>
        <w:rPr>
          <w:sz w:val="20"/>
          <w:szCs w:val="20"/>
          <w:color w:val="auto"/>
        </w:rPr>
      </w:pPr>
    </w:p>
    <w:p>
      <w:pPr>
        <w:jc w:val="both"/>
        <w:ind w:left="1760" w:firstLine="743"/>
        <w:spacing w:after="0" w:line="238" w:lineRule="auto"/>
        <w:rPr>
          <w:sz w:val="20"/>
          <w:szCs w:val="20"/>
          <w:color w:val="auto"/>
        </w:rPr>
      </w:pPr>
      <w:r>
        <w:rPr>
          <w:rFonts w:ascii="Arial" w:cs="Arial" w:eastAsia="Arial" w:hAnsi="Arial"/>
          <w:sz w:val="22"/>
          <w:szCs w:val="22"/>
          <w:color w:val="auto"/>
        </w:rPr>
        <w:t>(A) 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7" w:name="page208"/>
    <w:bookmarkEnd w:id="207"/>
    <w:p>
      <w:pPr>
        <w:jc w:val="both"/>
        <w:ind w:left="880" w:firstLine="743"/>
        <w:spacing w:after="0" w:line="238" w:lineRule="auto"/>
        <w:rPr>
          <w:sz w:val="20"/>
          <w:szCs w:val="20"/>
          <w:color w:val="auto"/>
        </w:rPr>
      </w:pPr>
      <w:r>
        <w:rPr>
          <w:rFonts w:ascii="Arial" w:cs="Arial" w:eastAsia="Arial" w:hAnsi="Arial"/>
          <w:sz w:val="22"/>
          <w:szCs w:val="22"/>
          <w:color w:val="auto"/>
        </w:rPr>
        <w:t xml:space="preserve">(B) immediately after giving effect to such Commitment Increase (including, if applicable, the substantially concurrent reduction of the Commitments of a Non-Extending Lender in accordance with </w:t>
      </w:r>
      <w:r>
        <w:rPr>
          <w:rFonts w:ascii="Arial" w:cs="Arial" w:eastAsia="Arial" w:hAnsi="Arial"/>
          <w:sz w:val="22"/>
          <w:szCs w:val="22"/>
          <w:u w:val="single" w:color="auto"/>
          <w:color w:val="auto"/>
        </w:rPr>
        <w:t>Section 2.08(f)</w:t>
      </w:r>
      <w:r>
        <w:rPr>
          <w:rFonts w:ascii="Arial" w:cs="Arial" w:eastAsia="Arial" w:hAnsi="Arial"/>
          <w:sz w:val="22"/>
          <w:szCs w:val="22"/>
          <w:color w:val="auto"/>
        </w:rPr>
        <w:t>), the total Commitments of all of the Lenders hereunder shall not exceed $1,250,000,000;</w:t>
      </w:r>
    </w:p>
    <w:p>
      <w:pPr>
        <w:spacing w:after="0" w:line="185" w:lineRule="exact"/>
        <w:rPr>
          <w:sz w:val="20"/>
          <w:szCs w:val="20"/>
          <w:color w:val="auto"/>
        </w:rPr>
      </w:pPr>
    </w:p>
    <w:p>
      <w:pPr>
        <w:ind w:left="880" w:right="20" w:firstLine="743"/>
        <w:spacing w:after="0" w:line="251" w:lineRule="auto"/>
        <w:rPr>
          <w:sz w:val="20"/>
          <w:szCs w:val="20"/>
          <w:color w:val="auto"/>
        </w:rPr>
      </w:pPr>
      <w:r>
        <w:rPr>
          <w:rFonts w:ascii="Arial" w:cs="Arial" w:eastAsia="Arial" w:hAnsi="Arial"/>
          <w:sz w:val="22"/>
          <w:szCs w:val="22"/>
          <w:color w:val="auto"/>
        </w:rPr>
        <w:t>(C) each Assuming Lender shall be consented to by the Administrative Agent and each Issuing Bank (such consent not to be unreasonably withheld);</w:t>
      </w:r>
    </w:p>
    <w:p>
      <w:pPr>
        <w:sectPr>
          <w:pgSz w:w="11900" w:h="16838" w:orient="portrait"/>
          <w:cols w:equalWidth="0" w:num="1">
            <w:col w:w="10540"/>
          </w:cols>
          <w:pgMar w:left="1120" w:top="335" w:right="239" w:bottom="1440" w:gutter="0" w:footer="0" w:header="0"/>
        </w:sectPr>
      </w:pPr>
    </w:p>
    <w:p>
      <w:pPr>
        <w:spacing w:after="0" w:line="173" w:lineRule="exact"/>
        <w:rPr>
          <w:sz w:val="20"/>
          <w:szCs w:val="20"/>
          <w:color w:val="auto"/>
        </w:rPr>
      </w:pPr>
    </w:p>
    <w:p>
      <w:pPr>
        <w:ind w:left="1620"/>
        <w:spacing w:after="0"/>
        <w:tabs>
          <w:tab w:leader="none" w:pos="4500" w:val="left"/>
          <w:tab w:leader="none" w:pos="4880" w:val="left"/>
          <w:tab w:leader="none" w:pos="5700" w:val="left"/>
          <w:tab w:leader="none" w:pos="6280" w:val="left"/>
          <w:tab w:leader="none" w:pos="6860" w:val="left"/>
          <w:tab w:leader="none" w:pos="7780" w:val="left"/>
          <w:tab w:leader="none" w:pos="82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no</w:t>
        <w:tab/>
        <w:t>Default</w:t>
        <w:tab/>
        <w:t>shall</w:t>
        <w:tab/>
        <w:t>have</w:t>
        <w:tab/>
        <w:t>occurred</w:t>
        <w:tab/>
        <w:t>and</w:t>
      </w:r>
      <w:r>
        <w:rPr>
          <w:sz w:val="20"/>
          <w:szCs w:val="20"/>
          <w:color w:val="auto"/>
        </w:rPr>
        <w:tab/>
      </w:r>
      <w:r>
        <w:rPr>
          <w:rFonts w:ascii="Arial" w:cs="Arial" w:eastAsia="Arial" w:hAnsi="Arial"/>
          <w:sz w:val="17"/>
          <w:szCs w:val="17"/>
          <w:color w:val="auto"/>
        </w:rPr>
        <w:t>be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such</w:t>
      </w:r>
    </w:p>
    <w:p>
      <w:pPr>
        <w:spacing w:after="0" w:line="57" w:lineRule="exact"/>
        <w:rPr>
          <w:sz w:val="20"/>
          <w:szCs w:val="20"/>
          <w:color w:val="auto"/>
        </w:rPr>
      </w:pPr>
    </w:p>
    <w:p>
      <w:pPr>
        <w:sectPr>
          <w:pgSz w:w="11900" w:h="16838" w:orient="portrait"/>
          <w:cols w:equalWidth="0" w:num="4">
            <w:col w:w="8480" w:space="180"/>
            <w:col w:w="920" w:space="180"/>
            <w:col w:w="200" w:space="180"/>
            <w:col w:w="400"/>
          </w:cols>
          <w:pgMar w:left="1120" w:top="335" w:right="239" w:bottom="1440" w:gutter="0" w:footer="0" w:header="0"/>
          <w:type w:val="continuous"/>
        </w:sectPr>
      </w:pPr>
    </w:p>
    <w:p>
      <w:pPr>
        <w:ind w:left="880"/>
        <w:spacing w:after="0"/>
        <w:rPr>
          <w:sz w:val="20"/>
          <w:szCs w:val="20"/>
          <w:color w:val="auto"/>
        </w:rPr>
      </w:pPr>
      <w:r>
        <w:rPr>
          <w:rFonts w:ascii="Arial" w:cs="Arial" w:eastAsia="Arial" w:hAnsi="Arial"/>
          <w:sz w:val="22"/>
          <w:szCs w:val="22"/>
          <w:color w:val="auto"/>
        </w:rPr>
        <w:t>Commitment Increase Date or shall result from the proposed Commitment Increase; and</w:t>
      </w:r>
    </w:p>
    <w:p>
      <w:pPr>
        <w:spacing w:after="0" w:line="185" w:lineRule="exact"/>
        <w:rPr>
          <w:sz w:val="20"/>
          <w:szCs w:val="20"/>
          <w:color w:val="auto"/>
        </w:rPr>
      </w:pPr>
    </w:p>
    <w:p>
      <w:pPr>
        <w:ind w:left="1620"/>
        <w:spacing w:after="0"/>
        <w:tabs>
          <w:tab w:leader="none" w:pos="44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representations and warranties contained in this Agreement shall</w:t>
      </w:r>
    </w:p>
    <w:p>
      <w:pPr>
        <w:sectPr>
          <w:pgSz w:w="11900" w:h="16838" w:orient="portrait"/>
          <w:cols w:equalWidth="0" w:num="1">
            <w:col w:w="10540"/>
          </w:cols>
          <w:pgMar w:left="1120" w:top="335" w:right="239" w:bottom="1440" w:gutter="0" w:footer="0" w:header="0"/>
          <w:type w:val="continuous"/>
        </w:sectPr>
      </w:pPr>
    </w:p>
    <w:p>
      <w:pPr>
        <w:spacing w:after="0" w:line="56" w:lineRule="exact"/>
        <w:rPr>
          <w:sz w:val="20"/>
          <w:szCs w:val="20"/>
          <w:color w:val="auto"/>
        </w:rPr>
      </w:pPr>
    </w:p>
    <w:p>
      <w:pPr>
        <w:jc w:val="both"/>
        <w:ind w:left="880"/>
        <w:spacing w:after="0" w:line="230" w:lineRule="auto"/>
        <w:rPr>
          <w:sz w:val="20"/>
          <w:szCs w:val="20"/>
          <w:color w:val="auto"/>
        </w:rPr>
      </w:pPr>
      <w:r>
        <w:rPr>
          <w:rFonts w:ascii="Arial" w:cs="Arial" w:eastAsia="Arial" w:hAnsi="Arial"/>
          <w:sz w:val="22"/>
          <w:szCs w:val="22"/>
          <w:color w:val="auto"/>
        </w:rPr>
        <w:t>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87" w:lineRule="exact"/>
        <w:rPr>
          <w:sz w:val="20"/>
          <w:szCs w:val="20"/>
          <w:color w:val="auto"/>
        </w:rPr>
      </w:pPr>
    </w:p>
    <w:p>
      <w:pPr>
        <w:ind w:left="820"/>
        <w:spacing w:after="0"/>
        <w:tabs>
          <w:tab w:leader="none" w:pos="300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u w:val="single" w:color="auto"/>
          <w:color w:val="auto"/>
        </w:rPr>
        <w:t>Effectiveness of Commitment Increase by Borrower</w:t>
      </w:r>
      <w:r>
        <w:rPr>
          <w:rFonts w:ascii="Arial" w:cs="Arial" w:eastAsia="Arial" w:hAnsi="Arial"/>
          <w:sz w:val="19"/>
          <w:szCs w:val="19"/>
          <w:color w:val="auto"/>
        </w:rPr>
        <w:t>.  An Assuming Lender, if any,</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7" w:lineRule="exact"/>
        <w:rPr>
          <w:sz w:val="20"/>
          <w:szCs w:val="20"/>
          <w:color w:val="auto"/>
        </w:rPr>
      </w:pPr>
    </w:p>
    <w:p>
      <w:pPr>
        <w:jc w:val="both"/>
        <w:ind w:left="880" w:firstLine="746"/>
        <w:spacing w:after="0" w:line="236" w:lineRule="auto"/>
        <w:tabs>
          <w:tab w:leader="none" w:pos="252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22"/>
          <w:szCs w:val="22"/>
          <w:u w:val="single" w:color="auto"/>
          <w:color w:val="auto"/>
        </w:rPr>
        <w:t>paragraph (i)</w:t>
      </w:r>
      <w:r>
        <w:rPr>
          <w:rFonts w:ascii="Arial" w:cs="Arial" w:eastAsia="Arial" w:hAnsi="Arial"/>
          <w:sz w:val="22"/>
          <w:szCs w:val="22"/>
          <w:color w:val="auto"/>
        </w:rPr>
        <w:t xml:space="preserve"> has been satisfied; and</w:t>
      </w:r>
    </w:p>
    <w:p>
      <w:pPr>
        <w:spacing w:after="0" w:line="187" w:lineRule="exact"/>
        <w:rPr>
          <w:rFonts w:ascii="Arial" w:cs="Arial" w:eastAsia="Arial" w:hAnsi="Arial"/>
          <w:sz w:val="22"/>
          <w:szCs w:val="22"/>
          <w:color w:val="auto"/>
        </w:rPr>
      </w:pPr>
    </w:p>
    <w:p>
      <w:pPr>
        <w:jc w:val="both"/>
        <w:ind w:left="880" w:firstLine="746"/>
        <w:spacing w:after="0" w:line="247" w:lineRule="auto"/>
        <w:tabs>
          <w:tab w:leader="none" w:pos="2523" w:val="left"/>
        </w:tabs>
        <w:numPr>
          <w:ilvl w:val="0"/>
          <w:numId w:val="125"/>
        </w:numPr>
        <w:rPr>
          <w:rFonts w:ascii="Arial" w:cs="Arial" w:eastAsia="Arial" w:hAnsi="Arial"/>
          <w:sz w:val="21"/>
          <w:szCs w:val="21"/>
          <w:color w:val="auto"/>
        </w:rPr>
      </w:pPr>
      <w:r>
        <w:rPr>
          <w:rFonts w:ascii="Arial" w:cs="Arial" w:eastAsia="Arial" w:hAnsi="Arial"/>
          <w:sz w:val="21"/>
          <w:szCs w:val="21"/>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740"/>
        <w:spacing w:after="0"/>
        <w:tabs>
          <w:tab w:leader="none" w:pos="84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214630</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5" w:right="239" w:bottom="1440" w:gutter="0" w:footer="0" w:header="0"/>
          <w:type w:val="continuous"/>
        </w:sectPr>
      </w:pPr>
    </w:p>
    <w:bookmarkStart w:id="208" w:name="page209"/>
    <w:bookmarkEnd w:id="208"/>
    <w:p>
      <w:pPr>
        <w:ind w:left="1700"/>
        <w:spacing w:after="0"/>
        <w:tabs>
          <w:tab w:leader="none" w:pos="394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u w:val="single" w:color="auto"/>
          <w:color w:val="auto"/>
        </w:rPr>
        <w:t>Recordation into Register</w:t>
      </w:r>
      <w:r>
        <w:rPr>
          <w:rFonts w:ascii="Arial" w:cs="Arial" w:eastAsia="Arial" w:hAnsi="Arial"/>
          <w:sz w:val="19"/>
          <w:szCs w:val="19"/>
          <w:color w:val="auto"/>
        </w:rPr>
        <w:t xml:space="preserve">. Upon its receipt of an agreement referred to in </w:t>
      </w:r>
      <w:r>
        <w:rPr>
          <w:rFonts w:ascii="Arial" w:cs="Arial" w:eastAsia="Arial" w:hAnsi="Arial"/>
          <w:sz w:val="19"/>
          <w:szCs w:val="19"/>
          <w:u w:val="single" w:color="auto"/>
          <w:color w:val="auto"/>
        </w:rPr>
        <w:t>clause (ii)</w:t>
      </w:r>
    </w:p>
    <w:p>
      <w:pPr>
        <w:spacing w:after="0" w:line="43" w:lineRule="exact"/>
        <w:rPr>
          <w:sz w:val="20"/>
          <w:szCs w:val="20"/>
          <w:color w:val="auto"/>
        </w:rPr>
      </w:pPr>
    </w:p>
    <w:p>
      <w:pPr>
        <w:jc w:val="both"/>
        <w:ind w:left="880" w:firstLine="5"/>
        <w:spacing w:after="0" w:line="267" w:lineRule="auto"/>
        <w:tabs>
          <w:tab w:leader="none" w:pos="1202" w:val="left"/>
        </w:tabs>
        <w:numPr>
          <w:ilvl w:val="0"/>
          <w:numId w:val="126"/>
        </w:numPr>
        <w:rPr>
          <w:rFonts w:ascii="Arial" w:cs="Arial" w:eastAsia="Arial" w:hAnsi="Arial"/>
          <w:sz w:val="19"/>
          <w:szCs w:val="19"/>
          <w:u w:val="single" w:color="auto"/>
          <w:color w:val="auto"/>
        </w:rPr>
      </w:pPr>
      <w:r>
        <w:rPr>
          <w:rFonts w:ascii="Arial" w:cs="Arial" w:eastAsia="Arial" w:hAnsi="Arial"/>
          <w:sz w:val="19"/>
          <w:szCs w:val="19"/>
          <w:color w:val="auto"/>
        </w:rPr>
        <w:t xml:space="preserve">above executed by an Assuming Lender or any Increasing Lender, together with the certificate referred to in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(ii)(x)</w:t>
      </w:r>
      <w:r>
        <w:rPr>
          <w:rFonts w:ascii="Arial" w:cs="Arial" w:eastAsia="Arial" w:hAnsi="Arial"/>
          <w:sz w:val="19"/>
          <w:szCs w:val="19"/>
          <w:color w:val="auto"/>
        </w:rPr>
        <w:t xml:space="preserve"> above, the Administrative Agent shall, if such agreement has been completed, (x) accept such agreement,</w:t>
      </w:r>
    </w:p>
    <w:p>
      <w:pPr>
        <w:ind w:left="1200" w:hanging="315"/>
        <w:spacing w:after="0"/>
        <w:tabs>
          <w:tab w:leader="none" w:pos="12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record the information contained therein in the Register and (z) give prompt notice thereof to the Borrower.</w:t>
      </w:r>
    </w:p>
    <w:p>
      <w:pPr>
        <w:spacing w:after="0" w:line="200" w:lineRule="exact"/>
        <w:rPr>
          <w:sz w:val="20"/>
          <w:szCs w:val="20"/>
          <w:color w:val="auto"/>
        </w:rPr>
      </w:pPr>
    </w:p>
    <w:p>
      <w:pPr>
        <w:ind w:left="1700"/>
        <w:spacing w:after="0"/>
        <w:tabs>
          <w:tab w:leader="none" w:pos="3940" w:val="left"/>
          <w:tab w:leader="none" w:pos="954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u w:val="single" w:color="auto"/>
          <w:color w:val="auto"/>
        </w:rPr>
        <w:t>Adjustments of Borrowings upon Effectiveness of Increase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On the Commitment</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Increase Date, the Borrower shall (A) prepay the outstanding Loans (if any) of the affected Class of Commitments in full,</w:t>
      </w:r>
    </w:p>
    <w:p>
      <w:pPr>
        <w:spacing w:after="0" w:line="25" w:lineRule="exact"/>
        <w:rPr>
          <w:sz w:val="20"/>
          <w:szCs w:val="20"/>
          <w:color w:val="auto"/>
        </w:rPr>
      </w:pPr>
    </w:p>
    <w:p>
      <w:pPr>
        <w:jc w:val="both"/>
        <w:ind w:left="880" w:firstLine="5"/>
        <w:spacing w:after="0" w:line="271" w:lineRule="auto"/>
        <w:tabs>
          <w:tab w:leader="none" w:pos="124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simultaneously borrow new Loans of such Class hereunder 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gridSpan w:val="3"/>
          </w:tcPr>
          <w:p>
            <w:pPr>
              <w:jc w:val="center"/>
              <w:ind w:right="80"/>
              <w:spacing w:after="0"/>
              <w:rPr>
                <w:sz w:val="20"/>
                <w:szCs w:val="20"/>
                <w:color w:val="auto"/>
              </w:rPr>
            </w:pPr>
            <w:r>
              <w:rPr>
                <w:rFonts w:ascii="Arial" w:cs="Arial" w:eastAsia="Arial" w:hAnsi="Arial"/>
                <w:sz w:val="22"/>
                <w:szCs w:val="22"/>
                <w:color w:val="auto"/>
              </w:rPr>
              <w:t>(f)</w:t>
            </w:r>
          </w:p>
        </w:tc>
        <w:tc>
          <w:tcPr>
            <w:tcW w:w="100" w:type="dxa"/>
            <w:vAlign w:val="bottom"/>
          </w:tcPr>
          <w:p>
            <w:pPr>
              <w:spacing w:after="0"/>
              <w:rPr>
                <w:sz w:val="21"/>
                <w:szCs w:val="21"/>
                <w:color w:val="auto"/>
              </w:rPr>
            </w:pPr>
          </w:p>
        </w:tc>
        <w:tc>
          <w:tcPr>
            <w:tcW w:w="7500" w:type="dxa"/>
            <w:vAlign w:val="bottom"/>
            <w:gridSpan w:val="2"/>
          </w:tcPr>
          <w:p>
            <w:pPr>
              <w:jc w:val="right"/>
              <w:spacing w:after="0"/>
              <w:rPr>
                <w:sz w:val="20"/>
                <w:szCs w:val="20"/>
                <w:color w:val="auto"/>
              </w:rPr>
            </w:pPr>
            <w:r>
              <w:rPr>
                <w:rFonts w:ascii="Arial" w:cs="Arial" w:eastAsia="Arial" w:hAnsi="Arial"/>
                <w:sz w:val="22"/>
                <w:szCs w:val="22"/>
                <w:color w:val="auto"/>
                <w:w w:val="91"/>
              </w:rPr>
              <w:t>Reduction of Non-Extending Lenders’ Commitment. Notwithstanding anything to the</w:t>
            </w:r>
          </w:p>
        </w:tc>
      </w:tr>
      <w:tr>
        <w:trPr>
          <w:trHeight w:val="223"/>
        </w:trPr>
        <w:tc>
          <w:tcPr>
            <w:tcW w:w="3820" w:type="dxa"/>
            <w:vAlign w:val="bottom"/>
            <w:gridSpan w:val="3"/>
          </w:tcPr>
          <w:p>
            <w:pPr>
              <w:jc w:val="center"/>
              <w:ind w:right="40"/>
              <w:spacing w:after="0" w:line="223" w:lineRule="exact"/>
              <w:rPr>
                <w:sz w:val="20"/>
                <w:szCs w:val="20"/>
                <w:color w:val="auto"/>
              </w:rPr>
            </w:pPr>
            <w:r>
              <w:rPr>
                <w:rFonts w:ascii="Arial" w:cs="Arial" w:eastAsia="Arial" w:hAnsi="Arial"/>
                <w:sz w:val="22"/>
                <w:szCs w:val="22"/>
                <w:color w:val="auto"/>
                <w:w w:val="90"/>
              </w:rPr>
              <w:t>contrary herein (including Section 2.08(d)):</w:t>
            </w:r>
          </w:p>
        </w:tc>
        <w:tc>
          <w:tcPr>
            <w:tcW w:w="100" w:type="dxa"/>
            <w:vAlign w:val="bottom"/>
          </w:tcPr>
          <w:p>
            <w:pPr>
              <w:spacing w:after="0"/>
              <w:rPr>
                <w:sz w:val="19"/>
                <w:szCs w:val="19"/>
                <w:color w:val="auto"/>
              </w:rPr>
            </w:pPr>
          </w:p>
        </w:tc>
        <w:tc>
          <w:tcPr>
            <w:tcW w:w="4520" w:type="dxa"/>
            <w:vAlign w:val="bottom"/>
            <w:tcBorders>
              <w:top w:val="single" w:sz="8" w:color="auto"/>
            </w:tcBorders>
          </w:tcPr>
          <w:p>
            <w:pPr>
              <w:spacing w:after="0"/>
              <w:rPr>
                <w:sz w:val="19"/>
                <w:szCs w:val="19"/>
                <w:color w:val="auto"/>
              </w:rPr>
            </w:pPr>
          </w:p>
        </w:tc>
        <w:tc>
          <w:tcPr>
            <w:tcW w:w="2980" w:type="dxa"/>
            <w:vAlign w:val="bottom"/>
          </w:tcPr>
          <w:p>
            <w:pPr>
              <w:spacing w:after="0"/>
              <w:rPr>
                <w:sz w:val="19"/>
                <w:szCs w:val="19"/>
                <w:color w:val="auto"/>
              </w:rPr>
            </w:pPr>
          </w:p>
        </w:tc>
      </w:tr>
      <w:tr>
        <w:trPr>
          <w:trHeight w:val="476"/>
        </w:trPr>
        <w:tc>
          <w:tcPr>
            <w:tcW w:w="2320" w:type="dxa"/>
            <w:vAlign w:val="bottom"/>
          </w:tcPr>
          <w:p>
            <w:pPr>
              <w:ind w:left="1700"/>
              <w:spacing w:after="0"/>
              <w:rPr>
                <w:sz w:val="20"/>
                <w:szCs w:val="20"/>
                <w:color w:val="auto"/>
              </w:rPr>
            </w:pPr>
            <w:r>
              <w:rPr>
                <w:rFonts w:ascii="Arial" w:cs="Arial" w:eastAsia="Arial" w:hAnsi="Arial"/>
                <w:sz w:val="22"/>
                <w:szCs w:val="22"/>
                <w:color w:val="auto"/>
              </w:rPr>
              <w:t>(i)</w:t>
            </w: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gridSpan w:val="3"/>
          </w:tcPr>
          <w:p>
            <w:pPr>
              <w:jc w:val="right"/>
              <w:ind w:right="20"/>
              <w:spacing w:after="0"/>
              <w:rPr>
                <w:sz w:val="20"/>
                <w:szCs w:val="20"/>
                <w:color w:val="auto"/>
              </w:rPr>
            </w:pPr>
            <w:r>
              <w:rPr>
                <w:rFonts w:ascii="Arial" w:cs="Arial" w:eastAsia="Arial" w:hAnsi="Arial"/>
                <w:sz w:val="22"/>
                <w:szCs w:val="22"/>
                <w:color w:val="auto"/>
                <w:w w:val="95"/>
              </w:rPr>
              <w:t>The  Borrower  may  at  any  time  terminate,  or  from  time  to  time  reduce,  the</w:t>
            </w:r>
          </w:p>
        </w:tc>
      </w:tr>
    </w:tbl>
    <w:p>
      <w:pPr>
        <w:jc w:val="both"/>
        <w:ind w:left="880"/>
        <w:spacing w:after="0" w:line="246" w:lineRule="auto"/>
        <w:rPr>
          <w:sz w:val="20"/>
          <w:szCs w:val="20"/>
          <w:color w:val="auto"/>
        </w:rPr>
      </w:pPr>
      <w:r>
        <w:rPr>
          <w:rFonts w:ascii="Arial" w:cs="Arial" w:eastAsia="Arial" w:hAnsi="Arial"/>
          <w:sz w:val="21"/>
          <w:szCs w:val="21"/>
          <w:color w:val="auto"/>
        </w:rPr>
        <w:t xml:space="preserve">Commitment of any Non-Extending Lender without reducing the Commitments of any other Lender of the same Class of Commitments as such Non-Extending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80"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22"/>
          <w:szCs w:val="22"/>
          <w:color w:val="auto"/>
        </w:rPr>
        <w:t xml:space="preserve">(ii) The Borrower shall notify the Administrative Agent of any election to terminate or reduce the Commitment of any Non-Extending Lender under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irrevocable.</w:t>
      </w:r>
    </w:p>
    <w:p>
      <w:pPr>
        <w:spacing w:after="0" w:line="188"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 xml:space="preserve">(iii) Any termination or reduction of the Commitment of any Non-Extending Lender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permanent and shall be made concurrently with all required reallocation prepayments and cash collateralizations required under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9" w:name="page210"/>
    <w:bookmarkEnd w:id="209"/>
    <w:p>
      <w:pPr>
        <w:ind w:left="17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20" w:type="dxa"/>
            <w:vAlign w:val="bottom"/>
          </w:tcPr>
          <w:p>
            <w:pPr>
              <w:ind w:left="1760"/>
              <w:spacing w:after="0"/>
              <w:rPr>
                <w:sz w:val="20"/>
                <w:szCs w:val="20"/>
                <w:color w:val="auto"/>
              </w:rPr>
            </w:pPr>
            <w:r>
              <w:rPr>
                <w:rFonts w:ascii="Arial" w:cs="Arial" w:eastAsia="Arial" w:hAnsi="Arial"/>
                <w:sz w:val="22"/>
                <w:szCs w:val="22"/>
                <w:color w:val="auto"/>
              </w:rPr>
              <w:t>(a)</w:t>
            </w:r>
          </w:p>
        </w:tc>
        <w:tc>
          <w:tcPr>
            <w:tcW w:w="1020" w:type="dxa"/>
            <w:vAlign w:val="bottom"/>
          </w:tcPr>
          <w:p>
            <w:pPr>
              <w:spacing w:after="0"/>
              <w:rPr>
                <w:sz w:val="21"/>
                <w:szCs w:val="21"/>
                <w:color w:val="auto"/>
              </w:rPr>
            </w:pPr>
          </w:p>
        </w:tc>
        <w:tc>
          <w:tcPr>
            <w:tcW w:w="7480" w:type="dxa"/>
            <w:vAlign w:val="bottom"/>
            <w:gridSpan w:val="2"/>
          </w:tcPr>
          <w:p>
            <w:pPr>
              <w:jc w:val="right"/>
              <w:ind w:right="20"/>
              <w:spacing w:after="0"/>
              <w:rPr>
                <w:sz w:val="20"/>
                <w:szCs w:val="20"/>
                <w:color w:val="auto"/>
              </w:rPr>
            </w:pPr>
            <w:r>
              <w:rPr>
                <w:rFonts w:ascii="Arial" w:cs="Arial" w:eastAsia="Arial" w:hAnsi="Arial"/>
                <w:sz w:val="22"/>
                <w:szCs w:val="22"/>
                <w:color w:val="auto"/>
                <w:w w:val="90"/>
              </w:rPr>
              <w:t>Repayment. The Borrower hereby unconditionally promises to pay the Loans of each</w:t>
            </w:r>
          </w:p>
        </w:tc>
      </w:tr>
      <w:tr>
        <w:trPr>
          <w:trHeight w:val="20"/>
        </w:trPr>
        <w:tc>
          <w:tcPr>
            <w:tcW w:w="39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74"/>
        </w:trPr>
        <w:tc>
          <w:tcPr>
            <w:tcW w:w="11420" w:type="dxa"/>
            <w:vAlign w:val="bottom"/>
            <w:gridSpan w:val="4"/>
          </w:tcPr>
          <w:p>
            <w:pPr>
              <w:jc w:val="right"/>
              <w:ind w:right="5140"/>
              <w:spacing w:after="0"/>
              <w:rPr>
                <w:sz w:val="20"/>
                <w:szCs w:val="20"/>
                <w:color w:val="auto"/>
              </w:rPr>
            </w:pPr>
            <w:r>
              <w:rPr>
                <w:rFonts w:ascii="Arial" w:cs="Arial" w:eastAsia="Arial" w:hAnsi="Arial"/>
                <w:sz w:val="22"/>
                <w:szCs w:val="22"/>
                <w:color w:val="auto"/>
                <w:w w:val="90"/>
              </w:rPr>
              <w:t>Class of Final Maturity Date or Commitments, as applicable, as follows:</w:t>
            </w:r>
          </w:p>
        </w:tc>
      </w:tr>
      <w:tr>
        <w:trPr>
          <w:trHeight w:val="428"/>
        </w:trPr>
        <w:tc>
          <w:tcPr>
            <w:tcW w:w="2920" w:type="dxa"/>
            <w:vAlign w:val="bottom"/>
          </w:tcPr>
          <w:p>
            <w:pPr>
              <w:ind w:left="1700"/>
              <w:spacing w:after="0"/>
              <w:rPr>
                <w:sz w:val="20"/>
                <w:szCs w:val="20"/>
                <w:color w:val="auto"/>
              </w:rPr>
            </w:pPr>
            <w:r>
              <w:rPr>
                <w:rFonts w:ascii="Arial" w:cs="Arial" w:eastAsia="Arial" w:hAnsi="Arial"/>
                <w:sz w:val="22"/>
                <w:szCs w:val="22"/>
                <w:color w:val="auto"/>
              </w:rPr>
              <w:t>(i)</w:t>
            </w:r>
          </w:p>
        </w:tc>
        <w:tc>
          <w:tcPr>
            <w:tcW w:w="8500" w:type="dxa"/>
            <w:vAlign w:val="bottom"/>
            <w:gridSpan w:val="3"/>
          </w:tcPr>
          <w:p>
            <w:pPr>
              <w:jc w:val="right"/>
              <w:spacing w:after="0"/>
              <w:rPr>
                <w:sz w:val="20"/>
                <w:szCs w:val="20"/>
                <w:color w:val="auto"/>
              </w:rPr>
            </w:pPr>
            <w:r>
              <w:rPr>
                <w:rFonts w:ascii="Arial" w:cs="Arial" w:eastAsia="Arial" w:hAnsi="Arial"/>
                <w:sz w:val="22"/>
                <w:szCs w:val="22"/>
                <w:color w:val="auto"/>
              </w:rPr>
              <w:t>to the Administrative Agent for account of the Lenders of such Class of Final Maturity</w:t>
            </w:r>
          </w:p>
        </w:tc>
      </w:tr>
      <w:tr>
        <w:trPr>
          <w:trHeight w:val="243"/>
        </w:trPr>
        <w:tc>
          <w:tcPr>
            <w:tcW w:w="11420" w:type="dxa"/>
            <w:vAlign w:val="bottom"/>
            <w:gridSpan w:val="4"/>
          </w:tcPr>
          <w:p>
            <w:pPr>
              <w:jc w:val="right"/>
              <w:spacing w:after="0" w:line="243" w:lineRule="exact"/>
              <w:rPr>
                <w:sz w:val="20"/>
                <w:szCs w:val="20"/>
                <w:color w:val="auto"/>
              </w:rPr>
            </w:pPr>
            <w:r>
              <w:rPr>
                <w:rFonts w:ascii="Arial" w:cs="Arial" w:eastAsia="Arial" w:hAnsi="Arial"/>
                <w:sz w:val="22"/>
                <w:szCs w:val="22"/>
                <w:color w:val="auto"/>
                <w:w w:val="99"/>
              </w:rPr>
              <w:t>Date the outstanding principal amount of the Syndicated Loans of the Lenders of such Class of Final Maturity Date on</w:t>
            </w:r>
          </w:p>
        </w:tc>
      </w:tr>
      <w:tr>
        <w:trPr>
          <w:trHeight w:val="275"/>
        </w:trPr>
        <w:tc>
          <w:tcPr>
            <w:tcW w:w="11420" w:type="dxa"/>
            <w:vAlign w:val="bottom"/>
            <w:gridSpan w:val="4"/>
          </w:tcPr>
          <w:p>
            <w:pPr>
              <w:jc w:val="right"/>
              <w:ind w:right="7140"/>
              <w:spacing w:after="0"/>
              <w:rPr>
                <w:sz w:val="20"/>
                <w:szCs w:val="20"/>
                <w:color w:val="auto"/>
              </w:rPr>
            </w:pPr>
            <w:r>
              <w:rPr>
                <w:rFonts w:ascii="Arial" w:cs="Arial" w:eastAsia="Arial" w:hAnsi="Arial"/>
                <w:sz w:val="22"/>
                <w:szCs w:val="22"/>
                <w:color w:val="auto"/>
              </w:rPr>
              <w:t>the applicable Final Maturity Date; and</w:t>
            </w:r>
          </w:p>
        </w:tc>
      </w:tr>
      <w:tr>
        <w:trPr>
          <w:trHeight w:val="446"/>
        </w:trPr>
        <w:tc>
          <w:tcPr>
            <w:tcW w:w="2920" w:type="dxa"/>
            <w:vAlign w:val="bottom"/>
          </w:tcPr>
          <w:p>
            <w:pPr>
              <w:ind w:left="1700"/>
              <w:spacing w:after="0"/>
              <w:rPr>
                <w:sz w:val="20"/>
                <w:szCs w:val="20"/>
                <w:color w:val="auto"/>
              </w:rPr>
            </w:pPr>
            <w:r>
              <w:rPr>
                <w:rFonts w:ascii="Arial" w:cs="Arial" w:eastAsia="Arial" w:hAnsi="Arial"/>
                <w:sz w:val="22"/>
                <w:szCs w:val="22"/>
                <w:color w:val="auto"/>
              </w:rPr>
              <w:t>(ii)</w:t>
            </w:r>
          </w:p>
        </w:tc>
        <w:tc>
          <w:tcPr>
            <w:tcW w:w="8500" w:type="dxa"/>
            <w:vAlign w:val="bottom"/>
            <w:gridSpan w:val="3"/>
          </w:tcPr>
          <w:p>
            <w:pPr>
              <w:jc w:val="right"/>
              <w:spacing w:after="0"/>
              <w:rPr>
                <w:sz w:val="20"/>
                <w:szCs w:val="20"/>
                <w:color w:val="auto"/>
              </w:rPr>
            </w:pPr>
            <w:r>
              <w:rPr>
                <w:rFonts w:ascii="Arial" w:cs="Arial" w:eastAsia="Arial" w:hAnsi="Arial"/>
                <w:sz w:val="22"/>
                <w:szCs w:val="22"/>
                <w:color w:val="auto"/>
              </w:rPr>
              <w:t>to the applicable Swingline Lender the then unpaid principal amount of each</w:t>
            </w:r>
          </w:p>
        </w:tc>
      </w:tr>
    </w:tbl>
    <w:p>
      <w:pPr>
        <w:jc w:val="both"/>
        <w:ind w:left="880"/>
        <w:spacing w:after="0" w:line="233" w:lineRule="auto"/>
        <w:rPr>
          <w:sz w:val="20"/>
          <w:szCs w:val="20"/>
          <w:color w:val="auto"/>
        </w:rPr>
      </w:pPr>
      <w:r>
        <w:rPr>
          <w:rFonts w:ascii="Arial" w:cs="Arial" w:eastAsia="Arial" w:hAnsi="Arial"/>
          <w:sz w:val="22"/>
          <w:szCs w:val="22"/>
          <w:color w:val="auto"/>
        </w:rPr>
        <w:t xml:space="preserve">Swingline Loan of each Class of Commitment denominated in Dollars made by such Swingline Lender,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each date that a Syndicated Borrowing of such Class of Commitment is made, the Borrower shall repay all Swingline Loans of such Class of Commitment then outstanding.</w:t>
      </w:r>
    </w:p>
    <w:p>
      <w:pPr>
        <w:spacing w:after="0" w:line="186"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9"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Manner of Payment</w:t>
      </w:r>
      <w:r>
        <w:rPr>
          <w:rFonts w:ascii="Arial" w:cs="Arial" w:eastAsia="Arial" w:hAnsi="Arial"/>
          <w:sz w:val="19"/>
          <w:szCs w:val="19"/>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prior to the scheduled date of such 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5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Maintenance of Records by Lenders</w:t>
      </w:r>
      <w:r>
        <w:rPr>
          <w:rFonts w:ascii="Arial" w:cs="Arial" w:eastAsia="Arial" w:hAnsi="Arial"/>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0" w:name="page211"/>
    <w:bookmarkEnd w:id="210"/>
    <w:p>
      <w:pPr>
        <w:ind w:left="1760"/>
        <w:spacing w:after="0"/>
        <w:tabs>
          <w:tab w:leader="none" w:pos="3940" w:val="left"/>
          <w:tab w:leader="none" w:pos="90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Maintenance of Records by the Administrative Agent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Administrative Agent</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8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u w:val="single" w:color="auto"/>
          <w:color w:val="auto"/>
        </w:rPr>
        <w:t>Effect of Entries</w:t>
      </w:r>
      <w:r>
        <w:rPr>
          <w:rFonts w:ascii="Arial" w:cs="Arial" w:eastAsia="Arial" w:hAnsi="Arial"/>
          <w:sz w:val="19"/>
          <w:szCs w:val="19"/>
          <w:color w:val="auto"/>
        </w:rPr>
        <w:t xml:space="preserve">. The entries made in the records maintained pursuant to </w:t>
      </w:r>
      <w:r>
        <w:rPr>
          <w:rFonts w:ascii="Arial" w:cs="Arial" w:eastAsia="Arial" w:hAnsi="Arial"/>
          <w:sz w:val="19"/>
          <w:szCs w:val="19"/>
          <w:u w:val="single" w:color="auto"/>
          <w:color w:val="auto"/>
        </w:rPr>
        <w:t>paragraph</w:t>
      </w:r>
    </w:p>
    <w:p>
      <w:pPr>
        <w:spacing w:after="0" w:line="43" w:lineRule="exact"/>
        <w:rPr>
          <w:sz w:val="20"/>
          <w:szCs w:val="20"/>
          <w:color w:val="auto"/>
        </w:rPr>
      </w:pPr>
    </w:p>
    <w:p>
      <w:pPr>
        <w:jc w:val="both"/>
        <w:ind w:firstLine="8"/>
        <w:spacing w:after="0" w:line="287" w:lineRule="auto"/>
        <w:tabs>
          <w:tab w:leader="none" w:pos="328" w:val="left"/>
        </w:tabs>
        <w:numPr>
          <w:ilvl w:val="0"/>
          <w:numId w:val="129"/>
        </w:numPr>
        <w:rPr>
          <w:rFonts w:ascii="Arial" w:cs="Arial" w:eastAsia="Arial" w:hAnsi="Arial"/>
          <w:sz w:val="19"/>
          <w:szCs w:val="19"/>
          <w:u w:val="single" w:color="auto"/>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absent obvious error,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44"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Promissory Notes</w:t>
      </w:r>
      <w:r>
        <w:rPr>
          <w:rFonts w:ascii="Arial" w:cs="Arial" w:eastAsia="Arial" w:hAnsi="Arial"/>
          <w:sz w:val="19"/>
          <w:szCs w:val="19"/>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one or more promissory notes in such form payable to the payee named therein (or, if such promissory note is a registered note, to such payee and its registered assigns).</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Optional Prepayments</w:t>
      </w:r>
      <w:r>
        <w:rPr>
          <w:rFonts w:ascii="Arial" w:cs="Arial" w:eastAsia="Arial" w:hAnsi="Arial"/>
          <w:sz w:val="22"/>
          <w:szCs w:val="22"/>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subject to the requirements of this Section. Any prepayment of a Borrowing made in accordance with this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shall be applied ratably among the Lenders of a Class of Commitment unless such prepayment is made in connection with the reduction of Commitments in accordance with </w:t>
      </w:r>
      <w:r>
        <w:rPr>
          <w:rFonts w:ascii="Arial" w:cs="Arial" w:eastAsia="Arial" w:hAnsi="Arial"/>
          <w:sz w:val="22"/>
          <w:szCs w:val="22"/>
          <w:u w:val="single" w:color="auto"/>
          <w:color w:val="auto"/>
        </w:rPr>
        <w:t>Section 2.08(b)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xml:space="preserve"> in which case such prepayment shall be applied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2.08(d)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as applicable.</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2140" w:type="dxa"/>
            <w:vAlign w:val="bottom"/>
          </w:tcPr>
          <w:p>
            <w:pPr>
              <w:ind w:left="60"/>
              <w:spacing w:after="0"/>
              <w:rPr>
                <w:sz w:val="20"/>
                <w:szCs w:val="20"/>
                <w:color w:val="auto"/>
              </w:rPr>
            </w:pPr>
            <w:r>
              <w:rPr>
                <w:rFonts w:ascii="Arial" w:cs="Arial" w:eastAsia="Arial" w:hAnsi="Arial"/>
                <w:sz w:val="22"/>
                <w:szCs w:val="22"/>
                <w:color w:val="auto"/>
              </w:rPr>
              <w:t>(b)</w:t>
            </w:r>
          </w:p>
        </w:tc>
        <w:tc>
          <w:tcPr>
            <w:tcW w:w="120" w:type="dxa"/>
            <w:vAlign w:val="bottom"/>
          </w:tcPr>
          <w:p>
            <w:pPr>
              <w:spacing w:after="0"/>
              <w:rPr>
                <w:sz w:val="21"/>
                <w:szCs w:val="21"/>
                <w:color w:val="auto"/>
              </w:rPr>
            </w:pPr>
          </w:p>
        </w:tc>
        <w:tc>
          <w:tcPr>
            <w:tcW w:w="7460" w:type="dxa"/>
            <w:vAlign w:val="bottom"/>
            <w:gridSpan w:val="3"/>
          </w:tcPr>
          <w:p>
            <w:pPr>
              <w:spacing w:after="0"/>
              <w:rPr>
                <w:sz w:val="20"/>
                <w:szCs w:val="20"/>
                <w:color w:val="auto"/>
              </w:rPr>
            </w:pPr>
            <w:r>
              <w:rPr>
                <w:rFonts w:ascii="Arial" w:cs="Arial" w:eastAsia="Arial" w:hAnsi="Arial"/>
                <w:sz w:val="22"/>
                <w:szCs w:val="22"/>
                <w:color w:val="auto"/>
              </w:rPr>
              <w:t>Mandatory Prepayments due to Changes in Exchange Rates.</w:t>
            </w: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39"/>
        </w:trPr>
        <w:tc>
          <w:tcPr>
            <w:tcW w:w="2140" w:type="dxa"/>
            <w:vAlign w:val="bottom"/>
          </w:tcPr>
          <w:p>
            <w:pPr>
              <w:spacing w:after="0"/>
              <w:rPr>
                <w:sz w:val="20"/>
                <w:szCs w:val="20"/>
                <w:color w:val="auto"/>
              </w:rPr>
            </w:pPr>
            <w:r>
              <w:rPr>
                <w:rFonts w:ascii="Arial" w:cs="Arial" w:eastAsia="Arial" w:hAnsi="Arial"/>
                <w:sz w:val="22"/>
                <w:szCs w:val="22"/>
                <w:color w:val="auto"/>
              </w:rPr>
              <w:t>(i)</w:t>
            </w:r>
          </w:p>
        </w:tc>
        <w:tc>
          <w:tcPr>
            <w:tcW w:w="7580" w:type="dxa"/>
            <w:vAlign w:val="bottom"/>
            <w:gridSpan w:val="4"/>
          </w:tcPr>
          <w:p>
            <w:pPr>
              <w:spacing w:after="0"/>
              <w:rPr>
                <w:sz w:val="20"/>
                <w:szCs w:val="20"/>
                <w:color w:val="auto"/>
              </w:rPr>
            </w:pPr>
            <w:r>
              <w:rPr>
                <w:rFonts w:ascii="Arial" w:cs="Arial" w:eastAsia="Arial" w:hAnsi="Arial"/>
                <w:sz w:val="22"/>
                <w:szCs w:val="22"/>
                <w:color w:val="auto"/>
                <w:w w:val="96"/>
              </w:rPr>
              <w:t>Determination of Amount Outstanding.  On each Quarterly Date and, in addition,</w:t>
            </w:r>
          </w:p>
        </w:tc>
      </w:tr>
      <w:tr>
        <w:trPr>
          <w:trHeight w:val="20"/>
        </w:trPr>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880"/>
        <w:spacing w:after="0" w:line="275" w:lineRule="auto"/>
        <w:rPr>
          <w:sz w:val="20"/>
          <w:szCs w:val="20"/>
          <w:color w:val="auto"/>
        </w:rPr>
      </w:pPr>
      <w:r>
        <w:rPr>
          <w:rFonts w:ascii="Arial" w:cs="Arial" w:eastAsia="Arial" w:hAnsi="Arial"/>
          <w:sz w:val="19"/>
          <w:szCs w:val="19"/>
          <w:color w:val="auto"/>
        </w:rPr>
        <w:t>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1" w:name="page212"/>
    <w:bookmarkEnd w:id="211"/>
    <w:p>
      <w:pPr>
        <w:jc w:val="both"/>
        <w:ind w:left="880" w:firstLine="810"/>
        <w:spacing w:after="0" w:line="234" w:lineRule="auto"/>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u w:val="single" w:color="auto"/>
          <w:color w:val="auto"/>
        </w:rPr>
        <w:t>Prepayment</w:t>
      </w:r>
      <w:r>
        <w:rPr>
          <w:rFonts w:ascii="Arial" w:cs="Arial" w:eastAsia="Arial" w:hAnsi="Arial"/>
          <w:sz w:val="22"/>
          <w:szCs w:val="22"/>
          <w:color w:val="auto"/>
        </w:rPr>
        <w:t xml:space="preserve">. If on the date of such determination the aggregate Revolving Multicurrency Credit Exposure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22"/>
          <w:szCs w:val="22"/>
          <w:u w:val="single" w:color="auto"/>
          <w:color w:val="auto"/>
        </w:rPr>
        <w:t>Section 2.05(k)</w:t>
      </w:r>
      <w:r>
        <w:rPr>
          <w:rFonts w:ascii="Arial" w:cs="Arial" w:eastAsia="Arial" w:hAnsi="Arial"/>
          <w:sz w:val="22"/>
          <w:szCs w:val="22"/>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purposes hereof “</w:t>
      </w:r>
      <w:r>
        <w:rPr>
          <w:rFonts w:ascii="Arial" w:cs="Arial" w:eastAsia="Arial" w:hAnsi="Arial"/>
          <w:sz w:val="21"/>
          <w:szCs w:val="21"/>
          <w:u w:val="single" w:color="auto"/>
          <w:color w:val="auto"/>
        </w:rPr>
        <w:t>Currency Valuation Notice</w:t>
      </w:r>
      <w:r>
        <w:rPr>
          <w:rFonts w:ascii="Arial" w:cs="Arial" w:eastAsia="Arial" w:hAnsi="Arial"/>
          <w:sz w:val="21"/>
          <w:szCs w:val="21"/>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74"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 xml:space="preserve">Any prepayment pursuant to this paragraph shall be applied,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Swingline Multicurrency Loans outstanding,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Syndicated Multicurrency Loans outstanding and </w:t>
      </w:r>
      <w:r>
        <w:rPr>
          <w:rFonts w:ascii="Arial" w:cs="Arial" w:eastAsia="Arial" w:hAnsi="Arial"/>
          <w:sz w:val="21"/>
          <w:szCs w:val="21"/>
          <w:u w:val="single" w:color="auto"/>
          <w:color w:val="auto"/>
        </w:rPr>
        <w:t>third</w:t>
      </w:r>
      <w:r>
        <w:rPr>
          <w:rFonts w:ascii="Arial" w:cs="Arial" w:eastAsia="Arial" w:hAnsi="Arial"/>
          <w:sz w:val="21"/>
          <w:szCs w:val="21"/>
          <w:color w:val="auto"/>
        </w:rPr>
        <w:t>, as cover for Multicurrency LC Exposure.</w:t>
      </w:r>
    </w:p>
    <w:p>
      <w:pPr>
        <w:spacing w:after="0" w:line="151"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Mandatory Prepayments due to Borrowing Base Deficiency</w:t>
      </w:r>
      <w:r>
        <w:rPr>
          <w:rFonts w:ascii="Arial" w:cs="Arial" w:eastAsia="Arial" w:hAnsi="Arial"/>
          <w:sz w:val="19"/>
          <w:szCs w:val="19"/>
          <w:color w:val="auto"/>
        </w:rPr>
        <w:t>. In the event that at any</w:t>
      </w:r>
    </w:p>
    <w:p>
      <w:pPr>
        <w:spacing w:after="0" w:line="4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21"/>
          <w:szCs w:val="21"/>
          <w:u w:val="single" w:color="auto"/>
          <w:color w:val="auto"/>
        </w:rPr>
        <w:t>Section 2.05(k)</w:t>
      </w:r>
      <w:r>
        <w:rPr>
          <w:rFonts w:ascii="Arial" w:cs="Arial" w:eastAsia="Arial" w:hAnsi="Arial"/>
          <w:sz w:val="21"/>
          <w:szCs w:val="21"/>
          <w:color w:val="auto"/>
        </w:rPr>
        <w:t xml:space="preserve">) or reduce Other Covered Indebtedness or any other Indebtedness that is included in the Covered Debt Amount at such time in such amounts as shall be necessary so that such Borrowing Base Deficiency is cured;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93" w:lineRule="exact"/>
        <w:rPr>
          <w:sz w:val="20"/>
          <w:szCs w:val="20"/>
          <w:color w:val="auto"/>
        </w:rPr>
      </w:pPr>
    </w:p>
    <w:p>
      <w:pPr>
        <w:ind w:left="1760"/>
        <w:spacing w:after="0"/>
        <w:tabs>
          <w:tab w:leader="none" w:pos="3940" w:val="left"/>
          <w:tab w:leader="none" w:pos="5080" w:val="left"/>
          <w:tab w:leader="none" w:pos="6400" w:val="left"/>
          <w:tab w:leader="none" w:pos="7200" w:val="left"/>
          <w:tab w:leader="none" w:pos="8560" w:val="left"/>
          <w:tab w:leader="none" w:pos="9560" w:val="left"/>
          <w:tab w:leader="none" w:pos="10380" w:val="left"/>
          <w:tab w:leader="none" w:pos="108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Mandatory</w:t>
      </w:r>
      <w:r>
        <w:rPr>
          <w:sz w:val="20"/>
          <w:szCs w:val="20"/>
          <w:color w:val="auto"/>
        </w:rPr>
        <w:tab/>
      </w:r>
      <w:r>
        <w:rPr>
          <w:rFonts w:ascii="Arial" w:cs="Arial" w:eastAsia="Arial" w:hAnsi="Arial"/>
          <w:sz w:val="22"/>
          <w:szCs w:val="22"/>
          <w:u w:val="single" w:color="auto"/>
          <w:color w:val="auto"/>
        </w:rPr>
        <w:t>Prepayments</w:t>
        <w:tab/>
        <w:t>During</w:t>
        <w:tab/>
        <w:t>Amortization</w:t>
        <w:tab/>
        <w:t>Period</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During</w:t>
        <w:tab/>
        <w:t>the</w:t>
      </w:r>
      <w:r>
        <w:rPr>
          <w:sz w:val="20"/>
          <w:szCs w:val="20"/>
          <w:color w:val="auto"/>
        </w:rPr>
        <w:tab/>
      </w:r>
      <w:r>
        <w:rPr>
          <w:rFonts w:ascii="Arial" w:cs="Arial" w:eastAsia="Arial" w:hAnsi="Arial"/>
          <w:sz w:val="19"/>
          <w:szCs w:val="19"/>
          <w:color w:val="auto"/>
        </w:rPr>
        <w:t>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commencing on the date immediately following the Commitment Termination Date with respect to any Loans of any Lender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Lenders and ending on the Final Maturity Date with respect to the Loans of such Lender or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2" w:name="page213"/>
    <w:bookmarkEnd w:id="212"/>
    <w:p>
      <w:pPr>
        <w:jc w:val="both"/>
        <w:ind w:left="880" w:firstLine="810"/>
        <w:spacing w:after="0" w:line="235"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Asset Disposition</w:t>
      </w:r>
      <w:r>
        <w:rPr>
          <w:rFonts w:ascii="Arial" w:cs="Arial" w:eastAsia="Arial" w:hAnsi="Arial"/>
          <w:sz w:val="22"/>
          <w:szCs w:val="22"/>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88"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u w:val="single" w:color="auto"/>
          <w:color w:val="auto"/>
        </w:rPr>
        <w:t>Equity Issuance</w:t>
      </w:r>
      <w:r>
        <w:rPr>
          <w:rFonts w:ascii="Arial" w:cs="Arial" w:eastAsia="Arial" w:hAnsi="Arial"/>
          <w:sz w:val="22"/>
          <w:szCs w:val="22"/>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2.09(b)</w:t>
      </w:r>
      <w:r>
        <w:rPr>
          <w:rFonts w:ascii="Arial" w:cs="Arial" w:eastAsia="Arial" w:hAnsi="Arial"/>
          <w:sz w:val="22"/>
          <w:szCs w:val="22"/>
          <w:color w:val="auto"/>
        </w:rPr>
        <w:t>).</w:t>
      </w:r>
    </w:p>
    <w:p>
      <w:pPr>
        <w:spacing w:after="0" w:line="188" w:lineRule="exact"/>
        <w:rPr>
          <w:sz w:val="20"/>
          <w:szCs w:val="20"/>
          <w:color w:val="auto"/>
        </w:rPr>
      </w:pPr>
    </w:p>
    <w:p>
      <w:pPr>
        <w:jc w:val="both"/>
        <w:ind w:left="880" w:firstLine="810"/>
        <w:spacing w:after="0" w:line="249" w:lineRule="auto"/>
        <w:rPr>
          <w:sz w:val="20"/>
          <w:szCs w:val="20"/>
          <w:color w:val="auto"/>
        </w:rPr>
      </w:pPr>
      <w:r>
        <w:rPr>
          <w:rFonts w:ascii="Arial" w:cs="Arial" w:eastAsia="Arial" w:hAnsi="Arial"/>
          <w:sz w:val="21"/>
          <w:szCs w:val="21"/>
          <w:color w:val="auto"/>
        </w:rPr>
        <w:t xml:space="preserve">(iii) </w:t>
      </w:r>
      <w:r>
        <w:rPr>
          <w:rFonts w:ascii="Arial" w:cs="Arial" w:eastAsia="Arial" w:hAnsi="Arial"/>
          <w:sz w:val="21"/>
          <w:szCs w:val="21"/>
          <w:u w:val="single" w:color="auto"/>
          <w:color w:val="auto"/>
        </w:rPr>
        <w:t>Indebtedness</w:t>
      </w:r>
      <w:r>
        <w:rPr>
          <w:rFonts w:ascii="Arial" w:cs="Arial" w:eastAsia="Arial" w:hAnsi="Arial"/>
          <w:sz w:val="21"/>
          <w:szCs w:val="21"/>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21"/>
          <w:szCs w:val="21"/>
          <w:u w:val="single" w:color="auto"/>
          <w:color w:val="auto"/>
        </w:rPr>
        <w:t>Section 2.09(b)</w:t>
      </w:r>
      <w:r>
        <w:rPr>
          <w:rFonts w:ascii="Arial" w:cs="Arial" w:eastAsia="Arial" w:hAnsi="Arial"/>
          <w:sz w:val="21"/>
          <w:szCs w:val="21"/>
          <w:color w:val="auto"/>
        </w:rPr>
        <w:t>).</w:t>
      </w:r>
    </w:p>
    <w:p>
      <w:pPr>
        <w:spacing w:after="0" w:line="179" w:lineRule="exact"/>
        <w:rPr>
          <w:sz w:val="20"/>
          <w:szCs w:val="20"/>
          <w:color w:val="auto"/>
        </w:rPr>
      </w:pPr>
    </w:p>
    <w:p>
      <w:pPr>
        <w:jc w:val="both"/>
        <w:ind w:left="880" w:firstLine="810"/>
        <w:spacing w:after="0" w:line="234" w:lineRule="auto"/>
        <w:rPr>
          <w:sz w:val="20"/>
          <w:szCs w:val="20"/>
          <w:color w:val="auto"/>
        </w:rPr>
      </w:pPr>
      <w:r>
        <w:rPr>
          <w:rFonts w:ascii="Arial" w:cs="Arial" w:eastAsia="Arial" w:hAnsi="Arial"/>
          <w:sz w:val="22"/>
          <w:szCs w:val="22"/>
          <w:color w:val="auto"/>
        </w:rPr>
        <w:t xml:space="preserve">(iv) </w:t>
      </w:r>
      <w:r>
        <w:rPr>
          <w:rFonts w:ascii="Arial" w:cs="Arial" w:eastAsia="Arial" w:hAnsi="Arial"/>
          <w:sz w:val="22"/>
          <w:szCs w:val="22"/>
          <w:u w:val="single" w:color="auto"/>
          <w:color w:val="auto"/>
        </w:rPr>
        <w:t>Extraordinary Receipt</w:t>
      </w:r>
      <w:r>
        <w:rPr>
          <w:rFonts w:ascii="Arial" w:cs="Arial" w:eastAsia="Arial" w:hAnsi="Arial"/>
          <w:sz w:val="22"/>
          <w:szCs w:val="22"/>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2.10(d)</w:t>
      </w:r>
      <w:r>
        <w:rPr>
          <w:rFonts w:ascii="Arial" w:cs="Arial" w:eastAsia="Arial" w:hAnsi="Arial"/>
          <w:sz w:val="22"/>
          <w:szCs w:val="22"/>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91"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22"/>
          <w:szCs w:val="22"/>
          <w:color w:val="auto"/>
        </w:rPr>
        <w:t xml:space="preserve">(v) </w:t>
      </w:r>
      <w:r>
        <w:rPr>
          <w:rFonts w:ascii="Arial" w:cs="Arial" w:eastAsia="Arial" w:hAnsi="Arial"/>
          <w:sz w:val="22"/>
          <w:szCs w:val="22"/>
          <w:u w:val="single" w:color="auto"/>
          <w:color w:val="auto"/>
        </w:rPr>
        <w:t>Return of Capital</w:t>
      </w:r>
      <w:r>
        <w:rPr>
          <w:rFonts w:ascii="Arial" w:cs="Arial" w:eastAsia="Arial" w:hAnsi="Arial"/>
          <w:sz w:val="22"/>
          <w:szCs w:val="22"/>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no later than the fifth Business Day following the receipt of such Return of Capital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Notwithstanding the foregoing, (I) Net Cash Proceeds and Return of Capital required to be applied to the prepayment of the Loans pursuant to this </w:t>
      </w:r>
      <w:r>
        <w:rPr>
          <w:rFonts w:ascii="Arial" w:cs="Arial" w:eastAsia="Arial" w:hAnsi="Arial"/>
          <w:sz w:val="22"/>
          <w:szCs w:val="22"/>
          <w:u w:val="single" w:color="auto"/>
          <w:color w:val="auto"/>
        </w:rPr>
        <w:t>Section 2.10(d)</w:t>
      </w:r>
      <w:r>
        <w:rPr>
          <w:rFonts w:ascii="Arial" w:cs="Arial" w:eastAsia="Arial" w:hAnsi="Arial"/>
          <w:sz w:val="22"/>
          <w:szCs w:val="22"/>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59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3" w:name="page214"/>
    <w:bookmarkEnd w:id="213"/>
    <w:p>
      <w:pPr>
        <w:jc w:val="both"/>
        <w:spacing w:after="0" w:line="273" w:lineRule="auto"/>
        <w:rPr>
          <w:sz w:val="20"/>
          <w:szCs w:val="20"/>
          <w:color w:val="auto"/>
        </w:rPr>
      </w:pPr>
      <w:r>
        <w:rPr>
          <w:rFonts w:ascii="Arial" w:cs="Arial" w:eastAsia="Arial" w:hAnsi="Arial"/>
          <w:sz w:val="19"/>
          <w:szCs w:val="19"/>
          <w:color w:val="auto"/>
        </w:rPr>
        <w:t xml:space="preserve">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9"/>
          <w:szCs w:val="19"/>
          <w:u w:val="single" w:color="auto"/>
          <w:color w:val="auto"/>
        </w:rPr>
        <w:t>Section 6.05(b)</w:t>
      </w:r>
      <w:r>
        <w:rPr>
          <w:rFonts w:ascii="Arial" w:cs="Arial" w:eastAsia="Arial" w:hAnsi="Arial"/>
          <w:sz w:val="19"/>
          <w:szCs w:val="19"/>
          <w:color w:val="auto"/>
        </w:rPr>
        <w:t xml:space="preserve"> herein) to maintain the status of a RIC under the Code and a “business development company” under the Investment Company Act for so long as the Borrower retains such status and (II) if the Loans to be prepaid pursuant to this </w:t>
      </w:r>
      <w:r>
        <w:rPr>
          <w:rFonts w:ascii="Arial" w:cs="Arial" w:eastAsia="Arial" w:hAnsi="Arial"/>
          <w:sz w:val="19"/>
          <w:szCs w:val="19"/>
          <w:u w:val="single" w:color="auto"/>
          <w:color w:val="auto"/>
        </w:rPr>
        <w:t>Section 2.01(d)</w:t>
      </w:r>
      <w:r>
        <w:rPr>
          <w:rFonts w:ascii="Arial" w:cs="Arial" w:eastAsia="Arial" w:hAnsi="Arial"/>
          <w:sz w:val="19"/>
          <w:szCs w:val="19"/>
          <w:color w:val="auto"/>
        </w:rPr>
        <w:t xml:space="preserve">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Administrative Agent may direct the application of such deposits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2.09(b)</w:t>
      </w:r>
      <w:r>
        <w:rPr>
          <w:rFonts w:ascii="Arial" w:cs="Arial" w:eastAsia="Arial" w:hAnsi="Arial"/>
          <w:sz w:val="19"/>
          <w:szCs w:val="19"/>
          <w:color w:val="auto"/>
        </w:rPr>
        <w:t xml:space="preserve"> at any time and if the Administrative Agent does so, no amounts will be payable by the Borrower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62"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Notices, Etc</w:t>
      </w:r>
      <w:r>
        <w:rPr>
          <w:rFonts w:ascii="Arial" w:cs="Arial" w:eastAsia="Arial" w:hAnsi="Arial"/>
          <w:sz w:val="19"/>
          <w:szCs w:val="19"/>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1:00 p.m., Atlanta, Georgia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 a notice of prepayment is given in connection with a conditional notice of termination of the Commitments of a Class as contemplated by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(ii) any notice given in connection with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Swingline Loan,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shall be made in the manner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4" w:name="page215"/>
    <w:bookmarkEnd w:id="214"/>
    <w:p>
      <w:pPr>
        <w:jc w:val="both"/>
        <w:spacing w:after="0" w:line="328" w:lineRule="auto"/>
        <w:rPr>
          <w:sz w:val="20"/>
          <w:szCs w:val="20"/>
          <w:color w:val="auto"/>
        </w:rPr>
      </w:pP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unless such prepayment is made in connection with the reduction of Commitments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in which case such prepayment shall be applied in accordance with </w:t>
      </w:r>
      <w:r>
        <w:rPr>
          <w:rFonts w:ascii="Arial" w:cs="Arial" w:eastAsia="Arial" w:hAnsi="Arial"/>
          <w:sz w:val="19"/>
          <w:szCs w:val="19"/>
          <w:u w:val="single" w:color="auto"/>
          <w:color w:val="auto"/>
        </w:rPr>
        <w:t>Section 2.08(d)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as applicable.</w:t>
      </w:r>
    </w:p>
    <w:p>
      <w:pPr>
        <w:spacing w:after="0" w:line="10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Commitment Fee</w:t>
      </w:r>
      <w:r>
        <w:rPr>
          <w:rFonts w:ascii="Arial" w:cs="Arial" w:eastAsia="Arial" w:hAnsi="Arial"/>
          <w:sz w:val="21"/>
          <w:szCs w:val="21"/>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7"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5" w:name="page216"/>
    <w:bookmarkEnd w:id="215"/>
    <w:p>
      <w:pPr>
        <w:jc w:val="both"/>
        <w:spacing w:after="0" w:line="247" w:lineRule="auto"/>
        <w:rPr>
          <w:sz w:val="20"/>
          <w:szCs w:val="20"/>
          <w:color w:val="auto"/>
        </w:rPr>
      </w:pPr>
      <w:r>
        <w:rPr>
          <w:rFonts w:ascii="Arial" w:cs="Arial" w:eastAsia="Arial" w:hAnsi="Arial"/>
          <w:sz w:val="21"/>
          <w:szCs w:val="21"/>
          <w:color w:val="auto"/>
        </w:rPr>
        <w:t>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ectPr>
          <w:pgSz w:w="11900" w:h="16838" w:orient="portrait"/>
          <w:cols w:equalWidth="0" w:num="1">
            <w:col w:w="11420"/>
          </w:cols>
          <w:pgMar w:left="240" w:top="334" w:right="239" w:bottom="1440" w:gutter="0" w:footer="0" w:header="0"/>
        </w:sectPr>
      </w:pP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for its own account, fees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firstLine="1487"/>
        <w:spacing w:after="0" w:line="328" w:lineRule="auto"/>
        <w:rPr>
          <w:sz w:val="20"/>
          <w:szCs w:val="20"/>
          <w:color w:val="auto"/>
        </w:rPr>
      </w:pPr>
      <w:r>
        <w:rPr>
          <w:rFonts w:ascii="Arial" w:cs="Arial" w:eastAsia="Arial" w:hAnsi="Arial"/>
          <w:sz w:val="19"/>
          <w:szCs w:val="19"/>
          <w:u w:val="single" w:color="auto"/>
          <w:color w:val="auto"/>
        </w:rPr>
        <w:t>Administrative Agent Fees</w:t>
      </w:r>
      <w:r>
        <w:rPr>
          <w:rFonts w:ascii="Arial" w:cs="Arial" w:eastAsia="Arial" w:hAnsi="Arial"/>
          <w:sz w:val="19"/>
          <w:szCs w:val="19"/>
          <w:color w:val="auto"/>
        </w:rPr>
        <w:t>. The Borrower agrees to pay to the Administrative Agent, payable in the amounts and at the times separately agreed upon between the Borrower and the</w:t>
      </w:r>
    </w:p>
    <w:p>
      <w:pPr>
        <w:spacing w:after="0" w:line="347" w:lineRule="exact"/>
        <w:rPr>
          <w:sz w:val="20"/>
          <w:szCs w:val="20"/>
          <w:color w:val="auto"/>
        </w:rPr>
      </w:pPr>
    </w:p>
    <w:p>
      <w:pPr>
        <w:sectPr>
          <w:pgSz w:w="11900" w:h="16838" w:orient="portrait"/>
          <w:cols w:equalWidth="0" w:num="2">
            <w:col w:w="2360" w:space="100"/>
            <w:col w:w="8960"/>
          </w:cols>
          <w:pgMar w:left="240" w:top="334" w:right="239" w:bottom="1440" w:gutter="0" w:footer="0" w:header="0"/>
          <w:type w:val="continuous"/>
        </w:sectPr>
      </w:pPr>
    </w:p>
    <w:p>
      <w:pPr>
        <w:jc w:val="both"/>
        <w:ind w:firstLine="1755"/>
        <w:spacing w:after="0" w:line="235"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Payment of Fees</w:t>
      </w:r>
      <w:r>
        <w:rPr>
          <w:rFonts w:ascii="Arial" w:cs="Arial" w:eastAsia="Arial" w:hAnsi="Arial"/>
          <w:sz w:val="22"/>
          <w:szCs w:val="22"/>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ABR Loans</w:t>
      </w:r>
      <w:r>
        <w:rPr>
          <w:rFonts w:ascii="Arial" w:cs="Arial" w:eastAsia="Arial" w:hAnsi="Arial"/>
          <w:sz w:val="22"/>
          <w:szCs w:val="22"/>
          <w:color w:val="auto"/>
        </w:rPr>
        <w:t xml:space="preserve">. The Loans constituting each ABR Borrowing (including each Swingline Loan) that are made by the Extending Lenders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Non-Extended Applicable Margin.</w:t>
      </w:r>
    </w:p>
    <w:p>
      <w:pPr>
        <w:spacing w:after="0" w:line="18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Eurocurrency Loans</w:t>
      </w:r>
      <w:r>
        <w:rPr>
          <w:rFonts w:ascii="Arial" w:cs="Arial" w:eastAsia="Arial" w:hAnsi="Arial"/>
          <w:sz w:val="22"/>
          <w:szCs w:val="22"/>
          <w:color w:val="auto"/>
        </w:rPr>
        <w:t xml:space="preserve">. The Loans constituting each Eurocurrency Borrowing that are made by the Extending Lenders shall bear interest at a rate per annum equal to the Adjusted LIBO Rate for the related Interest Period for such Borrowing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Extended Applicable Margin. The Loans constituting each Eurocurrency Borrowing that are made by the Non-Extending Lenders shall bear interest at a rate per annum equal to the Adjusted LIBO Rate for the related Interest Period for such Borrowing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Non-Extended Applicable Margin.</w:t>
      </w:r>
    </w:p>
    <w:p>
      <w:pPr>
        <w:spacing w:after="0" w:line="188"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Default Interest</w:t>
      </w:r>
      <w:r>
        <w:rPr>
          <w:rFonts w:ascii="Arial" w:cs="Arial" w:eastAsia="Arial" w:hAnsi="Arial"/>
          <w:sz w:val="19"/>
          <w:szCs w:val="19"/>
          <w:color w:val="auto"/>
        </w:rPr>
        <w:t>.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w:t>
      </w:r>
    </w:p>
    <w:p>
      <w:pPr>
        <w:spacing w:after="0" w:line="2" w:lineRule="exact"/>
        <w:rPr>
          <w:sz w:val="20"/>
          <w:szCs w:val="20"/>
          <w:color w:val="auto"/>
        </w:rPr>
      </w:pPr>
    </w:p>
    <w:p>
      <w:pPr>
        <w:jc w:val="both"/>
        <w:ind w:firstLine="8"/>
        <w:spacing w:after="0" w:line="287" w:lineRule="auto"/>
        <w:tabs>
          <w:tab w:leader="none" w:pos="25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in the case of principal of any Loan,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otherwise applicable to such Loan as provided above, (ii) in the case of any Letter of Credit,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fee otherwise applicable to such Letter of Credit as provided in </w:t>
      </w:r>
      <w:r>
        <w:rPr>
          <w:rFonts w:ascii="Arial" w:cs="Arial" w:eastAsia="Arial" w:hAnsi="Arial"/>
          <w:sz w:val="19"/>
          <w:szCs w:val="19"/>
          <w:u w:val="single" w:color="auto"/>
          <w:color w:val="auto"/>
        </w:rPr>
        <w:t>Section 2.11(b)(i)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in the case of any fee or other amount,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16" w:name="page217"/>
    <w:bookmarkEnd w:id="216"/>
    <w:p>
      <w:pPr>
        <w:jc w:val="both"/>
        <w:ind w:firstLine="1755"/>
        <w:spacing w:after="0" w:line="247"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Payment of Interest</w:t>
      </w:r>
      <w:r>
        <w:rPr>
          <w:rFonts w:ascii="Arial" w:cs="Arial" w:eastAsia="Arial" w:hAnsi="Arial"/>
          <w:sz w:val="21"/>
          <w:szCs w:val="21"/>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2" w:lineRule="exact"/>
        <w:rPr>
          <w:sz w:val="20"/>
          <w:szCs w:val="20"/>
          <w:color w:val="auto"/>
        </w:rPr>
      </w:pPr>
    </w:p>
    <w:p>
      <w:pPr>
        <w:jc w:val="both"/>
        <w:ind w:firstLine="8"/>
        <w:spacing w:after="0" w:line="277" w:lineRule="auto"/>
        <w:tabs>
          <w:tab w:leader="none" w:pos="28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interest accrued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53" w:lineRule="exact"/>
        <w:rPr>
          <w:sz w:val="20"/>
          <w:szCs w:val="20"/>
          <w:color w:val="auto"/>
        </w:rPr>
      </w:pPr>
    </w:p>
    <w:p>
      <w:pPr>
        <w:jc w:val="both"/>
        <w:ind w:right="20" w:firstLine="1755"/>
        <w:spacing w:after="0" w:line="248" w:lineRule="auto"/>
        <w:rPr>
          <w:sz w:val="20"/>
          <w:szCs w:val="20"/>
          <w:color w:val="auto"/>
        </w:rPr>
      </w:pPr>
      <w:r>
        <w:rPr>
          <w:rFonts w:ascii="Arial" w:cs="Arial" w:eastAsia="Arial" w:hAnsi="Arial"/>
          <w:sz w:val="21"/>
          <w:szCs w:val="21"/>
          <w:color w:val="auto"/>
        </w:rPr>
        <w:t xml:space="preserve">(e) </w:t>
      </w:r>
      <w:r>
        <w:rPr>
          <w:rFonts w:ascii="Arial" w:cs="Arial" w:eastAsia="Arial" w:hAnsi="Arial"/>
          <w:sz w:val="21"/>
          <w:szCs w:val="21"/>
          <w:u w:val="single" w:color="auto"/>
          <w:color w:val="auto"/>
        </w:rPr>
        <w:t>Computation</w:t>
      </w:r>
      <w:r>
        <w:rPr>
          <w:rFonts w:ascii="Arial" w:cs="Arial" w:eastAsia="Arial" w:hAnsi="Arial"/>
          <w:sz w:val="21"/>
          <w:szCs w:val="21"/>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Inability to Determine Interest Rates</w:t>
      </w:r>
      <w:r>
        <w:rPr>
          <w:rFonts w:ascii="Arial" w:cs="Arial" w:eastAsia="Arial" w:hAnsi="Arial"/>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20" w:type="dxa"/>
            <w:vAlign w:val="bottom"/>
          </w:tcPr>
          <w:p>
            <w:pPr>
              <w:ind w:left="1760"/>
              <w:spacing w:after="0"/>
              <w:rPr>
                <w:sz w:val="20"/>
                <w:szCs w:val="20"/>
                <w:color w:val="auto"/>
              </w:rPr>
            </w:pPr>
            <w:r>
              <w:rPr>
                <w:rFonts w:ascii="Arial" w:cs="Arial" w:eastAsia="Arial" w:hAnsi="Arial"/>
                <w:sz w:val="22"/>
                <w:szCs w:val="22"/>
                <w:color w:val="auto"/>
              </w:rPr>
              <w:t>(a)</w:t>
            </w:r>
          </w:p>
        </w:tc>
        <w:tc>
          <w:tcPr>
            <w:tcW w:w="8500" w:type="dxa"/>
            <w:vAlign w:val="bottom"/>
            <w:gridSpan w:val="3"/>
          </w:tcPr>
          <w:p>
            <w:pPr>
              <w:ind w:left="1020"/>
              <w:spacing w:after="0"/>
              <w:rPr>
                <w:sz w:val="20"/>
                <w:szCs w:val="20"/>
                <w:color w:val="auto"/>
              </w:rPr>
            </w:pPr>
            <w:r>
              <w:rPr>
                <w:rFonts w:ascii="Arial" w:cs="Arial" w:eastAsia="Arial" w:hAnsi="Arial"/>
                <w:sz w:val="22"/>
                <w:szCs w:val="22"/>
                <w:color w:val="auto"/>
                <w:w w:val="90"/>
              </w:rPr>
              <w:t>If, prior to the commencement of any Interest Period for any Eurocurrency Borrowing</w:t>
            </w:r>
          </w:p>
        </w:tc>
      </w:tr>
      <w:tr>
        <w:trPr>
          <w:trHeight w:val="224"/>
        </w:trPr>
        <w:tc>
          <w:tcPr>
            <w:tcW w:w="11420" w:type="dxa"/>
            <w:vAlign w:val="bottom"/>
            <w:gridSpan w:val="4"/>
          </w:tcPr>
          <w:p>
            <w:pPr>
              <w:spacing w:after="0" w:line="224" w:lineRule="exact"/>
              <w:rPr>
                <w:sz w:val="20"/>
                <w:szCs w:val="20"/>
                <w:color w:val="auto"/>
              </w:rPr>
            </w:pPr>
            <w:r>
              <w:rPr>
                <w:rFonts w:ascii="Arial" w:cs="Arial" w:eastAsia="Arial" w:hAnsi="Arial"/>
                <w:sz w:val="22"/>
                <w:szCs w:val="22"/>
                <w:color w:val="auto"/>
              </w:rPr>
              <w:t>of a Class (the Currency of such Borrowing herein called the “Affected Currency”):</w:t>
            </w:r>
          </w:p>
        </w:tc>
      </w:tr>
      <w:tr>
        <w:trPr>
          <w:trHeight w:val="20"/>
        </w:trPr>
        <w:tc>
          <w:tcPr>
            <w:tcW w:w="2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76"/>
        </w:trPr>
        <w:tc>
          <w:tcPr>
            <w:tcW w:w="2920" w:type="dxa"/>
            <w:vAlign w:val="bottom"/>
          </w:tcPr>
          <w:p>
            <w:pPr>
              <w:ind w:left="1700"/>
              <w:spacing w:after="0"/>
              <w:rPr>
                <w:sz w:val="20"/>
                <w:szCs w:val="20"/>
                <w:color w:val="auto"/>
              </w:rPr>
            </w:pPr>
            <w:r>
              <w:rPr>
                <w:rFonts w:ascii="Arial" w:cs="Arial" w:eastAsia="Arial" w:hAnsi="Arial"/>
                <w:sz w:val="22"/>
                <w:szCs w:val="22"/>
                <w:color w:val="auto"/>
              </w:rPr>
              <w:t>(i)</w:t>
            </w:r>
          </w:p>
        </w:tc>
        <w:tc>
          <w:tcPr>
            <w:tcW w:w="8500" w:type="dxa"/>
            <w:vAlign w:val="bottom"/>
            <w:gridSpan w:val="3"/>
          </w:tcPr>
          <w:p>
            <w:pPr>
              <w:ind w:left="920"/>
              <w:spacing w:after="0"/>
              <w:rPr>
                <w:sz w:val="20"/>
                <w:szCs w:val="20"/>
                <w:color w:val="auto"/>
              </w:rPr>
            </w:pPr>
            <w:r>
              <w:rPr>
                <w:rFonts w:ascii="Arial" w:cs="Arial" w:eastAsia="Arial" w:hAnsi="Arial"/>
                <w:sz w:val="22"/>
                <w:szCs w:val="22"/>
                <w:color w:val="auto"/>
                <w:w w:val="93"/>
              </w:rPr>
              <w:t>the  Administrative  Agent  shall  have  determined  (which  determination  shall  be</w:t>
            </w:r>
          </w:p>
        </w:tc>
      </w:tr>
    </w:tbl>
    <w:p>
      <w:pPr>
        <w:jc w:val="both"/>
        <w:ind w:left="880"/>
        <w:spacing w:after="0" w:line="233" w:lineRule="auto"/>
        <w:rPr>
          <w:sz w:val="20"/>
          <w:szCs w:val="20"/>
          <w:color w:val="auto"/>
        </w:rPr>
      </w:pPr>
      <w:r>
        <w:rPr>
          <w:rFonts w:ascii="Arial" w:cs="Arial" w:eastAsia="Arial" w:hAnsi="Arial"/>
          <w:sz w:val="22"/>
          <w:szCs w:val="22"/>
          <w:color w:val="auto"/>
        </w:rPr>
        <w:t>conclusive and binding upon the Borrower absent manifest error) that, by reason of circumstances affecting the relevant interbank market, adequate and reasonable means do not exist for ascertaining the Adjusted LIBO Rate for the Affected Currency (including, without limitation, because the Screen Rate is not available or published on a current basis) for such Interest Period; or</w:t>
      </w:r>
    </w:p>
    <w:p>
      <w:pPr>
        <w:spacing w:after="0" w:line="188"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(ii) the Administrative Agent shall have received notice from the Required Lenders of such Class of Commitments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7" w:name="page218"/>
    <w:bookmarkEnd w:id="217"/>
    <w:p>
      <w:pPr>
        <w:jc w:val="both"/>
        <w:spacing w:after="0" w:line="235" w:lineRule="auto"/>
        <w:rPr>
          <w:sz w:val="20"/>
          <w:szCs w:val="20"/>
          <w:color w:val="auto"/>
        </w:rPr>
      </w:pPr>
      <w:r>
        <w:rPr>
          <w:rFonts w:ascii="Arial" w:cs="Arial" w:eastAsia="Arial" w:hAnsi="Arial"/>
          <w:sz w:val="22"/>
          <w:szCs w:val="22"/>
          <w:color w:val="auto"/>
        </w:rPr>
        <w:t>Currency is Dollars and any Borrowing Request requests a Eurocurrency Borrowing denominated in Dollars, such Borrowing shall be made as a Syndicated ABR Borrowing and (iii) if the Affected Currency is a Foreign Currency, then either, at the Borrower’s election, (A) 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w:t>
      </w:r>
    </w:p>
    <w:p>
      <w:pPr>
        <w:spacing w:after="0" w:line="188"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(b) If at any time the Administrative Agent determines (which determination shall be conclusive absent manifest error) that (i) the circumstances set forth in clause (a)(i) above have arisen and such circumstances are unlikely to be temporary or (ii) the circumstances set forth in clause (a)(i) above 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Borrower shall endeavor to establish an alternate rate of interest to the Screen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Extended Applicable Margin or Non-Extended Applicable Margin, as applicable). Notwithstanding anything to the contrary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w:t>
      </w:r>
      <w:r>
        <w:rPr>
          <w:rFonts w:ascii="Arial" w:cs="Arial" w:eastAsia="Arial" w:hAnsi="Arial"/>
          <w:sz w:val="19"/>
          <w:szCs w:val="19"/>
          <w:u w:val="single" w:color="auto"/>
          <w:color w:val="auto"/>
        </w:rPr>
        <w:t>Section 2.13(b)</w:t>
      </w:r>
      <w:r>
        <w:rPr>
          <w:rFonts w:ascii="Arial" w:cs="Arial" w:eastAsia="Arial" w:hAnsi="Arial"/>
          <w:sz w:val="19"/>
          <w:szCs w:val="19"/>
          <w:color w:val="auto"/>
        </w:rPr>
        <w:t>, only to the extent the Screen Rate for the applicable currency and/or such Interest Period is not available or published at such time on a current basis)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then either, at the Borrower’s election, (A) 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 provided, that, if such alternate rate of interest shall be less than zero, such rate shall be deemed to be zero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8" w:name="page219"/>
    <w:bookmarkEnd w:id="218"/>
    <w:p>
      <w:pPr>
        <w:ind w:left="17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1220" w:type="dxa"/>
            <w:vAlign w:val="bottom"/>
          </w:tcPr>
          <w:p>
            <w:pPr>
              <w:ind w:left="60"/>
              <w:spacing w:after="0"/>
              <w:rPr>
                <w:sz w:val="20"/>
                <w:szCs w:val="20"/>
                <w:color w:val="auto"/>
              </w:rPr>
            </w:pPr>
            <w:r>
              <w:rPr>
                <w:rFonts w:ascii="Arial" w:cs="Arial" w:eastAsia="Arial" w:hAnsi="Arial"/>
                <w:sz w:val="22"/>
                <w:szCs w:val="22"/>
                <w:color w:val="auto"/>
              </w:rPr>
              <w:t>(a)</w:t>
            </w:r>
          </w:p>
        </w:tc>
        <w:tc>
          <w:tcPr>
            <w:tcW w:w="1020" w:type="dxa"/>
            <w:vAlign w:val="bottom"/>
          </w:tcPr>
          <w:p>
            <w:pPr>
              <w:spacing w:after="0"/>
              <w:rPr>
                <w:sz w:val="21"/>
                <w:szCs w:val="21"/>
                <w:color w:val="auto"/>
              </w:rPr>
            </w:pPr>
          </w:p>
        </w:tc>
        <w:tc>
          <w:tcPr>
            <w:tcW w:w="7460" w:type="dxa"/>
            <w:vAlign w:val="bottom"/>
            <w:gridSpan w:val="2"/>
          </w:tcPr>
          <w:p>
            <w:pPr>
              <w:spacing w:after="0"/>
              <w:rPr>
                <w:sz w:val="20"/>
                <w:szCs w:val="20"/>
                <w:color w:val="auto"/>
              </w:rPr>
            </w:pPr>
            <w:r>
              <w:rPr>
                <w:rFonts w:ascii="Arial" w:cs="Arial" w:eastAsia="Arial" w:hAnsi="Arial"/>
                <w:sz w:val="22"/>
                <w:szCs w:val="22"/>
                <w:color w:val="auto"/>
              </w:rPr>
              <w:t>Increased Costs Generally. If any Change in Law shall:</w:t>
            </w:r>
          </w:p>
        </w:tc>
      </w:tr>
      <w:tr>
        <w:trPr>
          <w:trHeight w:val="20"/>
        </w:trPr>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76"/>
        </w:trPr>
        <w:tc>
          <w:tcPr>
            <w:tcW w:w="1220" w:type="dxa"/>
            <w:vAlign w:val="bottom"/>
          </w:tcPr>
          <w:p>
            <w:pPr>
              <w:spacing w:after="0"/>
              <w:rPr>
                <w:sz w:val="20"/>
                <w:szCs w:val="20"/>
                <w:color w:val="auto"/>
              </w:rPr>
            </w:pPr>
            <w:r>
              <w:rPr>
                <w:rFonts w:ascii="Arial" w:cs="Arial" w:eastAsia="Arial" w:hAnsi="Arial"/>
                <w:sz w:val="22"/>
                <w:szCs w:val="22"/>
                <w:color w:val="auto"/>
              </w:rPr>
              <w:t>(i)</w:t>
            </w:r>
          </w:p>
        </w:tc>
        <w:tc>
          <w:tcPr>
            <w:tcW w:w="8480" w:type="dxa"/>
            <w:vAlign w:val="bottom"/>
            <w:gridSpan w:val="3"/>
          </w:tcPr>
          <w:p>
            <w:pPr>
              <w:ind w:left="920"/>
              <w:spacing w:after="0"/>
              <w:rPr>
                <w:sz w:val="20"/>
                <w:szCs w:val="20"/>
                <w:color w:val="auto"/>
              </w:rPr>
            </w:pPr>
            <w:r>
              <w:rPr>
                <w:rFonts w:ascii="Arial" w:cs="Arial" w:eastAsia="Arial" w:hAnsi="Arial"/>
                <w:sz w:val="22"/>
                <w:szCs w:val="22"/>
                <w:color w:val="auto"/>
                <w:w w:val="94"/>
              </w:rPr>
              <w:t>impose, modify or deem applicable any reserve, special deposit, compulsory loan,</w:t>
            </w:r>
          </w:p>
        </w:tc>
      </w:tr>
    </w:tbl>
    <w:p>
      <w:pPr>
        <w:jc w:val="both"/>
        <w:ind w:left="880" w:right="20"/>
        <w:spacing w:after="0" w:line="256" w:lineRule="auto"/>
        <w:rPr>
          <w:sz w:val="20"/>
          <w:szCs w:val="20"/>
          <w:color w:val="auto"/>
        </w:rPr>
      </w:pPr>
      <w:r>
        <w:rPr>
          <w:rFonts w:ascii="Arial" w:cs="Arial" w:eastAsia="Arial" w:hAnsi="Arial"/>
          <w:sz w:val="21"/>
          <w:szCs w:val="21"/>
          <w:color w:val="auto"/>
        </w:rPr>
        <w:t>insurance charge or similar requirement against assets of, deposits with or for account of, or credit extended by, any Lender (except any such reserve requirement reflected in the Adjusted LIBO Rate) or any Issuing Bank; or</w:t>
      </w:r>
    </w:p>
    <w:p>
      <w:pPr>
        <w:spacing w:after="0" w:line="169" w:lineRule="exact"/>
        <w:rPr>
          <w:sz w:val="20"/>
          <w:szCs w:val="20"/>
          <w:color w:val="auto"/>
        </w:rPr>
      </w:pPr>
    </w:p>
    <w:p>
      <w:pPr>
        <w:jc w:val="both"/>
        <w:ind w:left="880" w:right="20" w:firstLine="810"/>
        <w:spacing w:after="0"/>
        <w:rPr>
          <w:sz w:val="20"/>
          <w:szCs w:val="20"/>
          <w:color w:val="auto"/>
        </w:rPr>
      </w:pPr>
      <w:r>
        <w:rPr>
          <w:rFonts w:ascii="Arial" w:cs="Arial" w:eastAsia="Arial" w:hAnsi="Arial"/>
          <w:sz w:val="22"/>
          <w:szCs w:val="22"/>
          <w:color w:val="auto"/>
        </w:rPr>
        <w:t>(ii) 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51"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Capital and Liquidity Requirements</w:t>
      </w:r>
      <w:r>
        <w:rPr>
          <w:rFonts w:ascii="Arial" w:cs="Arial" w:eastAsia="Arial" w:hAnsi="Arial"/>
          <w:sz w:val="21"/>
          <w:szCs w:val="21"/>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90"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Certificates from Lenders</w:t>
      </w:r>
      <w:r>
        <w:rPr>
          <w:rFonts w:ascii="Arial" w:cs="Arial" w:eastAsia="Arial" w:hAnsi="Arial"/>
          <w:sz w:val="22"/>
          <w:szCs w:val="22"/>
          <w:color w:val="auto"/>
        </w:rPr>
        <w:t xml:space="preserve">. A certificate of a Lender or an Issuing Bank setting forth the amount or amounts, in Dollars, necessary to compensate such Lender or such Issuing Bank or its holding company, as the case may be, as specified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9" w:name="page220"/>
    <w:bookmarkEnd w:id="219"/>
    <w:p>
      <w:pPr>
        <w:jc w:val="both"/>
        <w:ind w:firstLine="1755"/>
        <w:spacing w:after="0" w:line="234"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Delay in Requests</w:t>
      </w:r>
      <w:r>
        <w:rPr>
          <w:rFonts w:ascii="Arial" w:cs="Arial" w:eastAsia="Arial" w:hAnsi="Arial"/>
          <w:sz w:val="22"/>
          <w:szCs w:val="22"/>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if the Change in Law giving rise to such increased costs or reductions is retroactive, then the six-month period referred to above shall be extended to include the period of retroactive effect thereof.</w:t>
      </w:r>
    </w:p>
    <w:p>
      <w:pPr>
        <w:spacing w:after="0" w:line="188"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and is revoked in accordance herewith), or (d) the assignment as a result of a request by the Borrower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162"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 xml:space="preserve">(i) 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22"/>
          <w:szCs w:val="22"/>
          <w:u w:val="single" w:color="auto"/>
          <w:color w:val="auto"/>
        </w:rPr>
        <w:t>over</w:t>
      </w:r>
    </w:p>
    <w:p>
      <w:pPr>
        <w:spacing w:after="0" w:line="188"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(ii) 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0" w:name="page221"/>
    <w:bookmarkEnd w:id="220"/>
    <w:p>
      <w:pPr>
        <w:ind w:left="176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w:t>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the Borrower hereunder or under any other Loan Document shall be made free and clear of and without deduction for any Taxes, except as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shall be required to deduct any Taxes from such payments, then</w:t>
      </w:r>
    </w:p>
    <w:p>
      <w:pPr>
        <w:jc w:val="both"/>
        <w:ind w:firstLine="8"/>
        <w:spacing w:after="0" w:line="245" w:lineRule="auto"/>
        <w:tabs>
          <w:tab w:leader="none" w:pos="30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color w:val="auto"/>
              </w:rPr>
              <w:t>(b)</w:t>
            </w:r>
          </w:p>
        </w:tc>
        <w:tc>
          <w:tcPr>
            <w:tcW w:w="7460" w:type="dxa"/>
            <w:vAlign w:val="bottom"/>
            <w:gridSpan w:val="3"/>
          </w:tcPr>
          <w:p>
            <w:pPr>
              <w:jc w:val="right"/>
              <w:spacing w:after="0"/>
              <w:rPr>
                <w:sz w:val="20"/>
                <w:szCs w:val="20"/>
                <w:color w:val="auto"/>
              </w:rPr>
            </w:pPr>
            <w:r>
              <w:rPr>
                <w:rFonts w:ascii="Arial" w:cs="Arial" w:eastAsia="Arial" w:hAnsi="Arial"/>
                <w:sz w:val="22"/>
                <w:szCs w:val="22"/>
                <w:color w:val="auto"/>
                <w:w w:val="93"/>
              </w:rPr>
              <w:t>Payment of Other Taxes by the Borrower.  In addition, the Borrower shall pay any</w:t>
            </w:r>
          </w:p>
        </w:tc>
      </w:tr>
      <w:tr>
        <w:trPr>
          <w:trHeight w:val="20"/>
        </w:trPr>
        <w:tc>
          <w:tcPr>
            <w:tcW w:w="39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Other Taxes to the relevant Governmental Authority in accordance with applicable law.</w:t>
            </w: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auto"/>
              </w:rPr>
              <w:t>(c)</w:t>
            </w:r>
          </w:p>
        </w:tc>
        <w:tc>
          <w:tcPr>
            <w:tcW w:w="7460" w:type="dxa"/>
            <w:vAlign w:val="bottom"/>
            <w:gridSpan w:val="3"/>
          </w:tcPr>
          <w:p>
            <w:pPr>
              <w:jc w:val="right"/>
              <w:ind w:right="20"/>
              <w:spacing w:after="0"/>
              <w:rPr>
                <w:sz w:val="20"/>
                <w:szCs w:val="20"/>
                <w:color w:val="auto"/>
              </w:rPr>
            </w:pPr>
            <w:r>
              <w:rPr>
                <w:rFonts w:ascii="Arial" w:cs="Arial" w:eastAsia="Arial" w:hAnsi="Arial"/>
                <w:sz w:val="22"/>
                <w:szCs w:val="22"/>
                <w:color w:val="auto"/>
                <w:w w:val="94"/>
              </w:rPr>
              <w:t>Indemnification by the Borrower. The Borrower shall indemnify the Administrative</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59"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21"/>
          <w:szCs w:val="21"/>
          <w:u w:val="single" w:color="auto"/>
          <w:color w:val="auto"/>
        </w:rPr>
        <w:t>Section 9.04(f)</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21"/>
          <w:szCs w:val="21"/>
          <w:u w:val="single" w:color="auto"/>
          <w:color w:val="auto"/>
        </w:rPr>
        <w:t>paragraph (d)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1" w:name="page222"/>
    <w:bookmarkEnd w:id="221"/>
    <w:p>
      <w:pPr>
        <w:jc w:val="both"/>
        <w:ind w:firstLine="1755"/>
        <w:spacing w:after="0" w:line="252" w:lineRule="auto"/>
        <w:rPr>
          <w:sz w:val="20"/>
          <w:szCs w:val="20"/>
          <w:color w:val="auto"/>
        </w:rPr>
      </w:pPr>
      <w:r>
        <w:rPr>
          <w:rFonts w:ascii="Arial" w:cs="Arial" w:eastAsia="Arial" w:hAnsi="Arial"/>
          <w:sz w:val="21"/>
          <w:szCs w:val="21"/>
          <w:color w:val="auto"/>
        </w:rPr>
        <w:t xml:space="preserve">(e) </w:t>
      </w:r>
      <w:r>
        <w:rPr>
          <w:rFonts w:ascii="Arial" w:cs="Arial" w:eastAsia="Arial" w:hAnsi="Arial"/>
          <w:sz w:val="21"/>
          <w:szCs w:val="21"/>
          <w:u w:val="single" w:color="auto"/>
          <w:color w:val="auto"/>
        </w:rPr>
        <w:t>Evidence of Payments</w:t>
      </w:r>
      <w:r>
        <w:rPr>
          <w:rFonts w:ascii="Arial" w:cs="Arial" w:eastAsia="Arial" w:hAnsi="Arial"/>
          <w:sz w:val="21"/>
          <w:szCs w:val="21"/>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4"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Tax Documentation</w:t>
      </w:r>
      <w:r>
        <w:rPr>
          <w:rFonts w:ascii="Arial" w:cs="Arial" w:eastAsia="Arial" w:hAnsi="Arial"/>
          <w:sz w:val="19"/>
          <w:szCs w:val="19"/>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2.16(f)(ii)</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ectPr>
          <w:pgSz w:w="11900" w:h="16838" w:orient="portrait"/>
          <w:cols w:equalWidth="0" w:num="1">
            <w:col w:w="11420"/>
          </w:cols>
          <w:pgMar w:left="240" w:top="334" w:right="239" w:bottom="1440" w:gutter="0" w:footer="0" w:header="0"/>
        </w:sectPr>
      </w:pPr>
    </w:p>
    <w:p>
      <w:pPr>
        <w:spacing w:after="0" w:line="162"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Without limiting the generality of the foregoing:</w:t>
      </w:r>
    </w:p>
    <w:p>
      <w:pPr>
        <w:spacing w:after="0" w:line="234" w:lineRule="exact"/>
        <w:rPr>
          <w:sz w:val="20"/>
          <w:szCs w:val="20"/>
          <w:color w:val="auto"/>
        </w:rPr>
      </w:pPr>
    </w:p>
    <w:p>
      <w:pPr>
        <w:sectPr>
          <w:pgSz w:w="11900" w:h="16838" w:orient="portrait"/>
          <w:cols w:equalWidth="0" w:num="2">
            <w:col w:w="3180" w:space="720"/>
            <w:col w:w="7520"/>
          </w:cols>
          <w:pgMar w:left="240" w:top="334" w:right="239" w:bottom="1440" w:gutter="0" w:footer="0" w:header="0"/>
          <w:type w:val="continuous"/>
        </w:sectPr>
      </w:pPr>
    </w:p>
    <w:p>
      <w:pPr>
        <w:spacing w:after="0" w:line="6" w:lineRule="exact"/>
        <w:rPr>
          <w:sz w:val="20"/>
          <w:szCs w:val="20"/>
          <w:color w:val="auto"/>
        </w:rPr>
      </w:pPr>
    </w:p>
    <w:p>
      <w:pPr>
        <w:ind w:left="2500"/>
        <w:spacing w:after="0"/>
        <w:tabs>
          <w:tab w:leader="none" w:pos="53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any Lender that is a U.S. Person shall deliver to the Borrower and the</w:t>
      </w:r>
    </w:p>
    <w:p>
      <w:pPr>
        <w:sectPr>
          <w:pgSz w:w="11900" w:h="16838" w:orient="portrait"/>
          <w:cols w:equalWidth="0" w:num="1">
            <w:col w:w="11420"/>
          </w:cols>
          <w:pgMar w:left="240" w:top="334" w:right="239" w:bottom="1440" w:gutter="0" w:footer="0" w:header="0"/>
          <w:type w:val="continuous"/>
        </w:sectPr>
      </w:pPr>
    </w:p>
    <w:p>
      <w:pPr>
        <w:spacing w:after="0" w:line="56" w:lineRule="exact"/>
        <w:rPr>
          <w:sz w:val="20"/>
          <w:szCs w:val="20"/>
          <w:color w:val="auto"/>
        </w:rPr>
      </w:pPr>
    </w:p>
    <w:p>
      <w:pPr>
        <w:jc w:val="both"/>
        <w:ind w:left="1760"/>
        <w:spacing w:after="0" w:line="230" w:lineRule="auto"/>
        <w:rPr>
          <w:sz w:val="20"/>
          <w:szCs w:val="20"/>
          <w:color w:val="auto"/>
        </w:rPr>
      </w:pPr>
      <w:r>
        <w:rPr>
          <w:rFonts w:ascii="Arial" w:cs="Arial" w:eastAsia="Arial" w:hAnsi="Arial"/>
          <w:sz w:val="22"/>
          <w:szCs w:val="22"/>
          <w:color w:val="auto"/>
        </w:rPr>
        <w:t>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8" w:lineRule="exact"/>
        <w:rPr>
          <w:sz w:val="20"/>
          <w:szCs w:val="20"/>
          <w:color w:val="auto"/>
        </w:rPr>
      </w:pPr>
    </w:p>
    <w:p>
      <w:pPr>
        <w:jc w:val="both"/>
        <w:ind w:left="1760" w:firstLine="743"/>
        <w:spacing w:after="0" w:line="236" w:lineRule="auto"/>
        <w:rPr>
          <w:sz w:val="20"/>
          <w:szCs w:val="20"/>
          <w:color w:val="auto"/>
        </w:rPr>
      </w:pPr>
      <w:r>
        <w:rPr>
          <w:rFonts w:ascii="Arial" w:cs="Arial" w:eastAsia="Arial" w:hAnsi="Arial"/>
          <w:sz w:val="22"/>
          <w:szCs w:val="22"/>
          <w:color w:val="auto"/>
        </w:rPr>
        <w:t>(B) 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88" w:lineRule="exact"/>
        <w:rPr>
          <w:sz w:val="20"/>
          <w:szCs w:val="20"/>
          <w:color w:val="auto"/>
        </w:rPr>
      </w:pPr>
    </w:p>
    <w:p>
      <w:pPr>
        <w:jc w:val="both"/>
        <w:ind w:left="2640" w:firstLine="677"/>
        <w:spacing w:after="0"/>
        <w:tabs>
          <w:tab w:leader="none" w:pos="426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duly completed and executed copies of Internal Revenue Service Form W-8BEN or W-8BEN-E or any successor form claiming eligibility for benefits of an income tax treaty to which the United States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22" w:name="page223"/>
    <w:bookmarkEnd w:id="222"/>
    <w:p>
      <w:pPr>
        <w:jc w:val="both"/>
        <w:ind w:left="2640" w:firstLine="677"/>
        <w:spacing w:after="0"/>
        <w:tabs>
          <w:tab w:leader="none" w:pos="421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86" w:lineRule="exact"/>
        <w:rPr>
          <w:rFonts w:ascii="Arial" w:cs="Arial" w:eastAsia="Arial" w:hAnsi="Arial"/>
          <w:sz w:val="22"/>
          <w:szCs w:val="22"/>
          <w:color w:val="auto"/>
        </w:rPr>
      </w:pPr>
    </w:p>
    <w:p>
      <w:pPr>
        <w:jc w:val="both"/>
        <w:ind w:left="2640" w:firstLine="677"/>
        <w:spacing w:after="0" w:line="247" w:lineRule="auto"/>
        <w:tabs>
          <w:tab w:leader="none" w:pos="421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78" w:lineRule="exact"/>
        <w:rPr>
          <w:rFonts w:ascii="Arial" w:cs="Arial" w:eastAsia="Arial" w:hAnsi="Arial"/>
          <w:sz w:val="21"/>
          <w:szCs w:val="21"/>
          <w:color w:val="auto"/>
        </w:rPr>
      </w:pPr>
    </w:p>
    <w:p>
      <w:pPr>
        <w:jc w:val="both"/>
        <w:ind w:left="2640" w:firstLine="677"/>
        <w:spacing w:after="0" w:line="236" w:lineRule="auto"/>
        <w:tabs>
          <w:tab w:leader="none" w:pos="420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88"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 xml:space="preserve">(iii) In addition, each Lender shall deliver such forms promptly upon the obsolescence, expiration or invalidity of any form previously delivered by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Documentation Required by FATCA</w:t>
      </w:r>
      <w:r>
        <w:rPr>
          <w:rFonts w:ascii="Arial" w:cs="Arial" w:eastAsia="Arial" w:hAnsi="Arial"/>
          <w:sz w:val="19"/>
          <w:szCs w:val="19"/>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9"/>
          <w:szCs w:val="19"/>
          <w:u w:val="single" w:color="auto"/>
          <w:color w:val="auto"/>
        </w:rPr>
        <w:t>Section 2.16(g)</w:t>
      </w:r>
      <w:r>
        <w:rPr>
          <w:rFonts w:ascii="Arial" w:cs="Arial" w:eastAsia="Arial" w:hAnsi="Arial"/>
          <w:sz w:val="19"/>
          <w:szCs w:val="19"/>
          <w:color w:val="auto"/>
        </w:rPr>
        <w:t>,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3" w:name="page224"/>
    <w:bookmarkEnd w:id="223"/>
    <w:p>
      <w:pPr>
        <w:jc w:val="both"/>
        <w:ind w:firstLine="1755"/>
        <w:spacing w:after="0" w:line="271" w:lineRule="auto"/>
        <w:rPr>
          <w:sz w:val="20"/>
          <w:szCs w:val="20"/>
          <w:color w:val="auto"/>
        </w:rPr>
      </w:pPr>
      <w:r>
        <w:rPr>
          <w:rFonts w:ascii="Arial" w:cs="Arial" w:eastAsia="Arial" w:hAnsi="Arial"/>
          <w:sz w:val="19"/>
          <w:szCs w:val="19"/>
          <w:color w:val="auto"/>
        </w:rPr>
        <w:t xml:space="preserve">(h) </w:t>
      </w: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in no event will the Administrative Agent, any Lender or an Issuing Bank be required to pay any amount to Borrower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Payments by the Borrower</w:t>
      </w:r>
      <w:r>
        <w:rPr>
          <w:rFonts w:ascii="Arial" w:cs="Arial" w:eastAsia="Arial" w:hAnsi="Arial"/>
          <w:sz w:val="21"/>
          <w:szCs w:val="21"/>
          <w:color w:val="auto"/>
        </w:rPr>
        <w:t xml:space="preserve">. The Borrower shall make each payment required to be made by it hereunder (whether of principal, interest, fees or reimbursement of LC Disbursements, or under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70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4" w:name="page225"/>
    <w:bookmarkEnd w:id="224"/>
    <w:p>
      <w:pPr>
        <w:jc w:val="both"/>
        <w:ind w:firstLine="1755"/>
        <w:spacing w:after="0" w:line="244" w:lineRule="auto"/>
        <w:rPr>
          <w:sz w:val="20"/>
          <w:szCs w:val="20"/>
          <w:color w:val="auto"/>
        </w:rPr>
      </w:pPr>
      <w:r>
        <w:rPr>
          <w:rFonts w:ascii="Arial" w:cs="Arial" w:eastAsia="Arial" w:hAnsi="Arial"/>
          <w:sz w:val="21"/>
          <w:szCs w:val="21"/>
          <w:color w:val="auto"/>
        </w:rPr>
        <w:t xml:space="preserve">All amounts owing under this Agreement (including commitment fees, payments required under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payments required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21"/>
          <w:szCs w:val="21"/>
          <w:u w:val="single" w:color="auto"/>
          <w:color w:val="auto"/>
        </w:rPr>
        <w:t>Section 2.15</w:t>
      </w:r>
      <w:r>
        <w:rPr>
          <w:rFonts w:ascii="Arial" w:cs="Arial" w:eastAsia="Arial" w:hAnsi="Arial"/>
          <w:sz w:val="21"/>
          <w:szCs w:val="21"/>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5"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53"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Application of Insufficient Payments</w:t>
      </w:r>
      <w:r>
        <w:rPr>
          <w:rFonts w:ascii="Arial" w:cs="Arial" w:eastAsia="Arial" w:hAnsi="Arial"/>
          <w:sz w:val="21"/>
          <w:szCs w:val="21"/>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78"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Pro Rata Treatment</w:t>
      </w:r>
      <w:r>
        <w:rPr>
          <w:rFonts w:ascii="Arial" w:cs="Arial" w:eastAsia="Arial" w:hAnsi="Arial"/>
          <w:sz w:val="22"/>
          <w:szCs w:val="22"/>
          <w:color w:val="auto"/>
        </w:rPr>
        <w:t xml:space="preserve">. Except to the extent otherwise provided herein: (i) other than with respect any Syndicated Borrowing requested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shall be made for account of the Lenders of the applicable Class, and each termination or reduction of the amount of the Commitments of a Class of Commitments or Final Maturity Date under </w:t>
      </w: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shall be applied to the respective Commitments of the Lenders of such Class of Commitments or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5" w:name="page226"/>
    <w:bookmarkEnd w:id="225"/>
    <w:p>
      <w:pPr>
        <w:jc w:val="both"/>
        <w:spacing w:after="0" w:line="271" w:lineRule="auto"/>
        <w:rPr>
          <w:sz w:val="20"/>
          <w:szCs w:val="20"/>
          <w:color w:val="auto"/>
        </w:rPr>
      </w:pPr>
      <w:r>
        <w:rPr>
          <w:rFonts w:ascii="Arial" w:cs="Arial" w:eastAsia="Arial" w:hAnsi="Arial"/>
          <w:sz w:val="19"/>
          <w:szCs w:val="19"/>
          <w:color w:val="auto"/>
        </w:rPr>
        <w:t>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w:t>
      </w:r>
    </w:p>
    <w:p>
      <w:pPr>
        <w:spacing w:after="0" w:line="4" w:lineRule="exact"/>
        <w:rPr>
          <w:sz w:val="20"/>
          <w:szCs w:val="20"/>
          <w:color w:val="auto"/>
        </w:rPr>
      </w:pPr>
    </w:p>
    <w:p>
      <w:pPr>
        <w:jc w:val="both"/>
        <w:ind w:firstLine="8"/>
        <w:spacing w:after="0" w:line="232" w:lineRule="auto"/>
        <w:tabs>
          <w:tab w:leader="none" w:pos="40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88"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1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Presumptions of Payment</w:t>
      </w:r>
      <w:r>
        <w:rPr>
          <w:rFonts w:ascii="Arial" w:cs="Arial" w:eastAsia="Arial" w:hAnsi="Arial"/>
          <w:sz w:val="22"/>
          <w:szCs w:val="22"/>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6" w:name="page227"/>
    <w:bookmarkEnd w:id="226"/>
    <w:p>
      <w:pPr>
        <w:jc w:val="both"/>
        <w:spacing w:after="0" w:line="252" w:lineRule="auto"/>
        <w:rPr>
          <w:sz w:val="20"/>
          <w:szCs w:val="20"/>
          <w:color w:val="auto"/>
        </w:rPr>
      </w:pPr>
      <w:r>
        <w:rPr>
          <w:rFonts w:ascii="Arial" w:cs="Arial" w:eastAsia="Arial" w:hAnsi="Arial"/>
          <w:sz w:val="21"/>
          <w:szCs w:val="21"/>
          <w:color w:val="auto"/>
        </w:rPr>
        <w:t>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74"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u w:val="single" w:color="auto"/>
          <w:color w:val="auto"/>
        </w:rPr>
        <w:t>Certain Deductions by the Administrative Agent</w:t>
      </w:r>
      <w:r>
        <w:rPr>
          <w:rFonts w:ascii="Arial" w:cs="Arial" w:eastAsia="Arial" w:hAnsi="Arial"/>
          <w:sz w:val="19"/>
          <w:szCs w:val="19"/>
          <w:color w:val="auto"/>
        </w:rPr>
        <w:t>. If any Lender shall fail to make any</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payment required to be made by it pursuant to </w:t>
      </w:r>
      <w:r>
        <w:rPr>
          <w:rFonts w:ascii="Arial" w:cs="Arial" w:eastAsia="Arial" w:hAnsi="Arial"/>
          <w:sz w:val="22"/>
          <w:szCs w:val="22"/>
          <w:u w:val="single" w:color="auto"/>
          <w:color w:val="auto"/>
        </w:rPr>
        <w:t>Section 2.04(c)</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2.05(e)</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2.17(e)</w:t>
      </w:r>
      <w:r>
        <w:rPr>
          <w:rFonts w:ascii="Arial" w:cs="Arial" w:eastAsia="Arial" w:hAnsi="Arial"/>
          <w:sz w:val="22"/>
          <w:szCs w:val="22"/>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 w:leader="none" w:pos="80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Designation of a Different Lending Office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If any Lender requests compensation</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60"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if any Lender becomes a Defaulting Lender or is a Non-Consenting Lender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9.02(d)</w:t>
      </w:r>
      <w:r>
        <w:rPr>
          <w:rFonts w:ascii="Arial" w:cs="Arial" w:eastAsia="Arial" w:hAnsi="Arial"/>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7" w:name="page228"/>
    <w:bookmarkEnd w:id="227"/>
    <w:p>
      <w:pPr>
        <w:ind w:left="176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6" w:lineRule="exact"/>
        <w:rPr>
          <w:sz w:val="20"/>
          <w:szCs w:val="20"/>
          <w:color w:val="auto"/>
        </w:rPr>
      </w:pPr>
    </w:p>
    <w:p>
      <w:pPr>
        <w:jc w:val="both"/>
        <w:ind w:left="880" w:firstLine="810"/>
        <w:spacing w:after="0" w:line="269"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or received by Administrative Agent from a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any Issuing Bank or any Swingline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each Issuing Bank’s Fronting Exposure with respect to such Defaulting Lender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2.19(a)(i)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8" w:name="page229"/>
    <w:bookmarkEnd w:id="228"/>
    <w:tbl>
      <w:tblPr>
        <w:tblLayout w:type="fixed"/>
        <w:tblInd w:w="820" w:type="dxa"/>
        <w:tblCellMar>
          <w:top w:w="0" w:type="dxa"/>
          <w:left w:w="0" w:type="dxa"/>
          <w:bottom w:w="0" w:type="dxa"/>
          <w:right w:w="0" w:type="dxa"/>
        </w:tblCellMar>
      </w:tblPr>
      <w:tr>
        <w:trPr>
          <w:trHeight w:val="253"/>
        </w:trPr>
        <w:tc>
          <w:tcPr>
            <w:tcW w:w="1660" w:type="dxa"/>
            <w:vAlign w:val="bottom"/>
          </w:tcPr>
          <w:p>
            <w:pPr>
              <w:spacing w:after="0"/>
              <w:rPr>
                <w:sz w:val="20"/>
                <w:szCs w:val="20"/>
                <w:color w:val="auto"/>
              </w:rPr>
            </w:pPr>
            <w:r>
              <w:rPr>
                <w:rFonts w:ascii="Arial" w:cs="Arial" w:eastAsia="Arial" w:hAnsi="Arial"/>
                <w:sz w:val="22"/>
                <w:szCs w:val="22"/>
                <w:color w:val="auto"/>
              </w:rPr>
              <w:t>(ii)</w:t>
            </w:r>
          </w:p>
        </w:tc>
        <w:tc>
          <w:tcPr>
            <w:tcW w:w="8060" w:type="dxa"/>
            <w:vAlign w:val="bottom"/>
            <w:gridSpan w:val="3"/>
          </w:tcPr>
          <w:p>
            <w:pPr>
              <w:ind w:left="540"/>
              <w:spacing w:after="0"/>
              <w:rPr>
                <w:sz w:val="20"/>
                <w:szCs w:val="20"/>
                <w:color w:val="auto"/>
              </w:rPr>
            </w:pPr>
            <w:r>
              <w:rPr>
                <w:rFonts w:ascii="Arial" w:cs="Arial" w:eastAsia="Arial" w:hAnsi="Arial"/>
                <w:sz w:val="22"/>
                <w:szCs w:val="22"/>
                <w:color w:val="auto"/>
              </w:rPr>
              <w:t>Certain Fees.</w:t>
            </w:r>
          </w:p>
        </w:tc>
      </w:tr>
      <w:tr>
        <w:trPr>
          <w:trHeight w:val="476"/>
        </w:trPr>
        <w:tc>
          <w:tcPr>
            <w:tcW w:w="1660" w:type="dxa"/>
            <w:vAlign w:val="bottom"/>
          </w:tcPr>
          <w:p>
            <w:pPr>
              <w:ind w:left="800"/>
              <w:spacing w:after="0"/>
              <w:rPr>
                <w:sz w:val="20"/>
                <w:szCs w:val="20"/>
                <w:color w:val="auto"/>
              </w:rPr>
            </w:pPr>
            <w:r>
              <w:rPr>
                <w:rFonts w:ascii="Arial" w:cs="Arial" w:eastAsia="Arial" w:hAnsi="Arial"/>
                <w:sz w:val="22"/>
                <w:szCs w:val="22"/>
                <w:color w:val="auto"/>
              </w:rPr>
              <w:t>(A)</w:t>
            </w:r>
          </w:p>
        </w:tc>
        <w:tc>
          <w:tcPr>
            <w:tcW w:w="5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20" w:type="dxa"/>
            <w:vAlign w:val="bottom"/>
          </w:tcPr>
          <w:p>
            <w:pPr>
              <w:ind w:left="400"/>
              <w:spacing w:after="0"/>
              <w:rPr>
                <w:sz w:val="20"/>
                <w:szCs w:val="20"/>
                <w:color w:val="auto"/>
              </w:rPr>
            </w:pPr>
            <w:r>
              <w:rPr>
                <w:rFonts w:ascii="Arial" w:cs="Arial" w:eastAsia="Arial" w:hAnsi="Arial"/>
                <w:sz w:val="22"/>
                <w:szCs w:val="22"/>
                <w:color w:val="auto"/>
                <w:w w:val="90"/>
              </w:rPr>
              <w:t>No Defaulting Lender shall be entitled to receive any fee pursuant to</w:t>
            </w:r>
          </w:p>
        </w:tc>
      </w:tr>
    </w:tbl>
    <w:p>
      <w:pPr>
        <w:jc w:val="both"/>
        <w:ind w:left="880"/>
        <w:spacing w:after="0" w:line="232" w:lineRule="auto"/>
        <w:rPr>
          <w:sz w:val="20"/>
          <w:szCs w:val="20"/>
          <w:color w:val="auto"/>
        </w:rPr>
      </w:pPr>
      <w:r>
        <w:rPr>
          <w:rFonts w:ascii="Arial" w:cs="Arial" w:eastAsia="Arial" w:hAnsi="Arial"/>
          <w:sz w:val="22"/>
          <w:szCs w:val="22"/>
          <w:u w:val="single" w:color="auto"/>
          <w:color w:val="auto"/>
        </w:rPr>
        <w:t>Sections 2.11(a)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Defaulting Lender shall be entitled to receive fees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2.11(b)</w:t>
      </w:r>
      <w:r>
        <w:rPr>
          <w:rFonts w:ascii="Arial" w:cs="Arial" w:eastAsia="Arial" w:hAnsi="Arial"/>
          <w:sz w:val="22"/>
          <w:szCs w:val="22"/>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22"/>
          <w:szCs w:val="22"/>
          <w:u w:val="single" w:color="auto"/>
          <w:color w:val="auto"/>
        </w:rPr>
        <w:t>Section 2.19(d)</w:t>
      </w:r>
      <w:r>
        <w:rPr>
          <w:rFonts w:ascii="Arial" w:cs="Arial" w:eastAsia="Arial" w:hAnsi="Arial"/>
          <w:sz w:val="22"/>
          <w:szCs w:val="22"/>
          <w:color w:val="auto"/>
        </w:rPr>
        <w:t>.</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3140" w:type="dxa"/>
            <w:vAlign w:val="bottom"/>
          </w:tcPr>
          <w:p>
            <w:pPr>
              <w:ind w:left="740"/>
              <w:spacing w:after="0"/>
              <w:rPr>
                <w:sz w:val="20"/>
                <w:szCs w:val="20"/>
                <w:color w:val="auto"/>
              </w:rPr>
            </w:pPr>
            <w:r>
              <w:rPr>
                <w:rFonts w:ascii="Arial" w:cs="Arial" w:eastAsia="Arial" w:hAnsi="Arial"/>
                <w:sz w:val="22"/>
                <w:szCs w:val="22"/>
                <w:color w:val="auto"/>
              </w:rPr>
              <w:t>(B)</w:t>
            </w:r>
          </w:p>
        </w:tc>
        <w:tc>
          <w:tcPr>
            <w:tcW w:w="940" w:type="dxa"/>
            <w:vAlign w:val="bottom"/>
            <w:gridSpan w:val="2"/>
          </w:tcPr>
          <w:p>
            <w:pPr>
              <w:jc w:val="right"/>
              <w:ind w:right="20"/>
              <w:spacing w:after="0"/>
              <w:rPr>
                <w:sz w:val="20"/>
                <w:szCs w:val="20"/>
                <w:color w:val="auto"/>
              </w:rPr>
            </w:pPr>
            <w:r>
              <w:rPr>
                <w:rFonts w:ascii="Arial" w:cs="Arial" w:eastAsia="Arial" w:hAnsi="Arial"/>
                <w:sz w:val="22"/>
                <w:szCs w:val="22"/>
                <w:color w:val="auto"/>
              </w:rPr>
              <w:t>With</w:t>
            </w:r>
          </w:p>
        </w:tc>
        <w:tc>
          <w:tcPr>
            <w:tcW w:w="5580" w:type="dxa"/>
            <w:vAlign w:val="bottom"/>
            <w:gridSpan w:val="3"/>
          </w:tcPr>
          <w:p>
            <w:pPr>
              <w:ind w:left="60"/>
              <w:spacing w:after="0"/>
              <w:rPr>
                <w:sz w:val="20"/>
                <w:szCs w:val="20"/>
                <w:color w:val="auto"/>
              </w:rPr>
            </w:pPr>
            <w:r>
              <w:rPr>
                <w:rFonts w:ascii="Arial" w:cs="Arial" w:eastAsia="Arial" w:hAnsi="Arial"/>
                <w:sz w:val="22"/>
                <w:szCs w:val="22"/>
                <w:color w:val="auto"/>
                <w:w w:val="92"/>
              </w:rPr>
              <w:t>respect to any Section 2.11(b) fees not required to be paid to</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jc w:val="right"/>
              <w:ind w:right="40"/>
              <w:spacing w:after="0" w:line="243" w:lineRule="exact"/>
              <w:rPr>
                <w:sz w:val="20"/>
                <w:szCs w:val="20"/>
                <w:color w:val="auto"/>
              </w:rPr>
            </w:pPr>
            <w:r>
              <w:rPr>
                <w:rFonts w:ascii="Arial" w:cs="Arial" w:eastAsia="Arial" w:hAnsi="Arial"/>
                <w:sz w:val="22"/>
                <w:szCs w:val="22"/>
                <w:color w:val="auto"/>
                <w:w w:val="92"/>
              </w:rPr>
              <w:t>any Defaulting Lender pursuant to clause (A)</w:t>
            </w:r>
          </w:p>
        </w:tc>
        <w:tc>
          <w:tcPr>
            <w:tcW w:w="1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3"/>
            <w:vMerge w:val="continue"/>
          </w:tcPr>
          <w:p>
            <w:pPr>
              <w:spacing w:after="0"/>
              <w:rPr>
                <w:sz w:val="19"/>
                <w:szCs w:val="19"/>
                <w:color w:val="auto"/>
              </w:rPr>
            </w:pPr>
          </w:p>
        </w:tc>
        <w:tc>
          <w:tcPr>
            <w:tcW w:w="5580" w:type="dxa"/>
            <w:vAlign w:val="bottom"/>
            <w:gridSpan w:val="3"/>
          </w:tcPr>
          <w:p>
            <w:pPr>
              <w:ind w:left="40"/>
              <w:spacing w:after="0" w:line="223" w:lineRule="exact"/>
              <w:rPr>
                <w:sz w:val="20"/>
                <w:szCs w:val="20"/>
                <w:color w:val="auto"/>
              </w:rPr>
            </w:pPr>
            <w:r>
              <w:rPr>
                <w:rFonts w:ascii="Arial" w:cs="Arial" w:eastAsia="Arial" w:hAnsi="Arial"/>
                <w:sz w:val="22"/>
                <w:szCs w:val="22"/>
                <w:color w:val="auto"/>
                <w:w w:val="93"/>
              </w:rPr>
              <w:t>above, Borrower shall (x) pay to each Non-Defaulting Lender</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880"/>
        <w:spacing w:after="0" w:line="282" w:lineRule="auto"/>
        <w:rPr>
          <w:sz w:val="20"/>
          <w:szCs w:val="20"/>
          <w:color w:val="auto"/>
        </w:rPr>
      </w:pPr>
      <w:r>
        <w:rPr>
          <w:rFonts w:ascii="Arial" w:cs="Arial" w:eastAsia="Arial" w:hAnsi="Arial"/>
          <w:sz w:val="19"/>
          <w:szCs w:val="19"/>
          <w:color w:val="auto"/>
        </w:rPr>
        <w:t xml:space="preserve">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48" w:lineRule="exact"/>
        <w:rPr>
          <w:sz w:val="20"/>
          <w:szCs w:val="20"/>
          <w:color w:val="auto"/>
        </w:rPr>
      </w:pPr>
    </w:p>
    <w:p>
      <w:pPr>
        <w:ind w:left="820"/>
        <w:spacing w:after="0"/>
        <w:tabs>
          <w:tab w:leader="none" w:pos="306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All or any part of such</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9"/>
          <w:szCs w:val="19"/>
          <w:u w:val="single" w:color="auto"/>
          <w:color w:val="auto"/>
        </w:rPr>
        <w:t>Section 9.17</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1" w:lineRule="exact"/>
        <w:rPr>
          <w:sz w:val="20"/>
          <w:szCs w:val="20"/>
          <w:color w:val="auto"/>
        </w:rPr>
      </w:pPr>
    </w:p>
    <w:p>
      <w:pPr>
        <w:ind w:left="820"/>
        <w:spacing w:after="0"/>
        <w:tabs>
          <w:tab w:leader="none" w:pos="306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21"/>
          <w:szCs w:val="21"/>
          <w:u w:val="single" w:color="auto"/>
          <w:color w:val="auto"/>
        </w:rPr>
        <w:t>Cash Collateral; Repayment of Swingline Loans</w:t>
      </w:r>
      <w:r>
        <w:rPr>
          <w:rFonts w:ascii="Arial" w:cs="Arial" w:eastAsia="Arial" w:hAnsi="Arial"/>
          <w:sz w:val="21"/>
          <w:szCs w:val="21"/>
          <w:color w:val="auto"/>
        </w:rPr>
        <w:t>. If the reallocation described in</w:t>
      </w:r>
    </w:p>
    <w:p>
      <w:pPr>
        <w:spacing w:after="0" w:line="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4740"/>
        <w:spacing w:after="0"/>
        <w:tabs>
          <w:tab w:leader="none" w:pos="84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214630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06" w:right="239" w:bottom="1440" w:gutter="0" w:footer="0" w:header="0"/>
        </w:sectPr>
      </w:pPr>
    </w:p>
    <w:bookmarkStart w:id="229" w:name="page230"/>
    <w:bookmarkEnd w:id="229"/>
    <w:p>
      <w:pPr>
        <w:jc w:val="both"/>
        <w:ind w:left="880"/>
        <w:spacing w:after="0" w:line="282" w:lineRule="auto"/>
        <w:rPr>
          <w:sz w:val="20"/>
          <w:szCs w:val="20"/>
          <w:color w:val="auto"/>
        </w:rPr>
      </w:pPr>
      <w:r>
        <w:rPr>
          <w:rFonts w:ascii="Arial" w:cs="Arial" w:eastAsia="Arial" w:hAnsi="Arial"/>
          <w:sz w:val="19"/>
          <w:szCs w:val="19"/>
          <w:color w:val="auto"/>
        </w:rPr>
        <w:t xml:space="preserve">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2.19(d)</w:t>
      </w:r>
      <w:r>
        <w:rPr>
          <w:rFonts w:ascii="Arial" w:cs="Arial" w:eastAsia="Arial" w:hAnsi="Arial"/>
          <w:sz w:val="19"/>
          <w:szCs w:val="19"/>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48"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0" w:lineRule="exact"/>
        <w:rPr>
          <w:sz w:val="20"/>
          <w:szCs w:val="20"/>
          <w:color w:val="auto"/>
        </w:rPr>
      </w:pPr>
    </w:p>
    <w:p>
      <w:pPr>
        <w:spacing w:after="0" w:line="205"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New Swingline Loans/Letters of Credit</w:t>
      </w:r>
      <w:r>
        <w:rPr>
          <w:rFonts w:ascii="Arial" w:cs="Arial" w:eastAsia="Arial" w:hAnsi="Arial"/>
          <w:sz w:val="21"/>
          <w:szCs w:val="21"/>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21"/>
          <w:szCs w:val="21"/>
          <w:u w:val="single" w:color="auto"/>
          <w:color w:val="auto"/>
        </w:rPr>
        <w:t>Section 2.19(d)</w:t>
      </w:r>
      <w:r>
        <w:rPr>
          <w:rFonts w:ascii="Arial" w:cs="Arial" w:eastAsia="Arial" w:hAnsi="Arial"/>
          <w:sz w:val="21"/>
          <w:szCs w:val="21"/>
          <w:color w:val="auto"/>
        </w:rPr>
        <w:t>.</w:t>
      </w:r>
    </w:p>
    <w:p>
      <w:pPr>
        <w:spacing w:after="0" w:line="18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Arial" w:cs="Arial" w:eastAsia="Arial" w:hAnsi="Arial"/>
          <w:sz w:val="22"/>
          <w:szCs w:val="22"/>
          <w:u w:val="single" w:color="auto"/>
          <w:color w:val="auto"/>
        </w:rPr>
        <w:t>Section 2.19(a)(iii)</w:t>
      </w:r>
      <w:r>
        <w:rPr>
          <w:rFonts w:ascii="Arial" w:cs="Arial" w:eastAsia="Arial" w:hAnsi="Arial"/>
          <w:sz w:val="22"/>
          <w:szCs w:val="22"/>
          <w:color w:val="auto"/>
        </w:rPr>
        <w:t xml:space="preserve"> and any Cash Collateral provided by such Defaulting Lender) in an amount not less than the Minimum Collateral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0" w:name="page231"/>
    <w:bookmarkEnd w:id="230"/>
    <w:p>
      <w:pPr>
        <w:jc w:val="both"/>
        <w:ind w:firstLine="810"/>
        <w:spacing w:after="0" w:line="244"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185" w:lineRule="exact"/>
        <w:rPr>
          <w:sz w:val="20"/>
          <w:szCs w:val="20"/>
          <w:color w:val="auto"/>
        </w:rPr>
      </w:pPr>
    </w:p>
    <w:p>
      <w:pPr>
        <w:jc w:val="both"/>
        <w:ind w:firstLine="810"/>
        <w:spacing w:after="0" w:line="249"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Application</w:t>
      </w:r>
      <w:r>
        <w:rPr>
          <w:rFonts w:ascii="Arial" w:cs="Arial" w:eastAsia="Arial" w:hAnsi="Arial"/>
          <w:sz w:val="21"/>
          <w:szCs w:val="21"/>
          <w:color w:val="auto"/>
        </w:rPr>
        <w:t xml:space="preserve">. Notwithstanding anything to the contrary contained in this Agreement, Cash Collateral provided under this </w:t>
      </w:r>
      <w:r>
        <w:rPr>
          <w:rFonts w:ascii="Arial" w:cs="Arial" w:eastAsia="Arial" w:hAnsi="Arial"/>
          <w:sz w:val="21"/>
          <w:szCs w:val="21"/>
          <w:u w:val="single" w:color="auto"/>
          <w:color w:val="auto"/>
        </w:rPr>
        <w:t>Section 2.19</w:t>
      </w:r>
      <w:r>
        <w:rPr>
          <w:rFonts w:ascii="Arial" w:cs="Arial" w:eastAsia="Arial" w:hAnsi="Arial"/>
          <w:sz w:val="21"/>
          <w:szCs w:val="21"/>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9" w:lineRule="exact"/>
        <w:rPr>
          <w:sz w:val="20"/>
          <w:szCs w:val="20"/>
          <w:color w:val="auto"/>
        </w:rPr>
      </w:pPr>
    </w:p>
    <w:p>
      <w:pPr>
        <w:jc w:val="both"/>
        <w:ind w:firstLine="810"/>
        <w:spacing w:after="0" w:line="275" w:lineRule="auto"/>
        <w:rPr>
          <w:sz w:val="20"/>
          <w:szCs w:val="20"/>
          <w:color w:val="auto"/>
        </w:rPr>
      </w:pPr>
      <w:r>
        <w:rPr>
          <w:rFonts w:ascii="Arial" w:cs="Arial" w:eastAsia="Arial" w:hAnsi="Arial"/>
          <w:sz w:val="19"/>
          <w:szCs w:val="19"/>
          <w:color w:val="auto"/>
        </w:rPr>
        <w:t xml:space="preserve">(iii) </w:t>
      </w: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other provisions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Person providing Cash Collateral and each Issuing Bank may agree that Cash Collateral shall be held to support future anticipated Fronting Exposure;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that such Cash Collateral was provided by Borrower, such Cash Collateral shall remain subject to the security interest granted pursuant to the Loan Documents.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Reallocation Following a Non-Extended Commitment Termination Date</w:t>
      </w:r>
      <w:r>
        <w:rPr>
          <w:rFonts w:ascii="Arial" w:cs="Arial" w:eastAsia="Arial" w:hAnsi="Arial"/>
          <w:sz w:val="22"/>
          <w:szCs w:val="22"/>
          <w:color w:val="auto"/>
        </w:rPr>
        <w:t>.</w:t>
      </w:r>
    </w:p>
    <w:p>
      <w:pPr>
        <w:spacing w:after="0" w:line="177"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1220" w:type="dxa"/>
            <w:vAlign w:val="bottom"/>
          </w:tcPr>
          <w:p>
            <w:pPr>
              <w:ind w:left="60"/>
              <w:spacing w:after="0"/>
              <w:rPr>
                <w:sz w:val="20"/>
                <w:szCs w:val="20"/>
                <w:color w:val="auto"/>
              </w:rPr>
            </w:pPr>
            <w:r>
              <w:rPr>
                <w:rFonts w:ascii="Arial" w:cs="Arial" w:eastAsia="Arial" w:hAnsi="Arial"/>
                <w:sz w:val="22"/>
                <w:szCs w:val="22"/>
                <w:color w:val="auto"/>
              </w:rPr>
              <w:t>(a)</w:t>
            </w:r>
          </w:p>
        </w:tc>
        <w:tc>
          <w:tcPr>
            <w:tcW w:w="102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22"/>
                <w:szCs w:val="22"/>
                <w:color w:val="auto"/>
              </w:rPr>
              <w:t>Reallocation of Participations and Loans.</w:t>
            </w:r>
          </w:p>
        </w:tc>
      </w:tr>
      <w:tr>
        <w:trPr>
          <w:trHeight w:val="20"/>
        </w:trPr>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76"/>
        </w:trPr>
        <w:tc>
          <w:tcPr>
            <w:tcW w:w="1220" w:type="dxa"/>
            <w:vAlign w:val="bottom"/>
          </w:tcPr>
          <w:p>
            <w:pPr>
              <w:spacing w:after="0"/>
              <w:rPr>
                <w:sz w:val="20"/>
                <w:szCs w:val="20"/>
                <w:color w:val="auto"/>
              </w:rPr>
            </w:pPr>
            <w:r>
              <w:rPr>
                <w:rFonts w:ascii="Arial" w:cs="Arial" w:eastAsia="Arial" w:hAnsi="Arial"/>
                <w:sz w:val="22"/>
                <w:szCs w:val="22"/>
                <w:color w:val="auto"/>
              </w:rPr>
              <w:t>(i)</w:t>
            </w:r>
          </w:p>
        </w:tc>
        <w:tc>
          <w:tcPr>
            <w:tcW w:w="8500" w:type="dxa"/>
            <w:vAlign w:val="bottom"/>
            <w:gridSpan w:val="3"/>
          </w:tcPr>
          <w:p>
            <w:pPr>
              <w:ind w:left="920"/>
              <w:spacing w:after="0"/>
              <w:rPr>
                <w:sz w:val="20"/>
                <w:szCs w:val="20"/>
                <w:color w:val="auto"/>
              </w:rPr>
            </w:pPr>
            <w:r>
              <w:rPr>
                <w:rFonts w:ascii="Arial" w:cs="Arial" w:eastAsia="Arial" w:hAnsi="Arial"/>
                <w:sz w:val="22"/>
                <w:szCs w:val="22"/>
                <w:color w:val="auto"/>
                <w:w w:val="92"/>
              </w:rPr>
              <w:t>Notwithstanding anything to the contrary herein, (a) in connection with the reduction</w:t>
            </w:r>
          </w:p>
        </w:tc>
      </w:tr>
    </w:tbl>
    <w:p>
      <w:pPr>
        <w:jc w:val="both"/>
        <w:ind w:right="20"/>
        <w:spacing w:after="0" w:line="234" w:lineRule="auto"/>
        <w:rPr>
          <w:sz w:val="20"/>
          <w:szCs w:val="20"/>
          <w:color w:val="auto"/>
        </w:rPr>
      </w:pPr>
      <w:r>
        <w:rPr>
          <w:rFonts w:ascii="Arial" w:cs="Arial" w:eastAsia="Arial" w:hAnsi="Arial"/>
          <w:sz w:val="22"/>
          <w:szCs w:val="22"/>
          <w:color w:val="auto"/>
        </w:rPr>
        <w:t xml:space="preserve">or termination of any Non-Extending Lender’s Commitments in accordance with </w:t>
      </w:r>
      <w:r>
        <w:rPr>
          <w:rFonts w:ascii="Arial" w:cs="Arial" w:eastAsia="Arial" w:hAnsi="Arial"/>
          <w:sz w:val="22"/>
          <w:szCs w:val="22"/>
          <w:u w:val="single" w:color="auto"/>
          <w:color w:val="auto"/>
        </w:rPr>
        <w:t>Section 2.08(f)</w:t>
      </w:r>
      <w:r>
        <w:rPr>
          <w:rFonts w:ascii="Arial" w:cs="Arial" w:eastAsia="Arial" w:hAnsi="Arial"/>
          <w:sz w:val="22"/>
          <w:szCs w:val="22"/>
          <w:color w:val="auto"/>
        </w:rPr>
        <w:t xml:space="preserve"> on any date prior to the Non-Extended Commitment Termination Date for such Non-Extending Lender, the Borrower shall be permitted to request a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40"/>
        <w:spacing w:after="0"/>
        <w:tabs>
          <w:tab w:leader="none" w:pos="8480" w:val="left"/>
        </w:tabs>
        <w:rPr>
          <w:sz w:val="20"/>
          <w:szCs w:val="20"/>
          <w:color w:val="auto"/>
        </w:rPr>
      </w:pPr>
      <w:r>
        <w:rPr>
          <w:rFonts w:ascii="Arial" w:cs="Arial" w:eastAsia="Arial" w:hAnsi="Arial"/>
          <w:sz w:val="19"/>
          <w:szCs w:val="19"/>
          <w:color w:val="auto"/>
        </w:rPr>
        <w:t>77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222250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231" w:name="page232"/>
    <w:bookmarkEnd w:id="231"/>
    <w:p>
      <w:pPr>
        <w:jc w:val="both"/>
        <w:spacing w:after="0" w:line="268" w:lineRule="auto"/>
        <w:rPr>
          <w:sz w:val="20"/>
          <w:szCs w:val="20"/>
          <w:color w:val="auto"/>
        </w:rPr>
      </w:pPr>
      <w:r>
        <w:rPr>
          <w:rFonts w:ascii="Arial" w:cs="Arial" w:eastAsia="Arial" w:hAnsi="Arial"/>
          <w:sz w:val="19"/>
          <w:szCs w:val="19"/>
          <w:color w:val="auto"/>
        </w:rPr>
        <w:t xml:space="preserve">Loan be made ratably among the Extending Lenders and Non-Extending Lenders for which the Non-Extended Commitment Termination Date shall not have occurred in accordance with the provisions of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Dollar Loan to be made ratably among the Extending Lenders and Non-Extending Lenders for which the Non-Extended Commitment Termination Date shall not have occurred in accordance with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an amount up to the Revolving Credit Exposure of each Non-Extending Lender for which the Non-Extended Commitment Termination shall have occurred, in each case, so long as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w:t>
      </w:r>
    </w:p>
    <w:p>
      <w:pPr>
        <w:spacing w:after="0" w:line="6" w:lineRule="exact"/>
        <w:rPr>
          <w:sz w:val="20"/>
          <w:szCs w:val="20"/>
          <w:color w:val="auto"/>
        </w:rPr>
      </w:pPr>
    </w:p>
    <w:p>
      <w:pPr>
        <w:jc w:val="both"/>
        <w:ind w:firstLine="5"/>
        <w:spacing w:after="0" w:line="233" w:lineRule="auto"/>
        <w:tabs>
          <w:tab w:leader="none" w:pos="4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88"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9"/>
          <w:szCs w:val="19"/>
          <w:color w:val="auto"/>
        </w:rPr>
        <w:t xml:space="preserve">(ii) All or any part of each Non-Extending Lender’s participation in Letters of Credit and Swingline Loans shall be reallocated on (A) any date on which the Commitment of such Non-Extending Lender is reduced or terminated pursuant to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740"/>
        <w:spacing w:after="0"/>
        <w:tabs>
          <w:tab w:leader="none" w:pos="84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214630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232" w:name="page233"/>
    <w:bookmarkEnd w:id="232"/>
    <w:p>
      <w:pPr>
        <w:ind w:left="1760"/>
        <w:spacing w:after="0"/>
        <w:tabs>
          <w:tab w:leader="none" w:pos="39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If any Loan related to the reduction</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or termination of a Non-Extending Lender’s Commitment prior to the Non-Extended Commitment Termination Date described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above or any reallocation described in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2.08(f)</w:t>
      </w:r>
      <w:r>
        <w:rPr>
          <w:rFonts w:ascii="Arial" w:cs="Arial" w:eastAsia="Arial" w:hAnsi="Arial"/>
          <w:sz w:val="19"/>
          <w:szCs w:val="19"/>
          <w:color w:val="auto"/>
        </w:rPr>
        <w:t xml:space="preserve"> ,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(y) provide Cash Collateral in an amount equal to the amount by which the participation obligations of such Non-Extending Lenders in Letters of Credit have not been reallocated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Arial" w:cs="Arial" w:eastAsia="Arial" w:hAnsi="Arial"/>
          <w:sz w:val="19"/>
          <w:szCs w:val="19"/>
          <w:u w:val="single" w:color="auto"/>
          <w:color w:val="auto"/>
        </w:rPr>
        <w:t>clause (a)(i)(z) above</w:t>
      </w:r>
      <w:r>
        <w:rPr>
          <w:rFonts w:ascii="Arial" w:cs="Arial" w:eastAsia="Arial" w:hAnsi="Arial"/>
          <w:sz w:val="19"/>
          <w:szCs w:val="19"/>
          <w:color w:val="auto"/>
        </w:rPr>
        <w:t xml:space="preserve"> exceeds such Non-Extending Lender’s Commitment after giving effect to any reduction in such Non-Extending Lender’s Commitment.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Assignment and Reallocation of Existing Commitments and Existing Loans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(a) On the Sixth Amendment Effective Date, the Borrower shall (A) prepay the outstanding Loans and (B) simultaneously borrow new Loans 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62"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(b) 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3" w:name="page234"/>
    <w:bookmarkEnd w:id="233"/>
    <w:p>
      <w:pPr>
        <w:jc w:val="both"/>
        <w:ind w:firstLine="8"/>
        <w:spacing w:after="0" w:line="252" w:lineRule="auto"/>
        <w:tabs>
          <w:tab w:leader="none" w:pos="35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left="1760" w:right="3740" w:firstLine="1985"/>
        <w:spacing w:after="0" w:line="504" w:lineRule="auto"/>
        <w:rPr>
          <w:sz w:val="20"/>
          <w:szCs w:val="20"/>
          <w:color w:val="auto"/>
        </w:rPr>
      </w:pPr>
      <w:r>
        <w:rPr>
          <w:rFonts w:ascii="Arial" w:cs="Arial" w:eastAsia="Arial" w:hAnsi="Arial"/>
          <w:sz w:val="19"/>
          <w:szCs w:val="19"/>
          <w:color w:val="auto"/>
        </w:rPr>
        <w:t>REPRESENTATIONS AND WARRANTIES The Borrower represents and warrants to the Lenders that:</w:t>
      </w:r>
    </w:p>
    <w:p>
      <w:pPr>
        <w:spacing w:after="0" w:line="1"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9"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53"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w:t>
      </w:r>
    </w:p>
    <w:p>
      <w:pPr>
        <w:spacing w:after="0" w:line="5" w:lineRule="exact"/>
        <w:rPr>
          <w:sz w:val="20"/>
          <w:szCs w:val="20"/>
          <w:color w:val="auto"/>
        </w:rPr>
      </w:pPr>
    </w:p>
    <w:p>
      <w:pPr>
        <w:ind w:firstLine="8"/>
        <w:spacing w:after="0" w:line="237" w:lineRule="auto"/>
        <w:tabs>
          <w:tab w:leader="none" w:pos="31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except for the Liens created pursuant to this Agreement or the Security Documents, will not result in the creation or imposition of any Lien on any asset of the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4" w:name="page235"/>
    <w:bookmarkEnd w:id="234"/>
    <w:p>
      <w:pPr>
        <w:ind w:left="176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9"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the date of the most recent Applicable Financial Statements, there has not been any event, development or circumstance (herein, a “</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5" w:name="page236"/>
    <w:bookmarkEnd w:id="235"/>
    <w:p>
      <w:pPr>
        <w:jc w:val="both"/>
        <w:ind w:firstLine="1755"/>
        <w:spacing w:after="0" w:line="273"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15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Investment Company Act; Margin Regulations</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color w:val="auto"/>
              </w:rPr>
              <w:t>(a)</w:t>
            </w:r>
          </w:p>
        </w:tc>
        <w:tc>
          <w:tcPr>
            <w:tcW w:w="7440" w:type="dxa"/>
            <w:vAlign w:val="bottom"/>
            <w:gridSpan w:val="3"/>
          </w:tcPr>
          <w:p>
            <w:pPr>
              <w:jc w:val="right"/>
              <w:spacing w:after="0"/>
              <w:rPr>
                <w:sz w:val="20"/>
                <w:szCs w:val="20"/>
                <w:color w:val="auto"/>
              </w:rPr>
            </w:pPr>
            <w:r>
              <w:rPr>
                <w:rFonts w:ascii="Arial" w:cs="Arial" w:eastAsia="Arial" w:hAnsi="Arial"/>
                <w:sz w:val="22"/>
                <w:szCs w:val="22"/>
                <w:color w:val="auto"/>
                <w:w w:val="88"/>
              </w:rPr>
              <w:t>Status as Business Development Company. The Borrower has elected to be regulated</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74"/>
        </w:trPr>
        <w:tc>
          <w:tcPr>
            <w:tcW w:w="11400" w:type="dxa"/>
            <w:vAlign w:val="bottom"/>
            <w:gridSpan w:val="4"/>
          </w:tcPr>
          <w:p>
            <w:pPr>
              <w:spacing w:after="0"/>
              <w:rPr>
                <w:sz w:val="20"/>
                <w:szCs w:val="20"/>
                <w:color w:val="auto"/>
              </w:rPr>
            </w:pPr>
            <w:r>
              <w:rPr>
                <w:rFonts w:ascii="Arial" w:cs="Arial" w:eastAsia="Arial" w:hAnsi="Arial"/>
                <w:sz w:val="22"/>
                <w:szCs w:val="22"/>
                <w:color w:val="auto"/>
              </w:rPr>
              <w:t>as a “business development company” within the meaning of the Investment Company Act and qualifies as a RIC.</w:t>
            </w: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auto"/>
              </w:rPr>
              <w:t>(b)</w:t>
            </w:r>
          </w:p>
        </w:tc>
        <w:tc>
          <w:tcPr>
            <w:tcW w:w="7440" w:type="dxa"/>
            <w:vAlign w:val="bottom"/>
            <w:gridSpan w:val="3"/>
          </w:tcPr>
          <w:p>
            <w:pPr>
              <w:jc w:val="right"/>
              <w:spacing w:after="0"/>
              <w:rPr>
                <w:sz w:val="20"/>
                <w:szCs w:val="20"/>
                <w:color w:val="auto"/>
              </w:rPr>
            </w:pPr>
            <w:r>
              <w:rPr>
                <w:rFonts w:ascii="Arial" w:cs="Arial" w:eastAsia="Arial" w:hAnsi="Arial"/>
                <w:sz w:val="22"/>
                <w:szCs w:val="22"/>
                <w:color w:val="auto"/>
                <w:w w:val="91"/>
              </w:rPr>
              <w:t>Compliance with Investment Company Act. The business and other activities of the</w:t>
            </w:r>
          </w:p>
        </w:tc>
      </w:tr>
      <w:tr>
        <w:trPr>
          <w:trHeight w:val="20"/>
        </w:trPr>
        <w:tc>
          <w:tcPr>
            <w:tcW w:w="396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4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Use of Credit</w:t>
      </w:r>
      <w:r>
        <w:rPr>
          <w:rFonts w:ascii="Arial" w:cs="Arial" w:eastAsia="Arial" w:hAnsi="Arial"/>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Material Agreements and Liens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Material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6" w:name="page237"/>
    <w:bookmarkEnd w:id="236"/>
    <w:p>
      <w:pPr>
        <w:jc w:val="both"/>
        <w:ind w:right="20"/>
        <w:spacing w:after="0"/>
        <w:rPr>
          <w:sz w:val="20"/>
          <w:szCs w:val="20"/>
          <w:color w:val="auto"/>
        </w:rPr>
      </w:pPr>
      <w:r>
        <w:rPr>
          <w:rFonts w:ascii="Arial" w:cs="Arial" w:eastAsia="Arial" w:hAnsi="Arial"/>
          <w:sz w:val="22"/>
          <w:szCs w:val="22"/>
          <w:color w:val="auto"/>
        </w:rPr>
        <w:t xml:space="preserve">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w:t>
      </w:r>
    </w:p>
    <w:p>
      <w:pPr>
        <w:spacing w:after="0" w:line="18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Liens</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3.11</w:t>
      </w:r>
      <w:r>
        <w:rPr>
          <w:rFonts w:ascii="Arial" w:cs="Arial" w:eastAsia="Arial" w:hAnsi="Arial"/>
          <w:sz w:val="21"/>
          <w:szCs w:val="21"/>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21"/>
          <w:szCs w:val="21"/>
          <w:u w:val="single" w:color="auto"/>
          <w:color w:val="auto"/>
        </w:rPr>
        <w:t>Part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3.11</w:t>
      </w:r>
      <w:r>
        <w:rPr>
          <w:rFonts w:ascii="Arial" w:cs="Arial" w:eastAsia="Arial" w:hAnsi="Arial"/>
          <w:sz w:val="21"/>
          <w:szCs w:val="21"/>
          <w:color w:val="auto"/>
        </w:rPr>
        <w:t>.</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Subsidiaries and Investments</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60"/>
              <w:spacing w:after="0"/>
              <w:rPr>
                <w:sz w:val="20"/>
                <w:szCs w:val="20"/>
                <w:color w:val="auto"/>
              </w:rPr>
            </w:pPr>
            <w:r>
              <w:rPr>
                <w:rFonts w:ascii="Arial" w:cs="Arial" w:eastAsia="Arial" w:hAnsi="Arial"/>
                <w:sz w:val="22"/>
                <w:szCs w:val="22"/>
                <w:color w:val="auto"/>
              </w:rPr>
              <w:t>(a)</w:t>
            </w:r>
          </w:p>
        </w:tc>
        <w:tc>
          <w:tcPr>
            <w:tcW w:w="7480" w:type="dxa"/>
            <w:vAlign w:val="bottom"/>
            <w:gridSpan w:val="7"/>
          </w:tcPr>
          <w:p>
            <w:pPr>
              <w:jc w:val="right"/>
              <w:ind w:right="20"/>
              <w:spacing w:after="0"/>
              <w:rPr>
                <w:sz w:val="20"/>
                <w:szCs w:val="20"/>
                <w:color w:val="auto"/>
              </w:rPr>
            </w:pPr>
            <w:r>
              <w:rPr>
                <w:rFonts w:ascii="Arial" w:cs="Arial" w:eastAsia="Arial" w:hAnsi="Arial"/>
                <w:sz w:val="22"/>
                <w:szCs w:val="22"/>
                <w:color w:val="auto"/>
                <w:w w:val="90"/>
              </w:rPr>
              <w:t>Subsidiaries. Set forth on Schedule 3.12(a) is a list of the Borrower’s Subsidiaries as</w:t>
            </w:r>
          </w:p>
        </w:tc>
      </w:tr>
      <w:tr>
        <w:trPr>
          <w:trHeight w:val="274"/>
        </w:trPr>
        <w:tc>
          <w:tcPr>
            <w:tcW w:w="3940" w:type="dxa"/>
            <w:vAlign w:val="bottom"/>
          </w:tcPr>
          <w:p>
            <w:pPr>
              <w:spacing w:after="0"/>
              <w:rPr>
                <w:sz w:val="20"/>
                <w:szCs w:val="20"/>
                <w:color w:val="auto"/>
              </w:rPr>
            </w:pPr>
            <w:r>
              <w:rPr>
                <w:rFonts w:ascii="Arial" w:cs="Arial" w:eastAsia="Arial" w:hAnsi="Arial"/>
                <w:sz w:val="22"/>
                <w:szCs w:val="22"/>
                <w:color w:val="auto"/>
              </w:rPr>
              <w:t>of the Original Effective Date.</w:t>
            </w:r>
          </w:p>
        </w:tc>
        <w:tc>
          <w:tcPr>
            <w:tcW w:w="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409"/>
        </w:trPr>
        <w:tc>
          <w:tcPr>
            <w:tcW w:w="3940" w:type="dxa"/>
            <w:vAlign w:val="bottom"/>
          </w:tcPr>
          <w:p>
            <w:pPr>
              <w:ind w:left="1760"/>
              <w:spacing w:after="0"/>
              <w:rPr>
                <w:sz w:val="20"/>
                <w:szCs w:val="20"/>
                <w:color w:val="auto"/>
              </w:rPr>
            </w:pPr>
            <w:r>
              <w:rPr>
                <w:rFonts w:ascii="Arial" w:cs="Arial" w:eastAsia="Arial" w:hAnsi="Arial"/>
                <w:sz w:val="22"/>
                <w:szCs w:val="22"/>
                <w:color w:val="auto"/>
              </w:rPr>
              <w:t>(b)</w:t>
            </w:r>
          </w:p>
        </w:tc>
        <w:tc>
          <w:tcPr>
            <w:tcW w:w="20" w:type="dxa"/>
            <w:vAlign w:val="bottom"/>
          </w:tcPr>
          <w:p>
            <w:pPr>
              <w:spacing w:after="0"/>
              <w:rPr>
                <w:sz w:val="24"/>
                <w:szCs w:val="24"/>
                <w:color w:val="auto"/>
              </w:rPr>
            </w:pPr>
          </w:p>
        </w:tc>
        <w:tc>
          <w:tcPr>
            <w:tcW w:w="7460" w:type="dxa"/>
            <w:vAlign w:val="bottom"/>
            <w:gridSpan w:val="6"/>
          </w:tcPr>
          <w:p>
            <w:pPr>
              <w:jc w:val="right"/>
              <w:spacing w:after="0"/>
              <w:rPr>
                <w:sz w:val="20"/>
                <w:szCs w:val="20"/>
                <w:color w:val="auto"/>
              </w:rPr>
            </w:pPr>
            <w:r>
              <w:rPr>
                <w:rFonts w:ascii="Arial" w:cs="Arial" w:eastAsia="Arial" w:hAnsi="Arial"/>
                <w:sz w:val="22"/>
                <w:szCs w:val="22"/>
                <w:color w:val="auto"/>
                <w:w w:val="92"/>
              </w:rPr>
              <w:t>Investments.  Set forth on Schedule 3.12(b) is a complete and correct list, as of the</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Original Effective Date, of all Investments (other than Investments of the types referred to in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Arial" w:cs="Arial" w:eastAsia="Arial" w:hAnsi="Arial"/>
          <w:sz w:val="22"/>
          <w:szCs w:val="22"/>
          <w:u w:val="single" w:color="auto"/>
          <w:color w:val="auto"/>
        </w:rPr>
        <w:t>Schedule 3.12</w:t>
      </w:r>
      <w:r>
        <w:rPr>
          <w:rFonts w:ascii="Arial" w:cs="Arial" w:eastAsia="Arial" w:hAnsi="Arial"/>
          <w:sz w:val="22"/>
          <w:szCs w:val="22"/>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Title Generally</w:t>
      </w:r>
      <w:r>
        <w:rPr>
          <w:rFonts w:ascii="Arial" w:cs="Arial" w:eastAsia="Arial" w:hAnsi="Arial"/>
          <w:sz w:val="19"/>
          <w:szCs w:val="19"/>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34"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7" w:name="page238"/>
    <w:bookmarkEnd w:id="237"/>
    <w:p>
      <w:pPr>
        <w:ind w:left="1760"/>
        <w:spacing w:after="0"/>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Sanctions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(a) 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under (A) any U.S. Department of Treasury’s Office of Foreign Assets Control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17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8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Patriot Act</w:t>
      </w:r>
      <w:r>
        <w:rPr>
          <w:rFonts w:ascii="Arial" w:cs="Arial" w:eastAsia="Arial" w:hAnsi="Arial"/>
          <w:sz w:val="19"/>
          <w:szCs w:val="19"/>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w:t>
      </w:r>
    </w:p>
    <w:p>
      <w:pPr>
        <w:spacing w:after="0" w:line="2" w:lineRule="exact"/>
        <w:rPr>
          <w:sz w:val="20"/>
          <w:szCs w:val="20"/>
          <w:color w:val="auto"/>
        </w:rPr>
      </w:pPr>
    </w:p>
    <w:p>
      <w:pPr>
        <w:jc w:val="both"/>
        <w:ind w:firstLine="8"/>
        <w:spacing w:after="0" w:line="272" w:lineRule="auto"/>
        <w:tabs>
          <w:tab w:leader="none" w:pos="31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w:t>
      </w:r>
    </w:p>
    <w:p>
      <w:pPr>
        <w:spacing w:after="0" w:line="400"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Neither the Borrower nor any Subsidiary is an EEA Financial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34"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Documents</w:t>
      </w:r>
      <w:r>
        <w:rPr>
          <w:rFonts w:ascii="Arial" w:cs="Arial" w:eastAsia="Arial" w:hAnsi="Arial"/>
          <w:sz w:val="22"/>
          <w:szCs w:val="22"/>
          <w:color w:val="auto"/>
        </w:rPr>
        <w:t>. Administrative Agent shall have received each of the following documents, each of which shall be satisfactory to the Administrative Agent (and to the extent specified below to each Lender) in form and substance:</w:t>
      </w:r>
    </w:p>
    <w:p>
      <w:pPr>
        <w:spacing w:after="0" w:line="186"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Executed Counterparts</w:t>
      </w:r>
      <w:r>
        <w:rPr>
          <w:rFonts w:ascii="Arial" w:cs="Arial" w:eastAsia="Arial" w:hAnsi="Arial"/>
          <w:sz w:val="22"/>
          <w:szCs w:val="22"/>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85"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u w:val="single" w:color="auto"/>
          <w:color w:val="auto"/>
        </w:rPr>
        <w:t>Opinion of Counsel to the Borrower</w:t>
      </w:r>
      <w:r>
        <w:rPr>
          <w:rFonts w:ascii="Arial" w:cs="Arial" w:eastAsia="Arial" w:hAnsi="Arial"/>
          <w:sz w:val="22"/>
          <w:szCs w:val="22"/>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88"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 xml:space="preserve">(iii) </w:t>
      </w:r>
      <w:r>
        <w:rPr>
          <w:rFonts w:ascii="Arial" w:cs="Arial" w:eastAsia="Arial" w:hAnsi="Arial"/>
          <w:sz w:val="22"/>
          <w:szCs w:val="22"/>
          <w:u w:val="single" w:color="auto"/>
          <w:color w:val="auto"/>
        </w:rPr>
        <w:t>Corporate Documents</w:t>
      </w:r>
      <w:r>
        <w:rPr>
          <w:rFonts w:ascii="Arial" w:cs="Arial" w:eastAsia="Arial" w:hAnsi="Arial"/>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5" w:lineRule="exact"/>
        <w:rPr>
          <w:sz w:val="20"/>
          <w:szCs w:val="20"/>
          <w:color w:val="auto"/>
        </w:rPr>
      </w:pPr>
    </w:p>
    <w:p>
      <w:pPr>
        <w:jc w:val="both"/>
        <w:ind w:left="880" w:firstLine="816"/>
        <w:spacing w:after="0"/>
        <w:tabs>
          <w:tab w:leader="none" w:pos="265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Fees and Expenses</w:t>
      </w:r>
      <w:r>
        <w:rPr>
          <w:rFonts w:ascii="Arial" w:cs="Arial" w:eastAsia="Arial" w:hAnsi="Arial"/>
          <w:sz w:val="22"/>
          <w:szCs w:val="22"/>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9" w:name="page240"/>
    <w:bookmarkEnd w:id="239"/>
    <w:p>
      <w:pPr>
        <w:jc w:val="both"/>
        <w:ind w:right="20" w:firstLine="1755"/>
        <w:spacing w:after="0" w:line="328"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Credit Event</w:t>
      </w:r>
      <w:r>
        <w:rPr>
          <w:rFonts w:ascii="Arial" w:cs="Arial" w:eastAsia="Arial" w:hAnsi="Arial"/>
          <w:sz w:val="19"/>
          <w:szCs w:val="19"/>
          <w:color w:val="auto"/>
        </w:rPr>
        <w:t>. The obligation of each Lender to make any Loan, and of each Issuing Bank to issue, amend, renew or extend any Letter of Credit, is additionally subject to the satisfaction of the following conditions:</w:t>
      </w:r>
    </w:p>
    <w:p>
      <w:pPr>
        <w:spacing w:after="0" w:line="10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(a) 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(b) at the time of and immediately after giving effect to such Loan or the issuance, amendment, renewal or extension of such Letter of Credit, as applicable, no Default shall have occurred and be continuing; and</w:t>
      </w:r>
    </w:p>
    <w:p>
      <w:pPr>
        <w:spacing w:after="0" w:line="173"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(c) 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77" w:lineRule="exact"/>
        <w:rPr>
          <w:sz w:val="20"/>
          <w:szCs w:val="20"/>
          <w:color w:val="auto"/>
        </w:rPr>
      </w:pPr>
    </w:p>
    <w:p>
      <w:pPr>
        <w:jc w:val="both"/>
        <w:ind w:right="20" w:firstLine="1755"/>
        <w:spacing w:after="0" w:line="328" w:lineRule="auto"/>
        <w:rPr>
          <w:sz w:val="20"/>
          <w:szCs w:val="20"/>
          <w:color w:val="auto"/>
        </w:rPr>
      </w:pPr>
      <w:r>
        <w:rPr>
          <w:rFonts w:ascii="Arial" w:cs="Arial" w:eastAsia="Arial" w:hAnsi="Arial"/>
          <w:sz w:val="19"/>
          <w:szCs w:val="19"/>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Borrower will furnish to the Administrative Agent and each Lender:</w:t>
      </w:r>
    </w:p>
    <w:p>
      <w:pPr>
        <w:spacing w:after="0" w:line="173"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(a) 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0" w:name="page241"/>
    <w:bookmarkEnd w:id="240"/>
    <w:p>
      <w:pPr>
        <w:jc w:val="both"/>
        <w:spacing w:after="0" w:line="258" w:lineRule="auto"/>
        <w:rPr>
          <w:sz w:val="20"/>
          <w:szCs w:val="20"/>
          <w:color w:val="auto"/>
        </w:rPr>
      </w:pPr>
      <w:r>
        <w:rPr>
          <w:rFonts w:ascii="Arial" w:cs="Arial" w:eastAsia="Arial" w:hAnsi="Arial"/>
          <w:sz w:val="21"/>
          <w:szCs w:val="21"/>
          <w:color w:val="auto"/>
        </w:rPr>
        <w:t xml:space="preserve">and results of operations of the Borrower and its Subsidiaries on a consolidated basis in accordance with GAAP consistently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set forth in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may be fulfilled by providing to the Administrative Agent and the Lenders the report of the Borrower to the SEC on Form 10-K for the applicable fiscal year;</w:t>
      </w:r>
    </w:p>
    <w:p>
      <w:pPr>
        <w:spacing w:after="0" w:line="167"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 xml:space="preserve">(b) 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may be fulfilled by providing to the Lenders the report of the Borrower to the SEC on Form 10-Q for the applicable quarterly period;</w:t>
      </w:r>
    </w:p>
    <w:p>
      <w:pPr>
        <w:spacing w:after="0" w:line="159"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(c) concurrently with any delivery of financial statements under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21"/>
          <w:szCs w:val="21"/>
          <w:u w:val="single" w:color="auto"/>
          <w:color w:val="auto"/>
        </w:rPr>
        <w:t>Sections 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6.02</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6.07</w:t>
      </w:r>
      <w:r>
        <w:rPr>
          <w:rFonts w:ascii="Arial" w:cs="Arial" w:eastAsia="Arial" w:hAnsi="Arial"/>
          <w:sz w:val="21"/>
          <w:szCs w:val="21"/>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81"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(d) 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w:t>
      </w:r>
    </w:p>
    <w:p>
      <w:pPr>
        <w:spacing w:after="0" w:line="185"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(e) 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1" w:name="page242"/>
    <w:bookmarkEnd w:id="241"/>
    <w:p>
      <w:pPr>
        <w:jc w:val="both"/>
        <w:ind w:firstLine="1755"/>
        <w:spacing w:after="0" w:line="238" w:lineRule="auto"/>
        <w:rPr>
          <w:sz w:val="20"/>
          <w:szCs w:val="20"/>
          <w:color w:val="auto"/>
        </w:rPr>
      </w:pPr>
      <w:r>
        <w:rPr>
          <w:rFonts w:ascii="Arial" w:cs="Arial" w:eastAsia="Arial" w:hAnsi="Arial"/>
          <w:sz w:val="22"/>
          <w:szCs w:val="22"/>
          <w:color w:val="auto"/>
        </w:rPr>
        <w:t>(f) 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(g) 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(h) 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86"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(i) Borrower and each Lender acknowledge that certain of the Lenders may be Public Lenders and, if documents or notices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or otherwise are being distributed through IntraLinks/IntraAgency, SyndTrak or another relevant website or other information platform (the “</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of this Agreement).</w:t>
      </w:r>
    </w:p>
    <w:p>
      <w:pPr>
        <w:spacing w:after="0" w:line="182"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(j) Notwithstanding anything to the contrary herein, the requirements to deliver documents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will be fulfilled by filing by the Borrower of the applicable documents for public availability on the SEC’s Electronic Data Gathering and Retrieval system; </w:t>
      </w:r>
      <w:r>
        <w:rPr>
          <w:rFonts w:ascii="Arial" w:cs="Arial" w:eastAsia="Arial" w:hAnsi="Arial"/>
          <w:sz w:val="22"/>
          <w:szCs w:val="22"/>
          <w:u w:val="single" w:color="auto"/>
          <w:color w:val="auto"/>
        </w:rPr>
        <w:t>provided</w:t>
      </w:r>
      <w:r>
        <w:rPr>
          <w:rFonts w:ascii="Arial" w:cs="Arial" w:eastAsia="Arial" w:hAnsi="Arial"/>
          <w:sz w:val="22"/>
          <w:szCs w:val="22"/>
          <w:color w:val="auto"/>
        </w:rPr>
        <w:t>, that the Borrower shall notify the Administrative Agent (by telecopier or electronic mail) of the posting of any such documents.</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Notices of Material Events</w:t>
      </w:r>
      <w:r>
        <w:rPr>
          <w:rFonts w:ascii="Arial" w:cs="Arial" w:eastAsia="Arial" w:hAnsi="Arial"/>
          <w:sz w:val="19"/>
          <w:szCs w:val="19"/>
          <w:color w:val="auto"/>
        </w:rPr>
        <w:t>. The Borrower will furnish to the Administrative Agent and each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 prompt written notice upon any Responsible Officer obtaining knowledge of the following:</w:t>
      </w:r>
    </w:p>
    <w:p>
      <w:pPr>
        <w:sectPr>
          <w:pgSz w:w="11900" w:h="16838" w:orient="portrait"/>
          <w:cols w:equalWidth="0" w:num="1">
            <w:col w:w="11420"/>
          </w:cols>
          <w:pgMar w:left="240" w:top="334" w:right="239" w:bottom="1440" w:gutter="0" w:footer="0" w:header="0"/>
        </w:sectPr>
      </w:pPr>
    </w:p>
    <w:p>
      <w:pPr>
        <w:spacing w:after="0" w:line="188"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occurrence of any Default;</w:t>
      </w:r>
    </w:p>
    <w:p>
      <w:pPr>
        <w:spacing w:after="0" w:line="200" w:lineRule="exact"/>
        <w:rPr>
          <w:sz w:val="20"/>
          <w:szCs w:val="20"/>
          <w:color w:val="auto"/>
        </w:rPr>
      </w:pPr>
    </w:p>
    <w:p>
      <w:pPr>
        <w:sectPr>
          <w:pgSz w:w="11900" w:h="16838" w:orient="portrait"/>
          <w:cols w:equalWidth="0" w:num="2">
            <w:col w:w="3220" w:space="720"/>
            <w:col w:w="7480"/>
          </w:cols>
          <w:pgMar w:left="240" w:top="334" w:right="239" w:bottom="1440" w:gutter="0" w:footer="0" w:header="0"/>
          <w:type w:val="continuous"/>
        </w:sectPr>
      </w:pPr>
    </w:p>
    <w:p>
      <w:pPr>
        <w:spacing w:after="0" w:line="41"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the filing or commencement of any action, suit or proceeding by or before any</w:t>
      </w:r>
    </w:p>
    <w:p>
      <w:pPr>
        <w:sectPr>
          <w:pgSz w:w="11900" w:h="16838" w:orient="portrait"/>
          <w:cols w:equalWidth="0" w:num="1">
            <w:col w:w="11420"/>
          </w:cols>
          <w:pgMar w:left="240" w:top="334" w:right="239" w:bottom="1440" w:gutter="0" w:footer="0" w:header="0"/>
          <w:type w:val="continuous"/>
        </w:sectPr>
      </w:pPr>
    </w:p>
    <w:p>
      <w:pPr>
        <w:spacing w:after="0" w:line="33"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arbitrator or Governmental Authority against or affecting the Borrower or any of its Affiliates that, if adversely determined,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42" w:name="page243"/>
    <w:bookmarkEnd w:id="242"/>
    <w:p>
      <w:pPr>
        <w:jc w:val="both"/>
        <w:ind w:firstLine="1755"/>
        <w:spacing w:after="0"/>
        <w:rPr>
          <w:sz w:val="20"/>
          <w:szCs w:val="20"/>
          <w:color w:val="auto"/>
        </w:rPr>
      </w:pPr>
      <w:r>
        <w:rPr>
          <w:rFonts w:ascii="Arial" w:cs="Arial" w:eastAsia="Arial" w:hAnsi="Arial"/>
          <w:sz w:val="22"/>
          <w:szCs w:val="22"/>
          <w:color w:val="auto"/>
        </w:rPr>
        <w:t>(c) the occurrence of any ERISA Event that, alone or together with any other ERISA Events that have occurred, could reasonably be expected to result in liability of the Borrower and its Subsidiaries in an aggregate amount exceeding $25,000,000; and</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(d) 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merger, consolidation, liquidation or dissolution permitted under </w:t>
      </w:r>
      <w:r>
        <w:rPr>
          <w:rFonts w:ascii="Arial" w:cs="Arial" w:eastAsia="Arial" w:hAnsi="Arial"/>
          <w:sz w:val="19"/>
          <w:szCs w:val="19"/>
          <w:u w:val="single" w:color="auto"/>
          <w:color w:val="auto"/>
        </w:rPr>
        <w:t>Section 6.03</w:t>
      </w:r>
      <w:r>
        <w:rPr>
          <w:rFonts w:ascii="Arial" w:cs="Arial" w:eastAsia="Arial" w:hAnsi="Arial"/>
          <w:sz w:val="19"/>
          <w:szCs w:val="19"/>
          <w:color w:val="auto"/>
        </w:rPr>
        <w:t>.</w:t>
      </w:r>
    </w:p>
    <w:p>
      <w:pPr>
        <w:spacing w:after="0" w:line="14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w:t>
      </w:r>
    </w:p>
    <w:p>
      <w:pPr>
        <w:spacing w:after="0" w:line="2" w:lineRule="exact"/>
        <w:rPr>
          <w:sz w:val="20"/>
          <w:szCs w:val="20"/>
          <w:color w:val="auto"/>
        </w:rPr>
      </w:pPr>
    </w:p>
    <w:p>
      <w:pPr>
        <w:jc w:val="both"/>
        <w:ind w:firstLine="8"/>
        <w:spacing w:after="0" w:line="249" w:lineRule="auto"/>
        <w:tabs>
          <w:tab w:leader="none" w:pos="301"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8"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Books and Records; Inspection and Audit Rights</w:t>
      </w:r>
      <w:r>
        <w:rPr>
          <w:rFonts w:ascii="Arial" w:cs="Arial" w:eastAsia="Arial" w:hAnsi="Arial"/>
          <w:sz w:val="21"/>
          <w:szCs w:val="21"/>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Borrower or such Obligor shall be entitled to have its representatives and advisors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3" w:name="page244"/>
    <w:bookmarkEnd w:id="243"/>
    <w:p>
      <w:pPr>
        <w:jc w:val="both"/>
        <w:spacing w:after="0"/>
        <w:rPr>
          <w:sz w:val="20"/>
          <w:szCs w:val="20"/>
          <w:color w:val="auto"/>
        </w:rPr>
      </w:pPr>
      <w:r>
        <w:rPr>
          <w:rFonts w:ascii="Arial" w:cs="Arial" w:eastAsia="Arial" w:hAnsi="Arial"/>
          <w:sz w:val="22"/>
          <w:szCs w:val="22"/>
          <w:color w:val="auto"/>
        </w:rPr>
        <w:t>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86"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Certain Obligations Respecting Subsidiaries; Further Assurances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Subsidiary Guarantors</w:t>
      </w:r>
      <w:r>
        <w:rPr>
          <w:rFonts w:ascii="Arial" w:cs="Arial" w:eastAsia="Arial" w:hAnsi="Arial"/>
          <w:sz w:val="22"/>
          <w:szCs w:val="22"/>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upon the Effective Date or as the Administrative Agent shall have reasonably requested.</w:t>
      </w:r>
    </w:p>
    <w:p>
      <w:pPr>
        <w:spacing w:after="0" w:line="191"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Ownership of Subsidiaries</w:t>
      </w:r>
      <w:r>
        <w:rPr>
          <w:rFonts w:ascii="Arial" w:cs="Arial" w:eastAsia="Arial" w:hAnsi="Arial"/>
          <w:sz w:val="21"/>
          <w:szCs w:val="21"/>
          <w:color w:val="auto"/>
        </w:rPr>
        <w:t>. The Borrower will, and will cause each of its Subsidiaries to, take such action from time to time as shall be necessary to ensure that each of its Subsidiaries is a wholly owned Subsidiary.</w:t>
      </w:r>
    </w:p>
    <w:p>
      <w:pPr>
        <w:spacing w:after="0" w:line="151"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Further Assurances</w:t>
      </w:r>
      <w:r>
        <w:rPr>
          <w:rFonts w:ascii="Arial" w:cs="Arial" w:eastAsia="Arial" w:hAnsi="Arial"/>
          <w:sz w:val="21"/>
          <w:szCs w:val="21"/>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21"/>
          <w:szCs w:val="21"/>
          <w:u w:val="single" w:color="auto"/>
          <w:color w:val="auto"/>
        </w:rPr>
        <w:t>Section 5.13</w:t>
      </w:r>
      <w:r>
        <w:rPr>
          <w:rFonts w:ascii="Arial" w:cs="Arial" w:eastAsia="Arial" w:hAnsi="Arial"/>
          <w:sz w:val="21"/>
          <w:szCs w:val="21"/>
          <w:color w:val="auto"/>
        </w:rPr>
        <w:t>) that does not constitute all of the credit extended to the underlying borrower under the relevant underlying loan documents and a Financing Subsidiary holds any interest in the loans or other extensions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90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4" w:name="page245"/>
    <w:bookmarkEnd w:id="244"/>
    <w:p>
      <w:pPr>
        <w:jc w:val="both"/>
        <w:spacing w:after="0" w:line="244" w:lineRule="auto"/>
        <w:rPr>
          <w:sz w:val="20"/>
          <w:szCs w:val="20"/>
          <w:color w:val="auto"/>
        </w:rPr>
      </w:pPr>
      <w:r>
        <w:rPr>
          <w:rFonts w:ascii="Arial" w:cs="Arial" w:eastAsia="Arial" w:hAnsi="Arial"/>
          <w:sz w:val="21"/>
          <w:szCs w:val="21"/>
          <w:color w:val="auto"/>
        </w:rPr>
        <w:t>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8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Use of Proceeds</w:t>
      </w:r>
      <w:r>
        <w:rPr>
          <w:rFonts w:ascii="Arial" w:cs="Arial" w:eastAsia="Arial" w:hAnsi="Arial"/>
          <w:sz w:val="21"/>
          <w:szCs w:val="21"/>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3.16</w:t>
      </w:r>
      <w:r>
        <w:rPr>
          <w:rFonts w:ascii="Arial" w:cs="Arial" w:eastAsia="Arial" w:hAnsi="Arial"/>
          <w:sz w:val="21"/>
          <w:szCs w:val="21"/>
          <w:color w:val="auto"/>
        </w:rPr>
        <w:t>. Margin Stock shall be purchased by the Obligors only with the proceeds of Indebtedness not directly or indirectly secured by Margin Stock, or with the proceeds of equity capital of the Borrower.</w:t>
      </w:r>
    </w:p>
    <w:p>
      <w:pPr>
        <w:spacing w:after="0" w:line="18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Status of RIC and BDC</w:t>
      </w:r>
      <w:r>
        <w:rPr>
          <w:rFonts w:ascii="Arial" w:cs="Arial" w:eastAsia="Arial" w:hAnsi="Arial"/>
          <w:sz w:val="22"/>
          <w:szCs w:val="22"/>
          <w:color w:val="auto"/>
        </w:rPr>
        <w:t>. The Borrower shall at all times, subject to applicable grace periods set forth in the Code, maintain its status as a RIC under the Code, and as a “business development company” under the Investment Company Act.</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shall at all times be in compliance in all material respects with its Investment Policies (after giving effect to any Permitted Policy Amendments).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Portfolio Valuation and Diversification Etc</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Industry Classification Groups</w:t>
      </w:r>
      <w:r>
        <w:rPr>
          <w:rFonts w:ascii="Arial" w:cs="Arial" w:eastAsia="Arial" w:hAnsi="Arial"/>
          <w:sz w:val="22"/>
          <w:szCs w:val="22"/>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5" w:name="page246"/>
    <w:bookmarkEnd w:id="245"/>
    <w:tbl>
      <w:tblPr>
        <w:tblLayout w:type="fixed"/>
        <w:tblInd w:w="820" w:type="dxa"/>
        <w:tblCellMar>
          <w:top w:w="0" w:type="dxa"/>
          <w:left w:w="0" w:type="dxa"/>
          <w:bottom w:w="0" w:type="dxa"/>
          <w:right w:w="0" w:type="dxa"/>
        </w:tblCellMar>
      </w:tblPr>
      <w:tr>
        <w:trPr>
          <w:trHeight w:val="253"/>
        </w:trPr>
        <w:tc>
          <w:tcPr>
            <w:tcW w:w="2140" w:type="dxa"/>
            <w:vAlign w:val="bottom"/>
          </w:tcPr>
          <w:p>
            <w:pPr>
              <w:ind w:left="60"/>
              <w:spacing w:after="0"/>
              <w:rPr>
                <w:sz w:val="20"/>
                <w:szCs w:val="20"/>
                <w:color w:val="auto"/>
              </w:rPr>
            </w:pPr>
            <w:r>
              <w:rPr>
                <w:rFonts w:ascii="Arial" w:cs="Arial" w:eastAsia="Arial" w:hAnsi="Arial"/>
                <w:sz w:val="22"/>
                <w:szCs w:val="22"/>
                <w:color w:val="auto"/>
              </w:rPr>
              <w:t>(b)</w:t>
            </w:r>
          </w:p>
        </w:tc>
        <w:tc>
          <w:tcPr>
            <w:tcW w:w="120" w:type="dxa"/>
            <w:vAlign w:val="bottom"/>
          </w:tcPr>
          <w:p>
            <w:pPr>
              <w:spacing w:after="0"/>
              <w:rPr>
                <w:sz w:val="21"/>
                <w:szCs w:val="21"/>
                <w:color w:val="auto"/>
              </w:rPr>
            </w:pPr>
          </w:p>
        </w:tc>
        <w:tc>
          <w:tcPr>
            <w:tcW w:w="7460" w:type="dxa"/>
            <w:vAlign w:val="bottom"/>
            <w:gridSpan w:val="3"/>
          </w:tcPr>
          <w:p>
            <w:pPr>
              <w:spacing w:after="0"/>
              <w:rPr>
                <w:sz w:val="20"/>
                <w:szCs w:val="20"/>
                <w:color w:val="auto"/>
              </w:rPr>
            </w:pPr>
            <w:r>
              <w:rPr>
                <w:rFonts w:ascii="Arial" w:cs="Arial" w:eastAsia="Arial" w:hAnsi="Arial"/>
                <w:sz w:val="22"/>
                <w:szCs w:val="22"/>
                <w:color w:val="auto"/>
              </w:rPr>
              <w:t>Portfolio Valuation Etc.</w:t>
            </w: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439"/>
        </w:trPr>
        <w:tc>
          <w:tcPr>
            <w:tcW w:w="2140" w:type="dxa"/>
            <w:vAlign w:val="bottom"/>
          </w:tcPr>
          <w:p>
            <w:pPr>
              <w:spacing w:after="0"/>
              <w:rPr>
                <w:sz w:val="20"/>
                <w:szCs w:val="20"/>
                <w:color w:val="auto"/>
              </w:rPr>
            </w:pPr>
            <w:r>
              <w:rPr>
                <w:rFonts w:ascii="Arial" w:cs="Arial" w:eastAsia="Arial" w:hAnsi="Arial"/>
                <w:sz w:val="22"/>
                <w:szCs w:val="22"/>
                <w:color w:val="auto"/>
              </w:rPr>
              <w:t>(i)</w:t>
            </w:r>
          </w:p>
        </w:tc>
        <w:tc>
          <w:tcPr>
            <w:tcW w:w="7580" w:type="dxa"/>
            <w:vAlign w:val="bottom"/>
            <w:gridSpan w:val="4"/>
          </w:tcPr>
          <w:p>
            <w:pPr>
              <w:spacing w:after="0"/>
              <w:rPr>
                <w:sz w:val="20"/>
                <w:szCs w:val="20"/>
                <w:color w:val="auto"/>
              </w:rPr>
            </w:pPr>
            <w:r>
              <w:rPr>
                <w:rFonts w:ascii="Arial" w:cs="Arial" w:eastAsia="Arial" w:hAnsi="Arial"/>
                <w:sz w:val="22"/>
                <w:szCs w:val="22"/>
                <w:color w:val="auto"/>
                <w:w w:val="90"/>
              </w:rPr>
              <w:t>Settlement Date Basis. For purposes of this Agreement, all determinations of whether</w:t>
            </w:r>
          </w:p>
        </w:tc>
      </w:tr>
      <w:tr>
        <w:trPr>
          <w:trHeight w:val="20"/>
        </w:trPr>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investment shall be included as a Portfolio Investment to the extent it has not been paid for in full.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ind w:left="820"/>
              <w:spacing w:after="0"/>
              <w:rPr>
                <w:sz w:val="20"/>
                <w:szCs w:val="20"/>
                <w:color w:val="auto"/>
              </w:rPr>
            </w:pPr>
            <w:r>
              <w:rPr>
                <w:rFonts w:ascii="Arial" w:cs="Arial" w:eastAsia="Arial" w:hAnsi="Arial"/>
                <w:sz w:val="22"/>
                <w:szCs w:val="22"/>
                <w:color w:val="auto"/>
              </w:rPr>
              <w:t>(ii)</w:t>
            </w:r>
          </w:p>
        </w:tc>
        <w:tc>
          <w:tcPr>
            <w:tcW w:w="7520" w:type="dxa"/>
            <w:vAlign w:val="bottom"/>
            <w:gridSpan w:val="4"/>
          </w:tcPr>
          <w:p>
            <w:pPr>
              <w:jc w:val="right"/>
              <w:ind w:right="20"/>
              <w:spacing w:after="0"/>
              <w:rPr>
                <w:sz w:val="20"/>
                <w:szCs w:val="20"/>
                <w:color w:val="auto"/>
              </w:rPr>
            </w:pPr>
            <w:r>
              <w:rPr>
                <w:rFonts w:ascii="Arial" w:cs="Arial" w:eastAsia="Arial" w:hAnsi="Arial"/>
                <w:sz w:val="22"/>
                <w:szCs w:val="22"/>
                <w:color w:val="auto"/>
                <w:w w:val="98"/>
              </w:rPr>
              <w:t>Determination of Values.  The Borrower will conduct reviews of the value to be</w:t>
            </w:r>
          </w:p>
        </w:tc>
      </w:tr>
      <w:tr>
        <w:trPr>
          <w:trHeight w:val="20"/>
        </w:trPr>
        <w:tc>
          <w:tcPr>
            <w:tcW w:w="30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74"/>
        </w:trPr>
        <w:tc>
          <w:tcPr>
            <w:tcW w:w="10540" w:type="dxa"/>
            <w:vAlign w:val="bottom"/>
            <w:gridSpan w:val="5"/>
          </w:tcPr>
          <w:p>
            <w:pPr>
              <w:jc w:val="right"/>
              <w:ind w:right="5700"/>
              <w:spacing w:after="0"/>
              <w:rPr>
                <w:sz w:val="20"/>
                <w:szCs w:val="20"/>
                <w:color w:val="auto"/>
              </w:rPr>
            </w:pPr>
            <w:r>
              <w:rPr>
                <w:rFonts w:ascii="Arial" w:cs="Arial" w:eastAsia="Arial" w:hAnsi="Arial"/>
                <w:sz w:val="22"/>
                <w:szCs w:val="22"/>
                <w:color w:val="auto"/>
                <w:w w:val="89"/>
              </w:rPr>
              <w:t>assigned to each of its Portfolio Investments as follows:</w:t>
            </w:r>
          </w:p>
        </w:tc>
      </w:tr>
      <w:tr>
        <w:trPr>
          <w:trHeight w:val="409"/>
        </w:trPr>
        <w:tc>
          <w:tcPr>
            <w:tcW w:w="3020" w:type="dxa"/>
            <w:vAlign w:val="bottom"/>
          </w:tcPr>
          <w:p>
            <w:pPr>
              <w:ind w:left="1620"/>
              <w:spacing w:after="0"/>
              <w:rPr>
                <w:sz w:val="20"/>
                <w:szCs w:val="20"/>
                <w:color w:val="auto"/>
              </w:rPr>
            </w:pPr>
            <w:r>
              <w:rPr>
                <w:rFonts w:ascii="Arial" w:cs="Arial" w:eastAsia="Arial" w:hAnsi="Arial"/>
                <w:sz w:val="22"/>
                <w:szCs w:val="22"/>
                <w:color w:val="auto"/>
              </w:rPr>
              <w:t>(A)</w:t>
            </w:r>
          </w:p>
        </w:tc>
        <w:tc>
          <w:tcPr>
            <w:tcW w:w="1500" w:type="dxa"/>
            <w:vAlign w:val="bottom"/>
          </w:tcPr>
          <w:p>
            <w:pPr>
              <w:spacing w:after="0"/>
              <w:rPr>
                <w:sz w:val="24"/>
                <w:szCs w:val="24"/>
                <w:color w:val="auto"/>
              </w:rPr>
            </w:pPr>
          </w:p>
        </w:tc>
        <w:tc>
          <w:tcPr>
            <w:tcW w:w="6020" w:type="dxa"/>
            <w:vAlign w:val="bottom"/>
            <w:gridSpan w:val="3"/>
          </w:tcPr>
          <w:p>
            <w:pPr>
              <w:jc w:val="right"/>
              <w:spacing w:after="0"/>
              <w:rPr>
                <w:sz w:val="20"/>
                <w:szCs w:val="20"/>
                <w:color w:val="auto"/>
              </w:rPr>
            </w:pPr>
            <w:r>
              <w:rPr>
                <w:rFonts w:ascii="Arial" w:cs="Arial" w:eastAsia="Arial" w:hAnsi="Arial"/>
                <w:sz w:val="22"/>
                <w:szCs w:val="22"/>
                <w:color w:val="auto"/>
                <w:w w:val="95"/>
              </w:rPr>
              <w:t>Quoted Investments - External Review.  With respect to Portfolio</w:t>
            </w:r>
          </w:p>
        </w:tc>
      </w:tr>
      <w:tr>
        <w:trPr>
          <w:trHeight w:val="20"/>
        </w:trPr>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5" w:lineRule="exact"/>
        <w:rPr>
          <w:sz w:val="20"/>
          <w:szCs w:val="20"/>
          <w:color w:val="auto"/>
        </w:rPr>
      </w:pPr>
    </w:p>
    <w:p>
      <w:pPr>
        <w:ind w:left="1760" w:right="20" w:firstLine="677"/>
        <w:spacing w:after="0" w:line="251" w:lineRule="auto"/>
        <w:tabs>
          <w:tab w:leader="none" w:pos="338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 the case of public and 144A securities, the average of the bid prices as determined by two Approved Dealers selected by the Borrower,</w:t>
      </w:r>
    </w:p>
    <w:p>
      <w:pPr>
        <w:spacing w:after="0" w:line="173" w:lineRule="exact"/>
        <w:rPr>
          <w:rFonts w:ascii="Arial" w:cs="Arial" w:eastAsia="Arial" w:hAnsi="Arial"/>
          <w:sz w:val="22"/>
          <w:szCs w:val="22"/>
          <w:color w:val="auto"/>
        </w:rPr>
      </w:pPr>
    </w:p>
    <w:p>
      <w:pPr>
        <w:ind w:left="1760" w:firstLine="677"/>
        <w:spacing w:after="0" w:line="251" w:lineRule="auto"/>
        <w:tabs>
          <w:tab w:leader="none" w:pos="333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 the case of bank loans, the bid price as determined by one Approved Dealer selected by the Borrower,</w:t>
      </w:r>
    </w:p>
    <w:p>
      <w:pPr>
        <w:spacing w:after="0" w:line="173" w:lineRule="exact"/>
        <w:rPr>
          <w:rFonts w:ascii="Arial" w:cs="Arial" w:eastAsia="Arial" w:hAnsi="Arial"/>
          <w:sz w:val="22"/>
          <w:szCs w:val="22"/>
          <w:color w:val="auto"/>
        </w:rPr>
      </w:pPr>
    </w:p>
    <w:p>
      <w:pPr>
        <w:ind w:left="1760" w:firstLine="677"/>
        <w:spacing w:after="0" w:line="251" w:lineRule="auto"/>
        <w:tabs>
          <w:tab w:leader="none" w:pos="333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 the case of any Portfolio Investment traded on an exchange, the closing price for such Portfolio Investment most recently posted on such exchange, and</w:t>
      </w:r>
    </w:p>
    <w:p>
      <w:pPr>
        <w:spacing w:after="0" w:line="173" w:lineRule="exact"/>
        <w:rPr>
          <w:rFonts w:ascii="Arial" w:cs="Arial" w:eastAsia="Arial" w:hAnsi="Arial"/>
          <w:sz w:val="22"/>
          <w:szCs w:val="22"/>
          <w:color w:val="auto"/>
        </w:rPr>
      </w:pPr>
    </w:p>
    <w:p>
      <w:pPr>
        <w:ind w:left="1760" w:firstLine="677"/>
        <w:spacing w:after="0" w:line="251" w:lineRule="auto"/>
        <w:tabs>
          <w:tab w:leader="none" w:pos="332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 the case of any other Portfolio Investment, the fair market value thereof as determined by an Approved Pricing Service selected by the Borrower; and</w:t>
      </w:r>
    </w:p>
    <w:p>
      <w:pPr>
        <w:spacing w:after="0" w:line="173" w:lineRule="exact"/>
        <w:rPr>
          <w:sz w:val="20"/>
          <w:szCs w:val="20"/>
          <w:color w:val="auto"/>
        </w:rPr>
      </w:pPr>
    </w:p>
    <w:p>
      <w:pPr>
        <w:ind w:left="1620"/>
        <w:spacing w:after="0"/>
        <w:tabs>
          <w:tab w:leader="none" w:pos="4480" w:val="left"/>
          <w:tab w:leader="none" w:pos="8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Unquoted Investments- External Review</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With respect to each</w:t>
      </w:r>
    </w:p>
    <w:p>
      <w:pPr>
        <w:spacing w:after="0" w:line="8" w:lineRule="exact"/>
        <w:rPr>
          <w:sz w:val="20"/>
          <w:szCs w:val="20"/>
          <w:color w:val="auto"/>
        </w:rPr>
      </w:pPr>
    </w:p>
    <w:p>
      <w:pPr>
        <w:jc w:val="both"/>
        <w:ind w:left="880"/>
        <w:spacing w:after="0" w:line="245" w:lineRule="auto"/>
        <w:rPr>
          <w:sz w:val="20"/>
          <w:szCs w:val="20"/>
          <w:color w:val="auto"/>
        </w:rPr>
      </w:pPr>
      <w:r>
        <w:rPr>
          <w:rFonts w:ascii="Arial" w:cs="Arial" w:eastAsia="Arial" w:hAnsi="Arial"/>
          <w:sz w:val="21"/>
          <w:szCs w:val="21"/>
          <w:color w:val="auto"/>
        </w:rPr>
        <w:t>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21"/>
          <w:szCs w:val="21"/>
          <w:u w:val="single" w:color="auto"/>
          <w:color w:val="auto"/>
        </w:rPr>
        <w:t>Testing Quarter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1" w:lineRule="exact"/>
        <w:rPr>
          <w:sz w:val="20"/>
          <w:szCs w:val="20"/>
          <w:color w:val="auto"/>
        </w:rPr>
      </w:pPr>
    </w:p>
    <w:p>
      <w:pPr>
        <w:jc w:val="both"/>
        <w:ind w:left="1760" w:firstLine="677"/>
        <w:spacing w:after="0"/>
        <w:tabs>
          <w:tab w:leader="none" w:pos="333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Value of any such Portfolio Investment (i.e., a Portfolio Investment for which market quotations are not readily available) acquired shall be deemed to be equal to the cost of such Portfolio Investment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740"/>
        <w:spacing w:after="0"/>
        <w:tabs>
          <w:tab w:leader="none" w:pos="8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214630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05" w:right="239" w:bottom="1440" w:gutter="0" w:footer="0" w:header="0"/>
        </w:sectPr>
      </w:pPr>
    </w:p>
    <w:bookmarkStart w:id="246" w:name="page247"/>
    <w:bookmarkEnd w:id="246"/>
    <w:p>
      <w:pPr>
        <w:jc w:val="both"/>
        <w:ind w:left="1440"/>
        <w:spacing w:after="0"/>
        <w:rPr>
          <w:sz w:val="20"/>
          <w:szCs w:val="20"/>
          <w:color w:val="auto"/>
        </w:rPr>
      </w:pPr>
      <w:r>
        <w:rPr>
          <w:rFonts w:ascii="Arial" w:cs="Arial" w:eastAsia="Arial" w:hAnsi="Arial"/>
          <w:sz w:val="22"/>
          <w:szCs w:val="22"/>
          <w:color w:val="auto"/>
        </w:rPr>
        <w:t xml:space="preserve">such time as the fair market value of such Portfolio Investment is determined in accordance with the foregoing provisions of this </w:t>
      </w:r>
      <w:r>
        <w:rPr>
          <w:rFonts w:ascii="Arial" w:cs="Arial" w:eastAsia="Arial" w:hAnsi="Arial"/>
          <w:sz w:val="22"/>
          <w:szCs w:val="22"/>
          <w:u w:val="single" w:color="auto"/>
          <w:color w:val="auto"/>
        </w:rPr>
        <w:t>sub-clause (B)</w:t>
      </w:r>
      <w:r>
        <w:rPr>
          <w:rFonts w:ascii="Arial" w:cs="Arial" w:eastAsia="Arial" w:hAnsi="Arial"/>
          <w:sz w:val="22"/>
          <w:szCs w:val="22"/>
          <w:color w:val="auto"/>
        </w:rPr>
        <w:t xml:space="preserve"> as at the last day of the next succeeding Testing Quarter with respect to such Portfolio Investment;</w:t>
      </w:r>
    </w:p>
    <w:p>
      <w:pPr>
        <w:spacing w:after="0" w:line="186" w:lineRule="exact"/>
        <w:rPr>
          <w:sz w:val="20"/>
          <w:szCs w:val="20"/>
          <w:color w:val="auto"/>
        </w:rPr>
      </w:pPr>
    </w:p>
    <w:p>
      <w:pPr>
        <w:jc w:val="both"/>
        <w:ind w:left="1440" w:firstLine="677"/>
        <w:spacing w:after="0" w:line="273" w:lineRule="auto"/>
        <w:tabs>
          <w:tab w:leader="none" w:pos="301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56" w:lineRule="exact"/>
        <w:rPr>
          <w:rFonts w:ascii="Arial" w:cs="Arial" w:eastAsia="Arial" w:hAnsi="Arial"/>
          <w:sz w:val="19"/>
          <w:szCs w:val="19"/>
          <w:color w:val="auto"/>
        </w:rPr>
      </w:pPr>
    </w:p>
    <w:p>
      <w:pPr>
        <w:jc w:val="both"/>
        <w:ind w:left="1440" w:firstLine="677"/>
        <w:spacing w:after="0"/>
        <w:tabs>
          <w:tab w:leader="none" w:pos="242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86" w:lineRule="exact"/>
        <w:rPr>
          <w:sz w:val="20"/>
          <w:szCs w:val="20"/>
          <w:color w:val="auto"/>
        </w:rPr>
      </w:pPr>
    </w:p>
    <w:p>
      <w:pPr>
        <w:jc w:val="both"/>
        <w:ind w:left="560" w:firstLine="743"/>
        <w:spacing w:after="0" w:line="244"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Internal Review</w:t>
      </w:r>
      <w:r>
        <w:rPr>
          <w:rFonts w:ascii="Arial" w:cs="Arial" w:eastAsia="Arial" w:hAnsi="Arial"/>
          <w:sz w:val="21"/>
          <w:szCs w:val="21"/>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21"/>
          <w:szCs w:val="21"/>
          <w:u w:val="single" w:color="auto"/>
          <w:color w:val="auto"/>
        </w:rPr>
        <w:t>Section 5.12(b)(ii)(C)</w:t>
      </w:r>
      <w:r>
        <w:rPr>
          <w:rFonts w:ascii="Arial" w:cs="Arial" w:eastAsia="Arial" w:hAnsi="Arial"/>
          <w:sz w:val="21"/>
          <w:szCs w:val="21"/>
          <w:color w:val="auto"/>
        </w:rPr>
        <w:t xml:space="preserve"> is lower than the value of such Portfolio Investment as most recently determined pursuant to </w:t>
      </w:r>
      <w:r>
        <w:rPr>
          <w:rFonts w:ascii="Arial" w:cs="Arial" w:eastAsia="Arial" w:hAnsi="Arial"/>
          <w:sz w:val="21"/>
          <w:szCs w:val="21"/>
          <w:u w:val="single" w:color="auto"/>
          <w:color w:val="auto"/>
        </w:rPr>
        <w:t>Section 5.12(b)(ii)(A)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such lower value shall be deemed to be the “Value” of such Portfolio Investment for purposes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87" w:lineRule="exact"/>
        <w:rPr>
          <w:sz w:val="20"/>
          <w:szCs w:val="20"/>
          <w:color w:val="auto"/>
        </w:rPr>
      </w:pPr>
    </w:p>
    <w:p>
      <w:pPr>
        <w:jc w:val="both"/>
        <w:ind w:left="560" w:firstLine="743"/>
        <w:spacing w:after="0" w:line="258"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Failure to Determine Values</w:t>
      </w:r>
      <w:r>
        <w:rPr>
          <w:rFonts w:ascii="Arial" w:cs="Arial" w:eastAsia="Arial" w:hAnsi="Arial"/>
          <w:sz w:val="21"/>
          <w:szCs w:val="21"/>
          <w:color w:val="auto"/>
        </w:rPr>
        <w:t xml:space="preserve">. If the Borrower shall fail to determine the value of any Portfolio Investment as at any date pursuant to the requirements of the foregoing </w:t>
      </w:r>
      <w:r>
        <w:rPr>
          <w:rFonts w:ascii="Arial" w:cs="Arial" w:eastAsia="Arial" w:hAnsi="Arial"/>
          <w:sz w:val="21"/>
          <w:szCs w:val="21"/>
          <w:u w:val="single" w:color="auto"/>
          <w:color w:val="auto"/>
        </w:rPr>
        <w:t>sub-clauses</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then the “Value” of such Portfolio Investment as at such date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tabs>
          <w:tab w:leader="none" w:pos="816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222250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247" w:name="page248"/>
    <w:bookmarkEnd w:id="247"/>
    <w:p>
      <w:pPr>
        <w:ind w:left="1300"/>
        <w:spacing w:after="0"/>
        <w:tabs>
          <w:tab w:leader="none" w:pos="41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u w:val="single" w:color="auto"/>
          <w:color w:val="auto"/>
        </w:rPr>
        <w:t>Testing of Values</w:t>
      </w:r>
      <w:r>
        <w:rPr>
          <w:rFonts w:ascii="Arial" w:cs="Arial" w:eastAsia="Arial" w:hAnsi="Arial"/>
          <w:sz w:val="22"/>
          <w:szCs w:val="22"/>
          <w:color w:val="auto"/>
        </w:rPr>
        <w:t>.</w:t>
      </w:r>
    </w:p>
    <w:p>
      <w:pPr>
        <w:spacing w:after="0" w:line="206" w:lineRule="exact"/>
        <w:rPr>
          <w:sz w:val="20"/>
          <w:szCs w:val="20"/>
          <w:color w:val="auto"/>
        </w:rPr>
      </w:pPr>
    </w:p>
    <w:p>
      <w:pPr>
        <w:jc w:val="both"/>
        <w:ind w:left="1440" w:firstLine="677"/>
        <w:spacing w:after="0" w:line="245" w:lineRule="auto"/>
        <w:tabs>
          <w:tab w:leader="none" w:pos="311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For the second calendar month immediately following the end of each fiscal quarter (the last such fiscal quarter is referred to herein as, the “</w:t>
      </w:r>
      <w:r>
        <w:rPr>
          <w:rFonts w:ascii="Arial" w:cs="Arial" w:eastAsia="Arial" w:hAnsi="Arial"/>
          <w:sz w:val="21"/>
          <w:szCs w:val="21"/>
          <w:u w:val="single" w:color="auto"/>
          <w:color w:val="auto"/>
        </w:rPr>
        <w:t>Testing Period</w:t>
      </w:r>
      <w:r>
        <w:rPr>
          <w:rFonts w:ascii="Arial" w:cs="Arial" w:eastAsia="Arial" w:hAnsi="Arial"/>
          <w:sz w:val="21"/>
          <w:szCs w:val="21"/>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21"/>
          <w:szCs w:val="21"/>
          <w:u w:val="single" w:color="auto"/>
          <w:color w:val="auto"/>
        </w:rPr>
        <w:t>sub-clause (F)</w:t>
      </w:r>
      <w:r>
        <w:rPr>
          <w:rFonts w:ascii="Arial" w:cs="Arial" w:eastAsia="Arial" w:hAnsi="Arial"/>
          <w:sz w:val="21"/>
          <w:szCs w:val="21"/>
          <w:color w:val="auto"/>
        </w:rPr>
        <w:t xml:space="preserve"> below.</w:t>
      </w:r>
    </w:p>
    <w:p>
      <w:pPr>
        <w:spacing w:after="0" w:line="181" w:lineRule="exact"/>
        <w:rPr>
          <w:rFonts w:ascii="Arial" w:cs="Arial" w:eastAsia="Arial" w:hAnsi="Arial"/>
          <w:sz w:val="21"/>
          <w:szCs w:val="21"/>
          <w:color w:val="auto"/>
        </w:rPr>
      </w:pPr>
    </w:p>
    <w:p>
      <w:pPr>
        <w:jc w:val="both"/>
        <w:ind w:left="1440" w:firstLine="677"/>
        <w:spacing w:after="0" w:line="270" w:lineRule="auto"/>
        <w:tabs>
          <w:tab w:leader="none" w:pos="301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9"/>
          <w:szCs w:val="19"/>
          <w:u w:val="single" w:color="auto"/>
          <w:color w:val="auto"/>
        </w:rPr>
        <w:t>Administrative Agent Appraisal Testing Period</w:t>
      </w:r>
      <w:r>
        <w:rPr>
          <w:rFonts w:ascii="Arial" w:cs="Arial" w:eastAsia="Arial" w:hAnsi="Arial"/>
          <w:sz w:val="19"/>
          <w:szCs w:val="19"/>
          <w:color w:val="auto"/>
        </w:rPr>
        <w:t>”) and would be reflected in the Borrowing Base Certificate for such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Approved Third-Party Appraiser delivers such valuation at least seven (7) Business Days before the 20</w:t>
      </w:r>
      <w:r>
        <w:rPr>
          <w:rFonts w:ascii="Arial" w:cs="Arial" w:eastAsia="Arial" w:hAnsi="Arial"/>
          <w:sz w:val="16"/>
          <w:szCs w:val="16"/>
          <w:color w:val="auto"/>
        </w:rPr>
        <w:t>th</w:t>
      </w:r>
      <w:r>
        <w:rPr>
          <w:rFonts w:ascii="Arial" w:cs="Arial" w:eastAsia="Arial" w:hAnsi="Arial"/>
          <w:sz w:val="19"/>
          <w:szCs w:val="19"/>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70" w:lineRule="exact"/>
        <w:rPr>
          <w:sz w:val="20"/>
          <w:szCs w:val="20"/>
          <w:color w:val="auto"/>
        </w:rPr>
      </w:pPr>
    </w:p>
    <w:p>
      <w:pPr>
        <w:ind w:left="1440"/>
        <w:spacing w:after="0" w:line="251" w:lineRule="auto"/>
        <w:rPr>
          <w:sz w:val="20"/>
          <w:szCs w:val="20"/>
          <w:color w:val="auto"/>
        </w:rPr>
      </w:pPr>
      <w:r>
        <w:rPr>
          <w:rFonts w:ascii="Arial" w:cs="Arial" w:eastAsia="Arial" w:hAnsi="Arial"/>
          <w:sz w:val="22"/>
          <w:szCs w:val="22"/>
          <w:color w:val="auto"/>
        </w:rPr>
        <w:t xml:space="preserve">For the avoidance of doubt, all calculations of value pursuant to this </w:t>
      </w:r>
      <w:r>
        <w:rPr>
          <w:rFonts w:ascii="Arial" w:cs="Arial" w:eastAsia="Arial" w:hAnsi="Arial"/>
          <w:sz w:val="22"/>
          <w:szCs w:val="22"/>
          <w:u w:val="single" w:color="auto"/>
          <w:color w:val="auto"/>
        </w:rPr>
        <w:t>Section 5.12(b)(ii)(E)</w:t>
      </w:r>
      <w:r>
        <w:rPr>
          <w:rFonts w:ascii="Arial" w:cs="Arial" w:eastAsia="Arial" w:hAnsi="Arial"/>
          <w:sz w:val="22"/>
          <w:szCs w:val="22"/>
          <w:color w:val="auto"/>
        </w:rPr>
        <w:t xml:space="preserve"> shall be determined without application of the Advance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4420"/>
        <w:spacing w:after="0"/>
        <w:tabs>
          <w:tab w:leader="none" w:pos="816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214630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248" w:name="page249"/>
    <w:bookmarkEnd w:id="248"/>
    <w:p>
      <w:pPr>
        <w:jc w:val="both"/>
        <w:ind w:left="1760" w:firstLine="743"/>
        <w:spacing w:after="0" w:line="272"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Valuation Dispute Resolution</w:t>
      </w:r>
      <w:r>
        <w:rPr>
          <w:rFonts w:ascii="Arial" w:cs="Arial" w:eastAsia="Arial" w:hAnsi="Arial"/>
          <w:sz w:val="19"/>
          <w:szCs w:val="19"/>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5.12(b)(ii)(B)</w:t>
      </w:r>
      <w:r>
        <w:rPr>
          <w:rFonts w:ascii="Arial" w:cs="Arial" w:eastAsia="Arial" w:hAnsi="Arial"/>
          <w:sz w:val="19"/>
          <w:szCs w:val="19"/>
          <w:color w:val="auto"/>
        </w:rPr>
        <w:t xml:space="preserve"> and the valuation of any Approved Third-Party Appraiser selected by the Administrative Agent pursuant to </w:t>
      </w:r>
      <w:r>
        <w:rPr>
          <w:rFonts w:ascii="Arial" w:cs="Arial" w:eastAsia="Arial" w:hAnsi="Arial"/>
          <w:sz w:val="19"/>
          <w:szCs w:val="19"/>
          <w:u w:val="single" w:color="auto"/>
          <w:color w:val="auto"/>
        </w:rPr>
        <w:t>Section 5.12(b)(ii)(E)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57"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RIC Diversification Requirements</w:t>
      </w:r>
      <w:r>
        <w:rPr>
          <w:rFonts w:ascii="Arial" w:cs="Arial" w:eastAsia="Arial" w:hAnsi="Arial"/>
          <w:sz w:val="22"/>
          <w:szCs w:val="22"/>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Calculation of Borrowing Base</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(a) the Advance Rate applicable to that portion of the aggregate Value of the Portfolio Investments of all issuers in a consolidated group of corporations or other entities (collectively, a “</w:t>
      </w:r>
      <w:r>
        <w:rPr>
          <w:rFonts w:ascii="Arial" w:cs="Arial" w:eastAsia="Arial" w:hAnsi="Arial"/>
          <w:sz w:val="22"/>
          <w:szCs w:val="22"/>
          <w:u w:val="single" w:color="auto"/>
          <w:color w:val="auto"/>
        </w:rPr>
        <w:t>Consolidated Group</w:t>
      </w:r>
      <w:r>
        <w:rPr>
          <w:rFonts w:ascii="Arial" w:cs="Arial" w:eastAsia="Arial" w:hAnsi="Arial"/>
          <w:sz w:val="22"/>
          <w:szCs w:val="22"/>
          <w:color w:val="auto"/>
        </w:rPr>
        <w:t>”), in accordance with GAAP, that exceeds 6% of the aggregate Value of all Portfolio Investments in the Collateral Pool as of the end of the most recent quarter shall be 50% of the Advance Rate otherwise applicable;</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(c) 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the Portfolio Investments in a single Industry Classification Group from time to time designated by the Borrower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20"/>
        <w:spacing w:after="0"/>
        <w:tabs>
          <w:tab w:leader="none" w:pos="9360" w:val="left"/>
        </w:tabs>
        <w:rPr>
          <w:sz w:val="20"/>
          <w:szCs w:val="20"/>
          <w:color w:val="auto"/>
        </w:rPr>
      </w:pPr>
      <w:r>
        <w:rPr>
          <w:rFonts w:ascii="Arial" w:cs="Arial" w:eastAsia="Arial" w:hAnsi="Arial"/>
          <w:sz w:val="19"/>
          <w:szCs w:val="19"/>
          <w:color w:val="auto"/>
        </w:rPr>
        <w:t>95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9" w:name="page250"/>
    <w:bookmarkEnd w:id="249"/>
    <w:p>
      <w:pPr>
        <w:jc w:val="both"/>
        <w:spacing w:after="0" w:line="258" w:lineRule="auto"/>
        <w:rPr>
          <w:sz w:val="20"/>
          <w:szCs w:val="20"/>
          <w:color w:val="auto"/>
        </w:rPr>
      </w:pPr>
      <w:r>
        <w:rPr>
          <w:rFonts w:ascii="Arial" w:cs="Arial" w:eastAsia="Arial" w:hAnsi="Arial"/>
          <w:sz w:val="21"/>
          <w:szCs w:val="21"/>
          <w:color w:val="auto"/>
        </w:rPr>
        <w:t>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67"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(d) 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(e) the portion of the Borrowing Base attributable to Performing Non-Cash Pay High Yield Securities, Performing Non-Cash Pay Mezzanine Investments, Equity Interests and Non-Performing Portfolio Investments shall not exceed 20%;</w:t>
      </w:r>
    </w:p>
    <w:p>
      <w:pPr>
        <w:spacing w:after="0" w:line="186"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portion of the Borrowing Base attributable to Equity Interests shall not exceed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10% (it being understood that in no event shall Equity Interests of Financing Subsidiaries be included in the Borrowing Base);</w:t>
      </w:r>
    </w:p>
    <w:p>
      <w:pPr>
        <w:spacing w:after="0" w:line="22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(g) 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(h) 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75"/>
        </w:trPr>
        <w:tc>
          <w:tcPr>
            <w:tcW w:w="8420" w:type="dxa"/>
            <w:vAlign w:val="bottom"/>
            <w:gridSpan w:val="11"/>
          </w:tcPr>
          <w:p>
            <w:pPr>
              <w:spacing w:after="0"/>
              <w:rPr>
                <w:sz w:val="20"/>
                <w:szCs w:val="20"/>
                <w:color w:val="auto"/>
              </w:rPr>
            </w:pPr>
            <w:r>
              <w:rPr>
                <w:rFonts w:ascii="Arial" w:cs="Arial" w:eastAsia="Arial" w:hAnsi="Arial"/>
                <w:sz w:val="22"/>
                <w:szCs w:val="22"/>
                <w:color w:val="auto"/>
              </w:rPr>
              <w:t>As used herein, the following terms have the following meanings:</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0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40" w:type="dxa"/>
            <w:vAlign w:val="bottom"/>
            <w:gridSpan w:val="7"/>
          </w:tcPr>
          <w:p>
            <w:pPr>
              <w:ind w:left="80"/>
              <w:spacing w:after="0"/>
              <w:rPr>
                <w:sz w:val="20"/>
                <w:szCs w:val="20"/>
                <w:color w:val="auto"/>
              </w:rPr>
            </w:pPr>
            <w:r>
              <w:rPr>
                <w:rFonts w:ascii="Arial" w:cs="Arial" w:eastAsia="Arial" w:hAnsi="Arial"/>
                <w:sz w:val="22"/>
                <w:szCs w:val="22"/>
                <w:color w:val="auto"/>
                <w:w w:val="94"/>
              </w:rPr>
              <w:t>“Advance  Rate”  means,  as  to  any  Portfolio  Investment  and  subject</w:t>
            </w:r>
          </w:p>
        </w:tc>
        <w:tc>
          <w:tcPr>
            <w:tcW w:w="1500" w:type="dxa"/>
            <w:vAlign w:val="bottom"/>
            <w:gridSpan w:val="3"/>
          </w:tcPr>
          <w:p>
            <w:pPr>
              <w:ind w:left="140"/>
              <w:spacing w:after="0"/>
              <w:rPr>
                <w:sz w:val="20"/>
                <w:szCs w:val="20"/>
                <w:color w:val="auto"/>
              </w:rPr>
            </w:pPr>
            <w:r>
              <w:rPr>
                <w:rFonts w:ascii="Arial" w:cs="Arial" w:eastAsia="Arial" w:hAnsi="Arial"/>
                <w:sz w:val="22"/>
                <w:szCs w:val="22"/>
                <w:color w:val="auto"/>
                <w:w w:val="96"/>
              </w:rPr>
              <w:t>to  adjustment</w:t>
            </w:r>
          </w:p>
        </w:tc>
        <w:tc>
          <w:tcPr>
            <w:tcW w:w="1500" w:type="dxa"/>
            <w:vAlign w:val="bottom"/>
          </w:tcPr>
          <w:p>
            <w:pPr>
              <w:ind w:left="80"/>
              <w:spacing w:after="0"/>
              <w:rPr>
                <w:sz w:val="20"/>
                <w:szCs w:val="20"/>
                <w:color w:val="auto"/>
              </w:rPr>
            </w:pPr>
            <w:r>
              <w:rPr>
                <w:rFonts w:ascii="Arial" w:cs="Arial" w:eastAsia="Arial" w:hAnsi="Arial"/>
                <w:sz w:val="22"/>
                <w:szCs w:val="22"/>
                <w:color w:val="auto"/>
                <w:w w:val="93"/>
              </w:rPr>
              <w:t>as  provided  in</w:t>
            </w:r>
          </w:p>
        </w:tc>
      </w:tr>
      <w:tr>
        <w:trPr>
          <w:trHeight w:val="20"/>
        </w:trPr>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3"/>
        </w:trPr>
        <w:tc>
          <w:tcPr>
            <w:tcW w:w="8420" w:type="dxa"/>
            <w:vAlign w:val="bottom"/>
            <w:gridSpan w:val="11"/>
          </w:tcPr>
          <w:p>
            <w:pPr>
              <w:spacing w:after="0" w:line="223" w:lineRule="exact"/>
              <w:rPr>
                <w:sz w:val="20"/>
                <w:szCs w:val="20"/>
                <w:color w:val="auto"/>
              </w:rPr>
            </w:pPr>
            <w:r>
              <w:rPr>
                <w:rFonts w:ascii="Arial" w:cs="Arial" w:eastAsia="Arial" w:hAnsi="Arial"/>
                <w:sz w:val="22"/>
                <w:szCs w:val="22"/>
                <w:color w:val="auto"/>
                <w:w w:val="90"/>
              </w:rPr>
              <w:t>Section 5.13(a), (b) and (c), the following percentages with respect to such Portfolio Investment: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80"/>
        </w:trPr>
        <w:tc>
          <w:tcPr>
            <w:tcW w:w="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80" w:type="dxa"/>
            <w:vAlign w:val="bottom"/>
            <w:gridSpan w:val="4"/>
          </w:tcPr>
          <w:p>
            <w:pPr>
              <w:ind w:left="660"/>
              <w:spacing w:after="0"/>
              <w:rPr>
                <w:sz w:val="20"/>
                <w:szCs w:val="20"/>
                <w:color w:val="auto"/>
              </w:rPr>
            </w:pPr>
            <w:r>
              <w:rPr>
                <w:rFonts w:ascii="Arial" w:cs="Arial" w:eastAsia="Arial" w:hAnsi="Arial"/>
                <w:sz w:val="22"/>
                <w:szCs w:val="22"/>
                <w:color w:val="auto"/>
              </w:rPr>
              <w:t>Portfolio Investment</w:t>
            </w:r>
          </w:p>
        </w:tc>
        <w:tc>
          <w:tcPr>
            <w:tcW w:w="1500" w:type="dxa"/>
            <w:vAlign w:val="bottom"/>
            <w:gridSpan w:val="3"/>
          </w:tcPr>
          <w:p>
            <w:pPr>
              <w:ind w:left="20"/>
              <w:spacing w:after="0"/>
              <w:rPr>
                <w:sz w:val="20"/>
                <w:szCs w:val="20"/>
                <w:color w:val="auto"/>
              </w:rPr>
            </w:pPr>
            <w:r>
              <w:rPr>
                <w:rFonts w:ascii="Arial" w:cs="Arial" w:eastAsia="Arial" w:hAnsi="Arial"/>
                <w:sz w:val="22"/>
                <w:szCs w:val="22"/>
                <w:color w:val="auto"/>
              </w:rPr>
              <w:t>Quoted</w:t>
            </w:r>
          </w:p>
        </w:tc>
        <w:tc>
          <w:tcPr>
            <w:tcW w:w="1500" w:type="dxa"/>
            <w:vAlign w:val="bottom"/>
          </w:tcPr>
          <w:p>
            <w:pPr>
              <w:ind w:left="220"/>
              <w:spacing w:after="0"/>
              <w:rPr>
                <w:sz w:val="20"/>
                <w:szCs w:val="20"/>
                <w:color w:val="auto"/>
              </w:rPr>
            </w:pPr>
            <w:r>
              <w:rPr>
                <w:rFonts w:ascii="Arial" w:cs="Arial" w:eastAsia="Arial" w:hAnsi="Arial"/>
                <w:sz w:val="22"/>
                <w:szCs w:val="22"/>
                <w:color w:val="auto"/>
              </w:rPr>
              <w:t>Unquoted</w:t>
            </w:r>
          </w:p>
        </w:tc>
      </w:tr>
      <w:tr>
        <w:trPr>
          <w:trHeight w:val="215"/>
        </w:trPr>
        <w:tc>
          <w:tcPr>
            <w:tcW w:w="20" w:type="dxa"/>
            <w:vAlign w:val="bottom"/>
          </w:tcPr>
          <w:p>
            <w:pPr>
              <w:spacing w:after="0"/>
              <w:rPr>
                <w:sz w:val="18"/>
                <w:szCs w:val="18"/>
                <w:color w:val="auto"/>
              </w:rPr>
            </w:pPr>
          </w:p>
        </w:tc>
        <w:tc>
          <w:tcPr>
            <w:tcW w:w="7760" w:type="dxa"/>
            <w:vAlign w:val="bottom"/>
            <w:tcBorders>
              <w:top w:val="single" w:sz="8" w:color="auto"/>
            </w:tcBorders>
            <w:gridSpan w:val="8"/>
          </w:tcPr>
          <w:p>
            <w:pPr>
              <w:spacing w:after="0" w:line="216" w:lineRule="exact"/>
              <w:rPr>
                <w:sz w:val="20"/>
                <w:szCs w:val="20"/>
                <w:color w:val="auto"/>
              </w:rPr>
            </w:pPr>
            <w:r>
              <w:rPr>
                <w:rFonts w:ascii="Arial" w:cs="Arial" w:eastAsia="Arial" w:hAnsi="Arial"/>
                <w:sz w:val="22"/>
                <w:szCs w:val="22"/>
                <w:color w:val="auto"/>
              </w:rPr>
              <w:t>Cash, Cash Equivalents and</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400" w:type="dxa"/>
            <w:vAlign w:val="bottom"/>
            <w:gridSpan w:val="10"/>
          </w:tcPr>
          <w:p>
            <w:pPr>
              <w:ind w:left="160"/>
              <w:spacing w:after="0" w:line="243" w:lineRule="exact"/>
              <w:rPr>
                <w:sz w:val="20"/>
                <w:szCs w:val="20"/>
                <w:color w:val="auto"/>
              </w:rPr>
            </w:pPr>
            <w:r>
              <w:rPr>
                <w:rFonts w:ascii="Arial" w:cs="Arial" w:eastAsia="Arial" w:hAnsi="Arial"/>
                <w:sz w:val="22"/>
                <w:szCs w:val="22"/>
                <w:color w:val="auto"/>
              </w:rPr>
              <w:t>Short-Term U.S. Government Securities</w:t>
            </w:r>
          </w:p>
        </w:tc>
        <w:tc>
          <w:tcPr>
            <w:tcW w:w="1200" w:type="dxa"/>
            <w:vAlign w:val="bottom"/>
          </w:tcPr>
          <w:p>
            <w:pPr>
              <w:jc w:val="center"/>
              <w:ind w:right="432"/>
              <w:spacing w:after="0" w:line="243" w:lineRule="exact"/>
              <w:rPr>
                <w:sz w:val="20"/>
                <w:szCs w:val="20"/>
                <w:color w:val="auto"/>
              </w:rPr>
            </w:pPr>
            <w:r>
              <w:rPr>
                <w:rFonts w:ascii="Arial" w:cs="Arial" w:eastAsia="Arial" w:hAnsi="Arial"/>
                <w:sz w:val="22"/>
                <w:szCs w:val="22"/>
                <w:color w:val="auto"/>
                <w:w w:val="88"/>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94"/>
              </w:rPr>
              <w:t>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Long-Term U.S. Government Securities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94"/>
              </w:rPr>
              <w:t>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First Lien Bank Loans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75%</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Unitranche Loans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70%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Second Lien Bank Loans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65%</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Cash Pay High Yield Securities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60%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Cash Pay Mezzanine Investments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55%</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Non-Cash Pay High Yield Securities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50%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Non-Cash Pay Mezzanine Investments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45%</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Non-Performing First Lien Bank Loans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45%</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Non-Performing Unitranche Loans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40%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Non-Performing Second Lien Bank Loans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30%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Non-Performing High Yield Securities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30%</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Non-Performing Cash Pay Mezzanine Investments</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25%</w:t>
            </w: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Performing Common Equity (and zero cost or</w:t>
            </w:r>
          </w:p>
        </w:tc>
        <w:tc>
          <w:tcPr>
            <w:tcW w:w="1200" w:type="dxa"/>
            <w:vAlign w:val="bottom"/>
          </w:tcPr>
          <w:p>
            <w:pPr>
              <w:jc w:val="center"/>
              <w:ind w:right="412"/>
              <w:spacing w:after="0" w:line="243" w:lineRule="exact"/>
              <w:rPr>
                <w:sz w:val="20"/>
                <w:szCs w:val="20"/>
                <w:color w:val="auto"/>
              </w:rPr>
            </w:pPr>
            <w:r>
              <w:rPr>
                <w:rFonts w:ascii="Arial" w:cs="Arial" w:eastAsia="Arial" w:hAnsi="Arial"/>
                <w:sz w:val="22"/>
                <w:szCs w:val="22"/>
                <w:color w:val="auto"/>
                <w:w w:val="90"/>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20%</w:t>
            </w:r>
          </w:p>
        </w:tc>
      </w:tr>
      <w:tr>
        <w:trPr>
          <w:trHeight w:val="243"/>
        </w:trPr>
        <w:tc>
          <w:tcPr>
            <w:tcW w:w="20" w:type="dxa"/>
            <w:vAlign w:val="bottom"/>
          </w:tcPr>
          <w:p>
            <w:pPr>
              <w:spacing w:after="0"/>
              <w:rPr>
                <w:sz w:val="21"/>
                <w:szCs w:val="21"/>
                <w:color w:val="auto"/>
              </w:rPr>
            </w:pPr>
          </w:p>
        </w:tc>
        <w:tc>
          <w:tcPr>
            <w:tcW w:w="8400" w:type="dxa"/>
            <w:vAlign w:val="bottom"/>
            <w:gridSpan w:val="10"/>
          </w:tcPr>
          <w:p>
            <w:pPr>
              <w:ind w:left="160"/>
              <w:spacing w:after="0" w:line="243" w:lineRule="exact"/>
              <w:rPr>
                <w:sz w:val="20"/>
                <w:szCs w:val="20"/>
                <w:color w:val="auto"/>
              </w:rPr>
            </w:pPr>
            <w:r>
              <w:rPr>
                <w:rFonts w:ascii="Arial" w:cs="Arial" w:eastAsia="Arial" w:hAnsi="Arial"/>
                <w:sz w:val="22"/>
                <w:szCs w:val="22"/>
                <w:color w:val="auto"/>
              </w:rPr>
              <w:t>penny warrants with performing debt)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8420" w:type="dxa"/>
            <w:vAlign w:val="bottom"/>
            <w:gridSpan w:val="11"/>
          </w:tcPr>
          <w:p>
            <w:pPr>
              <w:spacing w:after="0" w:line="243" w:lineRule="exact"/>
              <w:rPr>
                <w:sz w:val="20"/>
                <w:szCs w:val="20"/>
                <w:color w:val="auto"/>
              </w:rPr>
            </w:pPr>
            <w:r>
              <w:rPr>
                <w:rFonts w:ascii="Arial" w:cs="Arial" w:eastAsia="Arial" w:hAnsi="Arial"/>
                <w:sz w:val="22"/>
                <w:szCs w:val="22"/>
                <w:color w:val="auto"/>
              </w:rPr>
              <w:t>Non-Performing Common Equity</w:t>
            </w:r>
          </w:p>
        </w:tc>
        <w:tc>
          <w:tcPr>
            <w:tcW w:w="1200" w:type="dxa"/>
            <w:vAlign w:val="bottom"/>
          </w:tcPr>
          <w:p>
            <w:pPr>
              <w:jc w:val="center"/>
              <w:ind w:right="432"/>
              <w:spacing w:after="0" w:line="243" w:lineRule="exact"/>
              <w:rPr>
                <w:sz w:val="20"/>
                <w:szCs w:val="20"/>
                <w:color w:val="auto"/>
              </w:rPr>
            </w:pPr>
            <w:r>
              <w:rPr>
                <w:rFonts w:ascii="Arial" w:cs="Arial" w:eastAsia="Arial" w:hAnsi="Arial"/>
                <w:sz w:val="22"/>
                <w:szCs w:val="22"/>
                <w:color w:val="auto"/>
                <w:w w:val="94"/>
              </w:rPr>
              <w:t>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94"/>
              </w:rPr>
              <w:t>0%</w:t>
            </w:r>
          </w:p>
        </w:tc>
      </w:tr>
      <w:tr>
        <w:trPr>
          <w:trHeight w:val="275"/>
        </w:trPr>
        <w:tc>
          <w:tcPr>
            <w:tcW w:w="8420" w:type="dxa"/>
            <w:vAlign w:val="bottom"/>
            <w:gridSpan w:val="11"/>
          </w:tcPr>
          <w:p>
            <w:pPr>
              <w:spacing w:after="0"/>
              <w:rPr>
                <w:sz w:val="20"/>
                <w:szCs w:val="20"/>
                <w:color w:val="auto"/>
              </w:rPr>
            </w:pPr>
            <w:r>
              <w:rPr>
                <w:rFonts w:ascii="Arial" w:cs="Arial" w:eastAsia="Arial" w:hAnsi="Arial"/>
                <w:sz w:val="22"/>
                <w:szCs w:val="22"/>
                <w:color w:val="auto"/>
              </w:rPr>
              <w:t>Structured Finance Obligations and Finance Leases</w:t>
            </w:r>
          </w:p>
        </w:tc>
        <w:tc>
          <w:tcPr>
            <w:tcW w:w="1200" w:type="dxa"/>
            <w:vAlign w:val="bottom"/>
          </w:tcPr>
          <w:p>
            <w:pPr>
              <w:jc w:val="center"/>
              <w:ind w:right="432"/>
              <w:spacing w:after="0"/>
              <w:rPr>
                <w:sz w:val="20"/>
                <w:szCs w:val="20"/>
                <w:color w:val="auto"/>
              </w:rPr>
            </w:pPr>
            <w:r>
              <w:rPr>
                <w:rFonts w:ascii="Arial" w:cs="Arial" w:eastAsia="Arial" w:hAnsi="Arial"/>
                <w:sz w:val="22"/>
                <w:szCs w:val="22"/>
                <w:color w:val="auto"/>
                <w:w w:val="94"/>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center"/>
              <w:ind w:right="92"/>
              <w:spacing w:after="0"/>
              <w:rPr>
                <w:sz w:val="20"/>
                <w:szCs w:val="20"/>
                <w:color w:val="auto"/>
              </w:rPr>
            </w:pPr>
            <w:r>
              <w:rPr>
                <w:rFonts w:ascii="Arial" w:cs="Arial" w:eastAsia="Arial" w:hAnsi="Arial"/>
                <w:sz w:val="22"/>
                <w:szCs w:val="22"/>
                <w:color w:val="auto"/>
                <w:w w:val="94"/>
              </w:rPr>
              <w:t>0%</w:t>
            </w:r>
          </w:p>
        </w:tc>
      </w:tr>
    </w:tbl>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Loans</w:t>
      </w:r>
      <w:r>
        <w:rPr>
          <w:rFonts w:ascii="Arial" w:cs="Arial" w:eastAsia="Arial" w:hAnsi="Arial"/>
          <w:sz w:val="22"/>
          <w:szCs w:val="22"/>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the Credit Agreement.</w:t>
      </w:r>
    </w:p>
    <w:p>
      <w:pPr>
        <w:spacing w:after="0" w:line="218"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Finance Lease</w:t>
      </w:r>
      <w:r>
        <w:rPr>
          <w:rFonts w:ascii="Arial" w:cs="Arial" w:eastAsia="Arial" w:hAnsi="Arial"/>
          <w:sz w:val="19"/>
          <w:szCs w:val="19"/>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1" w:name="page252"/>
    <w:bookmarkEnd w:id="251"/>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Bank Loan</w:t>
      </w:r>
      <w:r>
        <w:rPr>
          <w:rFonts w:ascii="Arial" w:cs="Arial" w:eastAsia="Arial" w:hAnsi="Arial"/>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Yield Securities</w:t>
      </w:r>
      <w:r>
        <w:rPr>
          <w:rFonts w:ascii="Arial" w:cs="Arial" w:eastAsia="Arial" w:hAnsi="Arial"/>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U.S. Government Securities</w:t>
      </w:r>
      <w:r>
        <w:rPr>
          <w:rFonts w:ascii="Arial" w:cs="Arial" w:eastAsia="Arial" w:hAnsi="Arial"/>
          <w:sz w:val="22"/>
          <w:szCs w:val="22"/>
          <w:color w:val="auto"/>
        </w:rPr>
        <w:t>” means U.S. Government Securities maturing more than one year from the applicable date of determination.</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Mezzanine Investments</w:t>
      </w:r>
      <w:r>
        <w:rPr>
          <w:rFonts w:ascii="Arial" w:cs="Arial" w:eastAsia="Arial" w:hAnsi="Arial"/>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Common Equity</w:t>
      </w:r>
      <w:r>
        <w:rPr>
          <w:rFonts w:ascii="Arial" w:cs="Arial" w:eastAsia="Arial" w:hAnsi="Arial"/>
          <w:sz w:val="22"/>
          <w:szCs w:val="22"/>
          <w:color w:val="auto"/>
        </w:rPr>
        <w:t>” means Capital Stock (other than Preferred Stock) and warrants of an issuer having any debt outstanding that is non-Performing.</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First Lien Bank Loans</w:t>
      </w:r>
      <w:r>
        <w:rPr>
          <w:rFonts w:ascii="Arial" w:cs="Arial" w:eastAsia="Arial" w:hAnsi="Arial"/>
          <w:sz w:val="19"/>
          <w:szCs w:val="19"/>
          <w:color w:val="auto"/>
        </w:rPr>
        <w:t>” means First Lien Bank Loans other than Performing First Lien Bank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High Yield Securities</w:t>
      </w:r>
      <w:r>
        <w:rPr>
          <w:rFonts w:ascii="Arial" w:cs="Arial" w:eastAsia="Arial" w:hAnsi="Arial"/>
          <w:sz w:val="21"/>
          <w:szCs w:val="21"/>
          <w:color w:val="auto"/>
        </w:rPr>
        <w:t>” means High Yield Securities other than Performing High Yield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Mezzanine Investments</w:t>
      </w:r>
      <w:r>
        <w:rPr>
          <w:rFonts w:ascii="Arial" w:cs="Arial" w:eastAsia="Arial" w:hAnsi="Arial"/>
          <w:sz w:val="19"/>
          <w:szCs w:val="19"/>
          <w:color w:val="auto"/>
        </w:rPr>
        <w:t>” means Mezzanine Investments other than Performing Mezzanine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Investments.</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Portfolio Investment</w:t>
      </w:r>
      <w:r>
        <w:rPr>
          <w:rFonts w:ascii="Arial" w:cs="Arial" w:eastAsia="Arial" w:hAnsi="Arial"/>
          <w:sz w:val="21"/>
          <w:szCs w:val="21"/>
          <w:color w:val="auto"/>
        </w:rPr>
        <w:t>” means Portfolio Investments for which the issuer is in default of any payment obligations of principal or interest in respect thereof after the expiration of any applicable grace period.</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Second Lien Bank Loans</w:t>
      </w:r>
      <w:r>
        <w:rPr>
          <w:rFonts w:ascii="Arial" w:cs="Arial" w:eastAsia="Arial" w:hAnsi="Arial"/>
          <w:sz w:val="19"/>
          <w:szCs w:val="19"/>
          <w:color w:val="auto"/>
        </w:rPr>
        <w:t>” means Second Lien Bank Loans other than Performing Second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Lien Bank Loans.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Unitranche Loans</w:t>
      </w:r>
      <w:r>
        <w:rPr>
          <w:rFonts w:ascii="Arial" w:cs="Arial" w:eastAsia="Arial" w:hAnsi="Arial"/>
          <w:sz w:val="21"/>
          <w:szCs w:val="21"/>
          <w:color w:val="auto"/>
        </w:rPr>
        <w:t>” means Unitranche Loans other than Performing Unitranche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2" w:name="page253"/>
    <w:bookmarkEnd w:id="252"/>
    <w:p>
      <w:pPr>
        <w:ind w:firstLine="175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Performing</w:t>
      </w:r>
      <w:r>
        <w:rPr>
          <w:rFonts w:ascii="Arial" w:cs="Arial" w:eastAsia="Arial" w:hAnsi="Arial"/>
          <w:sz w:val="19"/>
          <w:szCs w:val="19"/>
          <w:color w:val="auto"/>
        </w:rPr>
        <w:t>” means (a) with respect to any Portfolio Investment that is debt, the issuer of such Portfolio Investment is not in default of any payment obligations in respect thereof after the expiration of any applicable grace period and</w:t>
      </w:r>
    </w:p>
    <w:p>
      <w:pPr>
        <w:spacing w:after="0" w:line="2" w:lineRule="exact"/>
        <w:rPr>
          <w:sz w:val="20"/>
          <w:szCs w:val="20"/>
          <w:color w:val="auto"/>
        </w:rPr>
      </w:pPr>
    </w:p>
    <w:p>
      <w:pPr>
        <w:jc w:val="both"/>
        <w:ind w:firstLine="8"/>
        <w:spacing w:after="0" w:line="308" w:lineRule="auto"/>
        <w:tabs>
          <w:tab w:leader="none" w:pos="3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23"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High Yield Securities</w:t>
      </w:r>
      <w:r>
        <w:rPr>
          <w:rFonts w:ascii="Arial" w:cs="Arial" w:eastAsia="Arial" w:hAnsi="Arial"/>
          <w:sz w:val="21"/>
          <w:szCs w:val="21"/>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Mezzanine Investments</w:t>
      </w:r>
      <w:r>
        <w:rPr>
          <w:rFonts w:ascii="Arial" w:cs="Arial" w:eastAsia="Arial" w:hAnsi="Arial"/>
          <w:sz w:val="21"/>
          <w:szCs w:val="21"/>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7"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Common Equity</w:t>
      </w:r>
      <w:r>
        <w:rPr>
          <w:rFonts w:ascii="Arial" w:cs="Arial" w:eastAsia="Arial" w:hAnsi="Arial"/>
          <w:sz w:val="22"/>
          <w:szCs w:val="22"/>
          <w:color w:val="auto"/>
        </w:rPr>
        <w:t>” means Capital Stock (other than Preferred Stock) and warrants of an issuer all of whose outstanding debt is Performing.</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First Lien Bank Loans</w:t>
      </w:r>
      <w:r>
        <w:rPr>
          <w:rFonts w:ascii="Arial" w:cs="Arial" w:eastAsia="Arial" w:hAnsi="Arial"/>
          <w:sz w:val="22"/>
          <w:szCs w:val="22"/>
          <w:color w:val="auto"/>
        </w:rPr>
        <w:t>” means First Lien Bank Loans which are Performing.</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High Yield Securities</w:t>
      </w:r>
      <w:r>
        <w:rPr>
          <w:rFonts w:ascii="Arial" w:cs="Arial" w:eastAsia="Arial" w:hAnsi="Arial"/>
          <w:sz w:val="22"/>
          <w:szCs w:val="22"/>
          <w:color w:val="auto"/>
        </w:rPr>
        <w:t>” means Performing High Yield Securities other than Performing Cash Pay High Yield Securities.</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Mezzanine Investments</w:t>
      </w:r>
      <w:r>
        <w:rPr>
          <w:rFonts w:ascii="Arial" w:cs="Arial" w:eastAsia="Arial" w:hAnsi="Arial"/>
          <w:sz w:val="22"/>
          <w:szCs w:val="22"/>
          <w:color w:val="auto"/>
        </w:rPr>
        <w:t>” means Performing Mezzanine Investments other than Performing Cash Pay Mezzanine Investments.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Second Lien Bank Loans</w:t>
      </w:r>
      <w:r>
        <w:rPr>
          <w:rFonts w:ascii="Arial" w:cs="Arial" w:eastAsia="Arial" w:hAnsi="Arial"/>
          <w:sz w:val="22"/>
          <w:szCs w:val="22"/>
          <w:color w:val="auto"/>
        </w:rPr>
        <w:t>” means Second Lien Bank Loans which are Performing.</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Bank Loan</w:t>
      </w:r>
      <w:r>
        <w:rPr>
          <w:rFonts w:ascii="Arial" w:cs="Arial" w:eastAsia="Arial" w:hAnsi="Arial"/>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20"/>
        <w:spacing w:after="0"/>
        <w:tabs>
          <w:tab w:leader="none" w:pos="936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3" w:name="page254"/>
    <w:bookmarkEnd w:id="253"/>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w:t>
      </w:r>
      <w:r>
        <w:rPr>
          <w:rFonts w:ascii="Arial" w:cs="Arial" w:eastAsia="Arial" w:hAnsi="Arial"/>
          <w:sz w:val="19"/>
          <w:szCs w:val="19"/>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 as amended.</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Short-Term U.S. Government Securities</w:t>
      </w:r>
      <w:r>
        <w:rPr>
          <w:rFonts w:ascii="Arial" w:cs="Arial" w:eastAsia="Arial" w:hAnsi="Arial"/>
          <w:sz w:val="22"/>
          <w:szCs w:val="22"/>
          <w:color w:val="auto"/>
        </w:rPr>
        <w:t>” means U.S. Government Securities maturing within one year of the applicable date of determination.</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Structured Finance Obligation</w:t>
      </w:r>
      <w:r>
        <w:rPr>
          <w:rFonts w:ascii="Arial" w:cs="Arial" w:eastAsia="Arial" w:hAnsi="Arial"/>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Unitranche Loan</w:t>
      </w:r>
      <w:r>
        <w:rPr>
          <w:rFonts w:ascii="Arial" w:cs="Arial" w:eastAsia="Arial" w:hAnsi="Arial"/>
          <w:sz w:val="22"/>
          <w:szCs w:val="22"/>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means, with respect to any Portfolio Investment, the lower of:</w:t>
      </w:r>
    </w:p>
    <w:p>
      <w:pPr>
        <w:spacing w:after="0" w:line="206" w:lineRule="exact"/>
        <w:rPr>
          <w:sz w:val="20"/>
          <w:szCs w:val="20"/>
          <w:color w:val="auto"/>
        </w:rPr>
      </w:pPr>
    </w:p>
    <w:p>
      <w:pPr>
        <w:ind w:left="1960" w:hanging="264"/>
        <w:spacing w:after="0"/>
        <w:tabs>
          <w:tab w:leader="none" w:pos="19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most recent internal market value as determined pursuant to </w:t>
      </w:r>
      <w:r>
        <w:rPr>
          <w:rFonts w:ascii="Arial" w:cs="Arial" w:eastAsia="Arial" w:hAnsi="Arial"/>
          <w:sz w:val="22"/>
          <w:szCs w:val="22"/>
          <w:u w:val="single" w:color="auto"/>
          <w:color w:val="auto"/>
        </w:rPr>
        <w:t>Section 5.12(b)(ii)(C)</w:t>
      </w:r>
      <w:r>
        <w:rPr>
          <w:rFonts w:ascii="Arial" w:cs="Arial" w:eastAsia="Arial" w:hAnsi="Arial"/>
          <w:sz w:val="22"/>
          <w:szCs w:val="22"/>
          <w:color w:val="auto"/>
        </w:rPr>
        <w:t xml:space="preserve"> and</w:t>
      </w:r>
    </w:p>
    <w:p>
      <w:pPr>
        <w:spacing w:after="0" w:line="206" w:lineRule="exact"/>
        <w:rPr>
          <w:rFonts w:ascii="Arial" w:cs="Arial" w:eastAsia="Arial" w:hAnsi="Arial"/>
          <w:sz w:val="22"/>
          <w:szCs w:val="22"/>
          <w:color w:val="auto"/>
        </w:rPr>
      </w:pPr>
    </w:p>
    <w:p>
      <w:pPr>
        <w:ind w:left="2020" w:hanging="324"/>
        <w:spacing w:after="0"/>
        <w:tabs>
          <w:tab w:leader="none" w:pos="20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most recent external market value as determined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jc w:val="both"/>
        <w:ind w:right="20" w:firstLine="1755"/>
        <w:spacing w:after="0" w:line="297" w:lineRule="auto"/>
        <w:rPr>
          <w:sz w:val="20"/>
          <w:szCs w:val="20"/>
          <w:color w:val="auto"/>
        </w:rPr>
      </w:pPr>
      <w:r>
        <w:rPr>
          <w:rFonts w:ascii="Arial" w:cs="Arial" w:eastAsia="Arial" w:hAnsi="Arial"/>
          <w:sz w:val="19"/>
          <w:szCs w:val="19"/>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34" w:lineRule="exact"/>
        <w:rPr>
          <w:sz w:val="20"/>
          <w:szCs w:val="20"/>
          <w:color w:val="auto"/>
        </w:rPr>
      </w:pPr>
    </w:p>
    <w:p>
      <w:pPr>
        <w:jc w:val="both"/>
        <w:ind w:right="20" w:firstLine="1755"/>
        <w:spacing w:after="0" w:line="274"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Indebtedness</w:t>
      </w:r>
      <w:r>
        <w:rPr>
          <w:rFonts w:ascii="Arial" w:cs="Arial" w:eastAsia="Arial" w:hAnsi="Arial"/>
          <w:sz w:val="21"/>
          <w:szCs w:val="21"/>
          <w:color w:val="auto"/>
        </w:rPr>
        <w:t xml:space="preserve">. Subject to the last sentence of this </w:t>
      </w:r>
      <w:r>
        <w:rPr>
          <w:rFonts w:ascii="Arial" w:cs="Arial" w:eastAsia="Arial" w:hAnsi="Arial"/>
          <w:sz w:val="21"/>
          <w:szCs w:val="21"/>
          <w:u w:val="single" w:color="auto"/>
          <w:color w:val="auto"/>
        </w:rPr>
        <w:t>Section 6.01</w:t>
      </w:r>
      <w:r>
        <w:rPr>
          <w:rFonts w:ascii="Arial" w:cs="Arial" w:eastAsia="Arial" w:hAnsi="Arial"/>
          <w:sz w:val="21"/>
          <w:szCs w:val="21"/>
          <w:color w:val="auto"/>
        </w:rPr>
        <w:t>, the Borrower will not, nor will it permit any of the Subsidiary Guarantors to, create, incur, assume or permit to exist any Indebtedness, except:</w:t>
      </w:r>
    </w:p>
    <w:p>
      <w:pPr>
        <w:sectPr>
          <w:pgSz w:w="11900" w:h="16838" w:orient="portrait"/>
          <w:cols w:equalWidth="0" w:num="1">
            <w:col w:w="11420"/>
          </w:cols>
          <w:pgMar w:left="240" w:top="334" w:right="239" w:bottom="1440" w:gutter="0" w:footer="0" w:header="0"/>
        </w:sectPr>
      </w:pPr>
    </w:p>
    <w:p>
      <w:pPr>
        <w:spacing w:after="0" w:line="151"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Indebtedness created hereunder or under any other Loan Document;</w:t>
      </w:r>
    </w:p>
    <w:p>
      <w:pPr>
        <w:spacing w:after="0" w:line="200" w:lineRule="exact"/>
        <w:rPr>
          <w:sz w:val="20"/>
          <w:szCs w:val="20"/>
          <w:color w:val="auto"/>
        </w:rPr>
      </w:pPr>
    </w:p>
    <w:p>
      <w:pPr>
        <w:sectPr>
          <w:pgSz w:w="11900" w:h="16838" w:orient="portrait"/>
          <w:cols w:equalWidth="0" w:num="2">
            <w:col w:w="3220" w:space="720"/>
            <w:col w:w="7480"/>
          </w:cols>
          <w:pgMar w:left="240" w:top="334" w:right="239" w:bottom="1440" w:gutter="0" w:footer="0" w:header="0"/>
          <w:type w:val="continuous"/>
        </w:sectPr>
      </w:pPr>
    </w:p>
    <w:p>
      <w:pPr>
        <w:spacing w:after="0" w:line="41"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Secured Longer-Term Indebtedness and Unsecured Longer-Term Indebtedness so</w:t>
      </w:r>
    </w:p>
    <w:p>
      <w:pPr>
        <w:sectPr>
          <w:pgSz w:w="11900" w:h="16838" w:orient="portrait"/>
          <w:cols w:equalWidth="0" w:num="1">
            <w:col w:w="11420"/>
          </w:cols>
          <w:pgMar w:left="240" w:top="334" w:right="2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 xml:space="preserve">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22"/>
          <w:szCs w:val="22"/>
          <w:u w:val="single" w:color="auto"/>
          <w:color w:val="auto"/>
        </w:rPr>
        <w:t>Section 6.07(b)</w:t>
      </w:r>
      <w:r>
        <w:rPr>
          <w:rFonts w:ascii="Arial" w:cs="Arial" w:eastAsia="Arial" w:hAnsi="Arial"/>
          <w:sz w:val="22"/>
          <w:szCs w:val="22"/>
          <w:color w:val="auto"/>
        </w:rPr>
        <w:t>, and (iii) prior to and immediately after giving effect to the incurrence of any Secured Longer-Term Indebtedness, the Covered Debt Amount does not or would not exceed the Borrowing Base then in effect;</w:t>
      </w:r>
    </w:p>
    <w:p>
      <w:pPr>
        <w:sectPr>
          <w:pgSz w:w="11900" w:h="16838" w:orient="portrait"/>
          <w:cols w:equalWidth="0" w:num="1">
            <w:col w:w="11420"/>
          </w:cols>
          <w:pgMar w:left="240" w:top="334" w:right="239" w:bottom="1440" w:gutter="0" w:footer="0" w:header="0"/>
          <w:type w:val="continuous"/>
        </w:sectPr>
      </w:pPr>
    </w:p>
    <w:p>
      <w:pPr>
        <w:spacing w:after="0" w:line="188"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Other Permitted Indebtedness;</w:t>
      </w:r>
    </w:p>
    <w:p>
      <w:pPr>
        <w:spacing w:after="0" w:line="200" w:lineRule="exact"/>
        <w:rPr>
          <w:sz w:val="20"/>
          <w:szCs w:val="20"/>
          <w:color w:val="auto"/>
        </w:rPr>
      </w:pPr>
    </w:p>
    <w:p>
      <w:pPr>
        <w:sectPr>
          <w:pgSz w:w="11900" w:h="16838" w:orient="portrait"/>
          <w:cols w:equalWidth="0" w:num="2">
            <w:col w:w="3220" w:space="720"/>
            <w:col w:w="7480"/>
          </w:cols>
          <w:pgMar w:left="240" w:top="334" w:right="239" w:bottom="1440" w:gutter="0" w:footer="0" w:header="0"/>
          <w:type w:val="continuous"/>
        </w:sectPr>
      </w:pPr>
    </w:p>
    <w:p>
      <w:pPr>
        <w:spacing w:after="0" w:line="41" w:lineRule="exact"/>
        <w:rPr>
          <w:sz w:val="20"/>
          <w:szCs w:val="20"/>
          <w:color w:val="auto"/>
        </w:rPr>
      </w:pPr>
    </w:p>
    <w:p>
      <w:pPr>
        <w:jc w:val="center"/>
        <w:ind w:left="540"/>
        <w:spacing w:after="0"/>
        <w:rPr>
          <w:sz w:val="20"/>
          <w:szCs w:val="20"/>
          <w:color w:val="auto"/>
        </w:rPr>
      </w:pPr>
      <w:r>
        <w:rPr>
          <w:rFonts w:ascii="Arial" w:cs="Arial" w:eastAsia="Arial" w:hAnsi="Arial"/>
          <w:sz w:val="21"/>
          <w:szCs w:val="21"/>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Guarantees of Indebtedness otherwise permitted hereunder;</w:t>
      </w:r>
    </w:p>
    <w:p>
      <w:pPr>
        <w:spacing w:after="0" w:line="222" w:lineRule="exact"/>
        <w:rPr>
          <w:sz w:val="20"/>
          <w:szCs w:val="20"/>
          <w:color w:val="auto"/>
        </w:rPr>
      </w:pPr>
    </w:p>
    <w:p>
      <w:pPr>
        <w:sectPr>
          <w:pgSz w:w="11900" w:h="16838" w:orient="portrait"/>
          <w:cols w:equalWidth="0" w:num="2">
            <w:col w:w="3240" w:space="720"/>
            <w:col w:w="7460"/>
          </w:cols>
          <w:pgMar w:left="240" w:top="334" w:right="239" w:bottom="1440" w:gutter="0" w:footer="0" w:header="0"/>
          <w:type w:val="continuous"/>
        </w:sectPr>
      </w:pPr>
    </w:p>
    <w:p>
      <w:pPr>
        <w:spacing w:after="0" w:line="18"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Indebtedness of any Obligor owing to any other Obligor or, if such Indebtedness is</w:t>
      </w:r>
    </w:p>
    <w:p>
      <w:pPr>
        <w:spacing w:after="0" w:line="56" w:lineRule="exact"/>
        <w:rPr>
          <w:sz w:val="20"/>
          <w:szCs w:val="20"/>
          <w:color w:val="auto"/>
        </w:rPr>
      </w:pPr>
    </w:p>
    <w:p>
      <w:pPr>
        <w:sectPr>
          <w:pgSz w:w="11900" w:h="16838" w:orient="portrait"/>
          <w:cols w:equalWidth="0" w:num="2">
            <w:col w:w="3220" w:space="720"/>
            <w:col w:w="7480"/>
          </w:cols>
          <w:pgMar w:left="240" w:top="334" w:right="239" w:bottom="1440" w:gutter="0" w:footer="0" w:header="0"/>
          <w:type w:val="continuous"/>
        </w:sectPr>
      </w:pPr>
    </w:p>
    <w:p>
      <w:pPr>
        <w:jc w:val="both"/>
        <w:spacing w:after="0" w:line="230" w:lineRule="auto"/>
        <w:rPr>
          <w:sz w:val="20"/>
          <w:szCs w:val="20"/>
          <w:color w:val="auto"/>
        </w:rPr>
      </w:pPr>
      <w:r>
        <w:rPr>
          <w:rFonts w:ascii="Arial" w:cs="Arial" w:eastAsia="Arial" w:hAnsi="Arial"/>
          <w:sz w:val="22"/>
          <w:szCs w:val="22"/>
          <w:color w:val="auto"/>
        </w:rPr>
        <w:t>subject to subordination terms and conditions that are satisfactory to the Administrative Agent, any other Subsidiary of the Borrower;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980" w:type="dxa"/>
            <w:vAlign w:val="bottom"/>
          </w:tcPr>
          <w:p>
            <w:pPr>
              <w:ind w:left="1760"/>
              <w:spacing w:after="0"/>
              <w:rPr>
                <w:sz w:val="20"/>
                <w:szCs w:val="20"/>
                <w:color w:val="auto"/>
              </w:rPr>
            </w:pPr>
            <w:r>
              <w:rPr>
                <w:rFonts w:ascii="Arial" w:cs="Arial" w:eastAsia="Arial" w:hAnsi="Arial"/>
                <w:sz w:val="22"/>
                <w:szCs w:val="22"/>
                <w:color w:val="auto"/>
              </w:rPr>
              <w:t>(f)</w:t>
            </w:r>
          </w:p>
        </w:tc>
        <w:tc>
          <w:tcPr>
            <w:tcW w:w="8440" w:type="dxa"/>
            <w:vAlign w:val="bottom"/>
          </w:tcPr>
          <w:p>
            <w:pPr>
              <w:jc w:val="right"/>
              <w:ind w:right="3932"/>
              <w:spacing w:after="0"/>
              <w:rPr>
                <w:sz w:val="20"/>
                <w:szCs w:val="20"/>
                <w:color w:val="auto"/>
              </w:rPr>
            </w:pPr>
            <w:r>
              <w:rPr>
                <w:rFonts w:ascii="Arial" w:cs="Arial" w:eastAsia="Arial" w:hAnsi="Arial"/>
                <w:sz w:val="22"/>
                <w:szCs w:val="22"/>
                <w:color w:val="auto"/>
              </w:rPr>
              <w:t>Indebtedness of Financing Subsidiaries;</w:t>
            </w:r>
          </w:p>
        </w:tc>
      </w:tr>
      <w:tr>
        <w:trPr>
          <w:trHeight w:val="428"/>
        </w:trPr>
        <w:tc>
          <w:tcPr>
            <w:tcW w:w="2980" w:type="dxa"/>
            <w:vAlign w:val="bottom"/>
          </w:tcPr>
          <w:p>
            <w:pPr>
              <w:ind w:left="1760"/>
              <w:spacing w:after="0"/>
              <w:rPr>
                <w:sz w:val="20"/>
                <w:szCs w:val="20"/>
                <w:color w:val="auto"/>
              </w:rPr>
            </w:pPr>
            <w:r>
              <w:rPr>
                <w:rFonts w:ascii="Arial" w:cs="Arial" w:eastAsia="Arial" w:hAnsi="Arial"/>
                <w:sz w:val="22"/>
                <w:szCs w:val="22"/>
                <w:color w:val="auto"/>
              </w:rPr>
              <w:t>(g)</w:t>
            </w:r>
          </w:p>
        </w:tc>
        <w:tc>
          <w:tcPr>
            <w:tcW w:w="8440" w:type="dxa"/>
            <w:vAlign w:val="bottom"/>
          </w:tcPr>
          <w:p>
            <w:pPr>
              <w:jc w:val="right"/>
              <w:spacing w:after="0"/>
              <w:rPr>
                <w:sz w:val="20"/>
                <w:szCs w:val="20"/>
                <w:color w:val="auto"/>
              </w:rPr>
            </w:pPr>
            <w:r>
              <w:rPr>
                <w:rFonts w:ascii="Arial" w:cs="Arial" w:eastAsia="Arial" w:hAnsi="Arial"/>
                <w:sz w:val="22"/>
                <w:szCs w:val="22"/>
                <w:color w:val="auto"/>
              </w:rPr>
              <w:t>repurchase obligations arising in the ordinary course of business with respect to U.S.</w:t>
            </w:r>
          </w:p>
        </w:tc>
      </w:tr>
      <w:tr>
        <w:trPr>
          <w:trHeight w:val="275"/>
        </w:trPr>
        <w:tc>
          <w:tcPr>
            <w:tcW w:w="2980" w:type="dxa"/>
            <w:vAlign w:val="bottom"/>
          </w:tcPr>
          <w:p>
            <w:pPr>
              <w:spacing w:after="0"/>
              <w:rPr>
                <w:sz w:val="20"/>
                <w:szCs w:val="20"/>
                <w:color w:val="auto"/>
              </w:rPr>
            </w:pPr>
            <w:r>
              <w:rPr>
                <w:rFonts w:ascii="Arial" w:cs="Arial" w:eastAsia="Arial" w:hAnsi="Arial"/>
                <w:sz w:val="22"/>
                <w:szCs w:val="22"/>
                <w:color w:val="auto"/>
              </w:rPr>
              <w:t>Government Securities;</w:t>
            </w:r>
          </w:p>
        </w:tc>
        <w:tc>
          <w:tcPr>
            <w:tcW w:w="8440" w:type="dxa"/>
            <w:vAlign w:val="bottom"/>
          </w:tcPr>
          <w:p>
            <w:pPr>
              <w:spacing w:after="0"/>
              <w:rPr>
                <w:sz w:val="23"/>
                <w:szCs w:val="23"/>
                <w:color w:val="auto"/>
              </w:rPr>
            </w:pPr>
          </w:p>
        </w:tc>
      </w:tr>
      <w:tr>
        <w:trPr>
          <w:trHeight w:val="428"/>
        </w:trPr>
        <w:tc>
          <w:tcPr>
            <w:tcW w:w="2980" w:type="dxa"/>
            <w:vAlign w:val="bottom"/>
          </w:tcPr>
          <w:p>
            <w:pPr>
              <w:ind w:left="1760"/>
              <w:spacing w:after="0"/>
              <w:rPr>
                <w:sz w:val="20"/>
                <w:szCs w:val="20"/>
                <w:color w:val="auto"/>
              </w:rPr>
            </w:pPr>
            <w:r>
              <w:rPr>
                <w:rFonts w:ascii="Arial" w:cs="Arial" w:eastAsia="Arial" w:hAnsi="Arial"/>
                <w:sz w:val="22"/>
                <w:szCs w:val="22"/>
                <w:color w:val="auto"/>
              </w:rPr>
              <w:t>(h)</w:t>
            </w:r>
          </w:p>
        </w:tc>
        <w:tc>
          <w:tcPr>
            <w:tcW w:w="8440" w:type="dxa"/>
            <w:vAlign w:val="bottom"/>
          </w:tcPr>
          <w:p>
            <w:pPr>
              <w:jc w:val="right"/>
              <w:spacing w:after="0"/>
              <w:rPr>
                <w:sz w:val="20"/>
                <w:szCs w:val="20"/>
                <w:color w:val="auto"/>
              </w:rPr>
            </w:pPr>
            <w:r>
              <w:rPr>
                <w:rFonts w:ascii="Arial" w:cs="Arial" w:eastAsia="Arial" w:hAnsi="Arial"/>
                <w:sz w:val="22"/>
                <w:szCs w:val="22"/>
                <w:color w:val="auto"/>
              </w:rPr>
              <w:t>obligations payable to clearing agencies, brokers or dealers in connection with the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purchase or sale of securities in the ordinary course of business;</w:t>
            </w:r>
          </w:p>
        </w:tc>
      </w:tr>
      <w:tr>
        <w:trPr>
          <w:trHeight w:val="446"/>
        </w:trPr>
        <w:tc>
          <w:tcPr>
            <w:tcW w:w="2980" w:type="dxa"/>
            <w:vAlign w:val="bottom"/>
          </w:tcPr>
          <w:p>
            <w:pPr>
              <w:ind w:left="1760"/>
              <w:spacing w:after="0"/>
              <w:rPr>
                <w:sz w:val="20"/>
                <w:szCs w:val="20"/>
                <w:color w:val="auto"/>
              </w:rPr>
            </w:pPr>
            <w:r>
              <w:rPr>
                <w:rFonts w:ascii="Arial" w:cs="Arial" w:eastAsia="Arial" w:hAnsi="Arial"/>
                <w:sz w:val="22"/>
                <w:szCs w:val="22"/>
                <w:color w:val="auto"/>
              </w:rPr>
              <w:t>(i)</w:t>
            </w:r>
          </w:p>
        </w:tc>
        <w:tc>
          <w:tcPr>
            <w:tcW w:w="8440" w:type="dxa"/>
            <w:vAlign w:val="bottom"/>
          </w:tcPr>
          <w:p>
            <w:pPr>
              <w:jc w:val="right"/>
              <w:spacing w:after="0"/>
              <w:rPr>
                <w:sz w:val="20"/>
                <w:szCs w:val="20"/>
                <w:color w:val="auto"/>
              </w:rPr>
            </w:pPr>
            <w:r>
              <w:rPr>
                <w:rFonts w:ascii="Arial" w:cs="Arial" w:eastAsia="Arial" w:hAnsi="Arial"/>
                <w:sz w:val="22"/>
                <w:szCs w:val="22"/>
                <w:color w:val="auto"/>
              </w:rPr>
              <w:t>Secured Shorter-Term Indebtedness so long as (i) no Default exists at the time of the</w:t>
            </w:r>
          </w:p>
        </w:tc>
      </w:tr>
    </w:tbl>
    <w:p>
      <w:pPr>
        <w:jc w:val="both"/>
        <w:spacing w:after="0" w:line="277" w:lineRule="auto"/>
        <w:rPr>
          <w:sz w:val="20"/>
          <w:szCs w:val="20"/>
          <w:color w:val="auto"/>
        </w:rPr>
      </w:pPr>
      <w:r>
        <w:rPr>
          <w:rFonts w:ascii="Arial" w:cs="Arial" w:eastAsia="Arial" w:hAnsi="Arial"/>
          <w:sz w:val="19"/>
          <w:szCs w:val="19"/>
          <w:color w:val="auto"/>
        </w:rPr>
        <w:t xml:space="preserve">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9"/>
          <w:szCs w:val="19"/>
          <w:u w:val="single" w:color="auto"/>
          <w:color w:val="auto"/>
        </w:rPr>
        <w:t>Section 6.07(b)</w:t>
      </w:r>
      <w:r>
        <w:rPr>
          <w:rFonts w:ascii="Arial" w:cs="Arial" w:eastAsia="Arial" w:hAnsi="Arial"/>
          <w:sz w:val="19"/>
          <w:szCs w:val="19"/>
          <w:color w:val="auto"/>
        </w:rPr>
        <w:t>, and (iv) prior to and immediately after giving effect to the incurrence of any such Indebtedness, the Covered Debt Amount does not or would not exceed the Borrowing Base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60"/>
        <w:spacing w:after="0"/>
        <w:tabs>
          <w:tab w:leader="none" w:pos="936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55" w:name="page256"/>
    <w:bookmarkEnd w:id="255"/>
    <w:tbl>
      <w:tblPr>
        <w:tblLayout w:type="fixed"/>
        <w:tblInd w:w="0" w:type="dxa"/>
        <w:tblCellMar>
          <w:top w:w="0" w:type="dxa"/>
          <w:left w:w="0" w:type="dxa"/>
          <w:bottom w:w="0" w:type="dxa"/>
          <w:right w:w="0" w:type="dxa"/>
        </w:tblCellMar>
      </w:tblPr>
      <w:tr>
        <w:trPr>
          <w:trHeight w:val="275"/>
        </w:trPr>
        <w:tc>
          <w:tcPr>
            <w:tcW w:w="3060" w:type="dxa"/>
            <w:vAlign w:val="bottom"/>
          </w:tcPr>
          <w:p>
            <w:pPr>
              <w:ind w:left="1760"/>
              <w:spacing w:after="0"/>
              <w:rPr>
                <w:sz w:val="20"/>
                <w:szCs w:val="20"/>
                <w:color w:val="auto"/>
              </w:rPr>
            </w:pPr>
            <w:r>
              <w:rPr>
                <w:rFonts w:ascii="Arial" w:cs="Arial" w:eastAsia="Arial" w:hAnsi="Arial"/>
                <w:sz w:val="22"/>
                <w:szCs w:val="22"/>
                <w:color w:val="auto"/>
              </w:rPr>
              <w:t>(j)</w:t>
            </w:r>
          </w:p>
        </w:tc>
        <w:tc>
          <w:tcPr>
            <w:tcW w:w="8360" w:type="dxa"/>
            <w:vAlign w:val="bottom"/>
          </w:tcPr>
          <w:p>
            <w:pPr>
              <w:ind w:left="860"/>
              <w:spacing w:after="0"/>
              <w:rPr>
                <w:sz w:val="20"/>
                <w:szCs w:val="20"/>
                <w:color w:val="auto"/>
              </w:rPr>
            </w:pPr>
            <w:r>
              <w:rPr>
                <w:rFonts w:ascii="Arial" w:cs="Arial" w:eastAsia="Arial" w:hAnsi="Arial"/>
                <w:sz w:val="22"/>
                <w:szCs w:val="22"/>
                <w:color w:val="auto"/>
                <w:w w:val="89"/>
              </w:rPr>
              <w:t>obligations (including Guarantees) in respect of Standard Securitization Undertakings;</w:t>
            </w:r>
          </w:p>
        </w:tc>
      </w:tr>
      <w:tr>
        <w:trPr>
          <w:trHeight w:val="459"/>
        </w:trPr>
        <w:tc>
          <w:tcPr>
            <w:tcW w:w="3060" w:type="dxa"/>
            <w:vAlign w:val="bottom"/>
          </w:tcPr>
          <w:p>
            <w:pPr>
              <w:ind w:left="1760"/>
              <w:spacing w:after="0"/>
              <w:rPr>
                <w:sz w:val="20"/>
                <w:szCs w:val="20"/>
                <w:color w:val="auto"/>
              </w:rPr>
            </w:pPr>
            <w:r>
              <w:rPr>
                <w:rFonts w:ascii="Arial" w:cs="Arial" w:eastAsia="Arial" w:hAnsi="Arial"/>
                <w:sz w:val="22"/>
                <w:szCs w:val="22"/>
                <w:color w:val="auto"/>
              </w:rPr>
              <w:t>(k)</w:t>
            </w:r>
          </w:p>
        </w:tc>
        <w:tc>
          <w:tcPr>
            <w:tcW w:w="8360" w:type="dxa"/>
            <w:vAlign w:val="bottom"/>
          </w:tcPr>
          <w:p>
            <w:pPr>
              <w:ind w:left="900"/>
              <w:spacing w:after="0"/>
              <w:rPr>
                <w:sz w:val="20"/>
                <w:szCs w:val="20"/>
                <w:color w:val="auto"/>
              </w:rPr>
            </w:pPr>
            <w:r>
              <w:rPr>
                <w:rFonts w:ascii="Arial" w:cs="Arial" w:eastAsia="Arial" w:hAnsi="Arial"/>
                <w:sz w:val="22"/>
                <w:szCs w:val="22"/>
                <w:color w:val="auto"/>
              </w:rPr>
              <w:t>Permitted SBIC Guarantees;</w:t>
            </w:r>
          </w:p>
        </w:tc>
      </w:tr>
      <w:tr>
        <w:trPr>
          <w:trHeight w:val="428"/>
        </w:trPr>
        <w:tc>
          <w:tcPr>
            <w:tcW w:w="3060" w:type="dxa"/>
            <w:vAlign w:val="bottom"/>
          </w:tcPr>
          <w:p>
            <w:pPr>
              <w:ind w:left="1760"/>
              <w:spacing w:after="0"/>
              <w:rPr>
                <w:sz w:val="20"/>
                <w:szCs w:val="20"/>
                <w:color w:val="auto"/>
              </w:rPr>
            </w:pPr>
            <w:r>
              <w:rPr>
                <w:rFonts w:ascii="Arial" w:cs="Arial" w:eastAsia="Arial" w:hAnsi="Arial"/>
                <w:sz w:val="22"/>
                <w:szCs w:val="22"/>
                <w:color w:val="auto"/>
              </w:rPr>
              <w:t>(l)</w:t>
            </w:r>
          </w:p>
        </w:tc>
        <w:tc>
          <w:tcPr>
            <w:tcW w:w="8360" w:type="dxa"/>
            <w:vAlign w:val="bottom"/>
          </w:tcPr>
          <w:p>
            <w:pPr>
              <w:ind w:left="860"/>
              <w:spacing w:after="0"/>
              <w:rPr>
                <w:sz w:val="20"/>
                <w:szCs w:val="20"/>
                <w:color w:val="auto"/>
              </w:rPr>
            </w:pPr>
            <w:r>
              <w:rPr>
                <w:rFonts w:ascii="Arial" w:cs="Arial" w:eastAsia="Arial" w:hAnsi="Arial"/>
                <w:sz w:val="22"/>
                <w:szCs w:val="22"/>
                <w:color w:val="auto"/>
                <w:w w:val="91"/>
              </w:rPr>
              <w:t>Indebtedness incurred pursuant to the 2019 Convertible Notes, the 2022 Convertible</w:t>
            </w:r>
          </w:p>
        </w:tc>
      </w:tr>
      <w:tr>
        <w:trPr>
          <w:trHeight w:val="275"/>
        </w:trPr>
        <w:tc>
          <w:tcPr>
            <w:tcW w:w="3060" w:type="dxa"/>
            <w:vAlign w:val="bottom"/>
          </w:tcPr>
          <w:p>
            <w:pPr>
              <w:spacing w:after="0"/>
              <w:rPr>
                <w:sz w:val="20"/>
                <w:szCs w:val="20"/>
                <w:color w:val="auto"/>
              </w:rPr>
            </w:pPr>
            <w:r>
              <w:rPr>
                <w:rFonts w:ascii="Arial" w:cs="Arial" w:eastAsia="Arial" w:hAnsi="Arial"/>
                <w:sz w:val="22"/>
                <w:szCs w:val="22"/>
                <w:color w:val="auto"/>
              </w:rPr>
              <w:t>Notes, or the 2023 Notes;</w:t>
            </w:r>
          </w:p>
        </w:tc>
        <w:tc>
          <w:tcPr>
            <w:tcW w:w="8360" w:type="dxa"/>
            <w:vAlign w:val="bottom"/>
          </w:tcPr>
          <w:p>
            <w:pPr>
              <w:spacing w:after="0"/>
              <w:rPr>
                <w:sz w:val="23"/>
                <w:szCs w:val="23"/>
                <w:color w:val="auto"/>
              </w:rPr>
            </w:pPr>
          </w:p>
        </w:tc>
      </w:tr>
      <w:tr>
        <w:trPr>
          <w:trHeight w:val="446"/>
        </w:trPr>
        <w:tc>
          <w:tcPr>
            <w:tcW w:w="3060" w:type="dxa"/>
            <w:vAlign w:val="bottom"/>
          </w:tcPr>
          <w:p>
            <w:pPr>
              <w:ind w:left="1760"/>
              <w:spacing w:after="0"/>
              <w:rPr>
                <w:sz w:val="20"/>
                <w:szCs w:val="20"/>
                <w:color w:val="auto"/>
              </w:rPr>
            </w:pPr>
            <w:r>
              <w:rPr>
                <w:rFonts w:ascii="Arial" w:cs="Arial" w:eastAsia="Arial" w:hAnsi="Arial"/>
                <w:sz w:val="22"/>
                <w:szCs w:val="22"/>
                <w:color w:val="auto"/>
              </w:rPr>
              <w:t>(m)</w:t>
            </w:r>
          </w:p>
        </w:tc>
        <w:tc>
          <w:tcPr>
            <w:tcW w:w="8360" w:type="dxa"/>
            <w:vAlign w:val="bottom"/>
          </w:tcPr>
          <w:p>
            <w:pPr>
              <w:ind w:left="960"/>
              <w:spacing w:after="0"/>
              <w:rPr>
                <w:sz w:val="20"/>
                <w:szCs w:val="20"/>
                <w:color w:val="auto"/>
              </w:rPr>
            </w:pPr>
            <w:r>
              <w:rPr>
                <w:rFonts w:ascii="Arial" w:cs="Arial" w:eastAsia="Arial" w:hAnsi="Arial"/>
                <w:sz w:val="22"/>
                <w:szCs w:val="22"/>
                <w:color w:val="auto"/>
                <w:w w:val="89"/>
              </w:rPr>
              <w:t>Unsecured Shorter-Term Indebtedness (other than Special Unsecured Indebtedness</w:t>
            </w:r>
          </w:p>
        </w:tc>
      </w:tr>
    </w:tbl>
    <w:p>
      <w:pPr>
        <w:jc w:val="both"/>
        <w:spacing w:after="0" w:line="243" w:lineRule="auto"/>
        <w:rPr>
          <w:sz w:val="20"/>
          <w:szCs w:val="20"/>
          <w:color w:val="auto"/>
        </w:rPr>
      </w:pPr>
      <w:r>
        <w:rPr>
          <w:rFonts w:ascii="Arial" w:cs="Arial" w:eastAsia="Arial" w:hAnsi="Arial"/>
          <w:sz w:val="21"/>
          <w:szCs w:val="21"/>
          <w:color w:val="auto"/>
        </w:rPr>
        <w:t xml:space="preserve">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Arial" w:cs="Arial" w:eastAsia="Arial" w:hAnsi="Arial"/>
          <w:sz w:val="21"/>
          <w:szCs w:val="21"/>
          <w:u w:val="single" w:color="auto"/>
          <w:color w:val="auto"/>
        </w:rPr>
        <w:t>Section 6.01(n)</w:t>
      </w:r>
      <w:r>
        <w:rPr>
          <w:rFonts w:ascii="Arial" w:cs="Arial" w:eastAsia="Arial" w:hAnsi="Arial"/>
          <w:sz w:val="21"/>
          <w:szCs w:val="21"/>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21"/>
          <w:szCs w:val="21"/>
          <w:u w:val="single" w:color="auto"/>
          <w:color w:val="auto"/>
        </w:rPr>
        <w:t>Section 6.07(b)</w:t>
      </w:r>
      <w:r>
        <w:rPr>
          <w:rFonts w:ascii="Arial" w:cs="Arial" w:eastAsia="Arial" w:hAnsi="Arial"/>
          <w:sz w:val="21"/>
          <w:szCs w:val="21"/>
          <w:color w:val="auto"/>
        </w:rPr>
        <w:t>, and (v) prior to and immediately after giving effect to the incurrence of any such Indebtedness, the Covered Debt Amount does not or would not exceed the Borrowing Base then in effect;</w:t>
      </w:r>
    </w:p>
    <w:p>
      <w:pPr>
        <w:spacing w:after="0" w:line="18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(n) Special Unsecured Indebtedness so long as (i) no Default exists at the time of the incurrence thereof, (ii) 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w:t>
      </w:r>
      <w:r>
        <w:rPr>
          <w:rFonts w:ascii="Arial" w:cs="Arial" w:eastAsia="Arial" w:hAnsi="Arial"/>
          <w:sz w:val="21"/>
          <w:szCs w:val="21"/>
          <w:u w:val="single" w:color="auto"/>
          <w:color w:val="auto"/>
        </w:rPr>
        <w:t>Section 6.01(m)</w:t>
      </w:r>
      <w:r>
        <w:rPr>
          <w:rFonts w:ascii="Arial" w:cs="Arial" w:eastAsia="Arial" w:hAnsi="Arial"/>
          <w:sz w:val="21"/>
          <w:szCs w:val="21"/>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21"/>
          <w:szCs w:val="21"/>
          <w:u w:val="single" w:color="auto"/>
          <w:color w:val="auto"/>
        </w:rPr>
        <w:t>Section 6.07(b)</w:t>
      </w:r>
      <w:r>
        <w:rPr>
          <w:rFonts w:ascii="Arial" w:cs="Arial" w:eastAsia="Arial" w:hAnsi="Arial"/>
          <w:sz w:val="21"/>
          <w:szCs w:val="21"/>
          <w:color w:val="auto"/>
        </w:rPr>
        <w:t>, and (v) prior to and immediately after giving effect to the incurrence of any such Indebtedness, the Covered Debt Amount does not or would not exceed the Borrowing Base then in effect; and</w:t>
      </w:r>
    </w:p>
    <w:p>
      <w:pPr>
        <w:spacing w:after="0" w:line="181"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(o) other Indebtedness not to exceed the greater of (i) $25,000,000 and (ii) 5% of Shareholders’ Equity at any time outstanding.</w:t>
      </w:r>
    </w:p>
    <w:p>
      <w:pPr>
        <w:spacing w:after="0" w:line="17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8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(a) any Lien on any property or asset of the Borrower existing on the Original Effective Date and set forth in </w:t>
      </w:r>
      <w:r>
        <w:rPr>
          <w:rFonts w:ascii="Arial" w:cs="Arial" w:eastAsia="Arial" w:hAnsi="Arial"/>
          <w:sz w:val="22"/>
          <w:szCs w:val="22"/>
          <w:u w:val="single" w:color="auto"/>
          <w:color w:val="auto"/>
        </w:rPr>
        <w:t>Part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6" w:name="page257"/>
    <w:bookmarkEnd w:id="256"/>
    <w:p>
      <w:pPr>
        <w:jc w:val="both"/>
        <w:ind w:firstLine="1755"/>
        <w:spacing w:after="0"/>
        <w:rPr>
          <w:sz w:val="20"/>
          <w:szCs w:val="20"/>
          <w:color w:val="auto"/>
        </w:rPr>
      </w:pPr>
      <w:r>
        <w:rPr>
          <w:rFonts w:ascii="Arial" w:cs="Arial" w:eastAsia="Arial" w:hAnsi="Arial"/>
          <w:sz w:val="22"/>
          <w:szCs w:val="22"/>
          <w:color w:val="auto"/>
        </w:rPr>
        <w:t xml:space="preserve">(b) Liens created pursuant to this Agreement (including </w:t>
      </w:r>
      <w:r>
        <w:rPr>
          <w:rFonts w:ascii="Arial" w:cs="Arial" w:eastAsia="Arial" w:hAnsi="Arial"/>
          <w:sz w:val="22"/>
          <w:szCs w:val="22"/>
          <w:u w:val="single" w:color="auto"/>
          <w:color w:val="auto"/>
        </w:rPr>
        <w:t>Section 2.19</w:t>
      </w:r>
      <w:r>
        <w:rPr>
          <w:rFonts w:ascii="Arial" w:cs="Arial" w:eastAsia="Arial" w:hAnsi="Arial"/>
          <w:sz w:val="22"/>
          <w:szCs w:val="22"/>
          <w:color w:val="auto"/>
        </w:rPr>
        <w:t>) or any of the Security Documents (including Liens in favor of the Designated Indebtedness Holders (as defined in the Guarantee and Security Agreement));</w:t>
      </w:r>
    </w:p>
    <w:p>
      <w:pPr>
        <w:sectPr>
          <w:pgSz w:w="11900" w:h="16838" w:orient="portrait"/>
          <w:cols w:equalWidth="0" w:num="1">
            <w:col w:w="11420"/>
          </w:cols>
          <w:pgMar w:left="240" w:top="334" w:right="239" w:bottom="1440" w:gutter="0" w:footer="0" w:header="0"/>
        </w:sectPr>
      </w:pPr>
    </w:p>
    <w:p>
      <w:pPr>
        <w:spacing w:after="0" w:line="186"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Liens on the assets of a Financing Subsidiary securing obligations of such Financing</w:t>
      </w:r>
    </w:p>
    <w:p>
      <w:pPr>
        <w:spacing w:after="0" w:line="46" w:lineRule="exact"/>
        <w:rPr>
          <w:sz w:val="20"/>
          <w:szCs w:val="20"/>
          <w:color w:val="auto"/>
        </w:rPr>
      </w:pPr>
    </w:p>
    <w:p>
      <w:pPr>
        <w:sectPr>
          <w:pgSz w:w="11900" w:h="16838" w:orient="portrait"/>
          <w:cols w:equalWidth="0" w:num="2">
            <w:col w:w="3220" w:space="720"/>
            <w:col w:w="7480"/>
          </w:cols>
          <w:pgMar w:left="24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Subsidiary;</w:t>
      </w:r>
    </w:p>
    <w:p>
      <w:pPr>
        <w:spacing w:after="0" w:line="18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Liens on Special Equity Interests included in the Portfolio Investments of the</w:t>
      </w:r>
    </w:p>
    <w:p>
      <w:pPr>
        <w:sectPr>
          <w:pgSz w:w="11900" w:h="16838" w:orient="portrait"/>
          <w:cols w:equalWidth="0" w:num="1">
            <w:col w:w="11420"/>
          </w:cols>
          <w:pgMar w:left="240" w:top="334" w:right="239" w:bottom="1440" w:gutter="0" w:footer="0" w:header="0"/>
          <w:type w:val="continuous"/>
        </w:sectPr>
      </w:pPr>
    </w:p>
    <w:p>
      <w:pPr>
        <w:spacing w:after="0" w:line="2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Borrower but only to the extent securing obligations in the manner provided in the definition of “</w:t>
      </w:r>
      <w:r>
        <w:rPr>
          <w:rFonts w:ascii="Arial" w:cs="Arial" w:eastAsia="Arial" w:hAnsi="Arial"/>
          <w:sz w:val="22"/>
          <w:szCs w:val="22"/>
          <w:u w:val="single" w:color="auto"/>
          <w:color w:val="auto"/>
        </w:rPr>
        <w:t>Special Equity Interests</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86"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 xml:space="preserve">(e) Liens securing Indebtedness or other obligations in an aggregate principal amount not exceeding the greater of (i) $25,000,000 and (ii) 5% of Shareholders’ Equity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w:t>
      </w:r>
      <w:r>
        <w:rPr>
          <w:rFonts w:ascii="Arial" w:cs="Arial" w:eastAsia="Arial" w:hAnsi="Arial"/>
          <w:sz w:val="21"/>
          <w:szCs w:val="21"/>
          <w:u w:val="single" w:color="auto"/>
          <w:color w:val="auto"/>
        </w:rPr>
        <w:t>(m)</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(n)</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does not exceed the lesser of (i) the Borrowing Base and (ii) the amount required to comply with the provisions of </w:t>
      </w:r>
      <w:r>
        <w:rPr>
          <w:rFonts w:ascii="Arial" w:cs="Arial" w:eastAsia="Arial" w:hAnsi="Arial"/>
          <w:sz w:val="21"/>
          <w:szCs w:val="21"/>
          <w:u w:val="single" w:color="auto"/>
          <w:color w:val="auto"/>
        </w:rPr>
        <w:t>Section 6.07(b)</w:t>
      </w:r>
      <w:r>
        <w:rPr>
          <w:rFonts w:ascii="Arial" w:cs="Arial" w:eastAsia="Arial" w:hAnsi="Arial"/>
          <w:sz w:val="21"/>
          <w:szCs w:val="21"/>
          <w:color w:val="auto"/>
        </w:rPr>
        <w:t>;</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(f)</w:t>
            </w:r>
          </w:p>
        </w:tc>
        <w:tc>
          <w:tcPr>
            <w:tcW w:w="8460" w:type="dxa"/>
            <w:vAlign w:val="bottom"/>
            <w:gridSpan w:val="3"/>
          </w:tcPr>
          <w:p>
            <w:pPr>
              <w:ind w:left="960"/>
              <w:spacing w:after="0"/>
              <w:rPr>
                <w:sz w:val="20"/>
                <w:szCs w:val="20"/>
                <w:color w:val="auto"/>
              </w:rPr>
            </w:pPr>
            <w:r>
              <w:rPr>
                <w:rFonts w:ascii="Arial" w:cs="Arial" w:eastAsia="Arial" w:hAnsi="Arial"/>
                <w:sz w:val="22"/>
                <w:szCs w:val="22"/>
                <w:color w:val="auto"/>
              </w:rPr>
              <w:t>Permitted Liens;</w:t>
            </w:r>
          </w:p>
        </w:tc>
      </w:tr>
      <w:tr>
        <w:trPr>
          <w:trHeight w:val="459"/>
        </w:trPr>
        <w:tc>
          <w:tcPr>
            <w:tcW w:w="1200" w:type="dxa"/>
            <w:vAlign w:val="bottom"/>
          </w:tcPr>
          <w:p>
            <w:pPr>
              <w:spacing w:after="0"/>
              <w:rPr>
                <w:sz w:val="20"/>
                <w:szCs w:val="20"/>
                <w:color w:val="auto"/>
              </w:rPr>
            </w:pPr>
            <w:r>
              <w:rPr>
                <w:rFonts w:ascii="Arial" w:cs="Arial" w:eastAsia="Arial" w:hAnsi="Arial"/>
                <w:sz w:val="22"/>
                <w:szCs w:val="22"/>
                <w:color w:val="auto"/>
              </w:rPr>
              <w:t>(g)</w:t>
            </w:r>
          </w:p>
        </w:tc>
        <w:tc>
          <w:tcPr>
            <w:tcW w:w="8460" w:type="dxa"/>
            <w:vAlign w:val="bottom"/>
            <w:gridSpan w:val="3"/>
          </w:tcPr>
          <w:p>
            <w:pPr>
              <w:ind w:left="1000"/>
              <w:spacing w:after="0"/>
              <w:rPr>
                <w:sz w:val="20"/>
                <w:szCs w:val="20"/>
                <w:color w:val="auto"/>
              </w:rPr>
            </w:pPr>
            <w:r>
              <w:rPr>
                <w:rFonts w:ascii="Arial" w:cs="Arial" w:eastAsia="Arial" w:hAnsi="Arial"/>
                <w:sz w:val="22"/>
                <w:szCs w:val="22"/>
                <w:color w:val="auto"/>
                <w:w w:val="99"/>
              </w:rPr>
              <w:t>Liens on Equity Interests in any SBIC Subsidiary created in favor of the SBA;</w:t>
            </w:r>
          </w:p>
        </w:tc>
      </w:tr>
      <w:tr>
        <w:trPr>
          <w:trHeight w:val="459"/>
        </w:trPr>
        <w:tc>
          <w:tcPr>
            <w:tcW w:w="1200" w:type="dxa"/>
            <w:vAlign w:val="bottom"/>
          </w:tcPr>
          <w:p>
            <w:pPr>
              <w:spacing w:after="0"/>
              <w:rPr>
                <w:sz w:val="20"/>
                <w:szCs w:val="20"/>
                <w:color w:val="auto"/>
              </w:rPr>
            </w:pPr>
            <w:r>
              <w:rPr>
                <w:rFonts w:ascii="Arial" w:cs="Arial" w:eastAsia="Arial" w:hAnsi="Arial"/>
                <w:sz w:val="22"/>
                <w:szCs w:val="22"/>
                <w:color w:val="auto"/>
              </w:rPr>
              <w:t>(h)</w:t>
            </w:r>
          </w:p>
        </w:tc>
        <w:tc>
          <w:tcPr>
            <w:tcW w:w="8460" w:type="dxa"/>
            <w:vAlign w:val="bottom"/>
            <w:gridSpan w:val="3"/>
          </w:tcPr>
          <w:p>
            <w:pPr>
              <w:ind w:left="1000"/>
              <w:spacing w:after="0"/>
              <w:rPr>
                <w:sz w:val="20"/>
                <w:szCs w:val="20"/>
                <w:color w:val="auto"/>
              </w:rPr>
            </w:pPr>
            <w:r>
              <w:rPr>
                <w:rFonts w:ascii="Arial" w:cs="Arial" w:eastAsia="Arial" w:hAnsi="Arial"/>
                <w:sz w:val="22"/>
                <w:szCs w:val="22"/>
                <w:color w:val="auto"/>
              </w:rPr>
              <w:t>[Reserved];</w:t>
            </w:r>
          </w:p>
        </w:tc>
      </w:tr>
      <w:tr>
        <w:trPr>
          <w:trHeight w:val="409"/>
        </w:trPr>
        <w:tc>
          <w:tcPr>
            <w:tcW w:w="1200" w:type="dxa"/>
            <w:vAlign w:val="bottom"/>
          </w:tcPr>
          <w:p>
            <w:pPr>
              <w:spacing w:after="0"/>
              <w:rPr>
                <w:sz w:val="20"/>
                <w:szCs w:val="20"/>
                <w:color w:val="auto"/>
              </w:rPr>
            </w:pPr>
            <w:r>
              <w:rPr>
                <w:rFonts w:ascii="Arial" w:cs="Arial" w:eastAsia="Arial" w:hAnsi="Arial"/>
                <w:sz w:val="22"/>
                <w:szCs w:val="22"/>
                <w:color w:val="auto"/>
              </w:rPr>
              <w:t>(i)</w:t>
            </w:r>
          </w:p>
        </w:tc>
        <w:tc>
          <w:tcPr>
            <w:tcW w:w="8460" w:type="dxa"/>
            <w:vAlign w:val="bottom"/>
            <w:gridSpan w:val="3"/>
          </w:tcPr>
          <w:p>
            <w:pPr>
              <w:ind w:left="960"/>
              <w:spacing w:after="0"/>
              <w:rPr>
                <w:sz w:val="20"/>
                <w:szCs w:val="20"/>
                <w:color w:val="auto"/>
              </w:rPr>
            </w:pPr>
            <w:r>
              <w:rPr>
                <w:rFonts w:ascii="Arial" w:cs="Arial" w:eastAsia="Arial" w:hAnsi="Arial"/>
                <w:sz w:val="22"/>
                <w:szCs w:val="22"/>
                <w:color w:val="auto"/>
                <w:w w:val="95"/>
              </w:rPr>
              <w:t>(x) Liens securing Hedging Agreements permitted under Section 6.04(c) and not</w:t>
            </w:r>
          </w:p>
        </w:tc>
      </w:tr>
      <w:tr>
        <w:trPr>
          <w:trHeight w:val="20"/>
        </w:trPr>
        <w:tc>
          <w:tcPr>
            <w:tcW w:w="1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otherwise permitted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19"/>
          <w:szCs w:val="19"/>
          <w:u w:val="single" w:color="auto"/>
          <w:color w:val="auto"/>
        </w:rPr>
        <w:t>sub-clause (y)</w:t>
      </w:r>
      <w:r>
        <w:rPr>
          <w:rFonts w:ascii="Arial" w:cs="Arial" w:eastAsia="Arial" w:hAnsi="Arial"/>
          <w:sz w:val="19"/>
          <w:szCs w:val="19"/>
          <w:color w:val="auto"/>
        </w:rPr>
        <w:t xml:space="preserve"> even if such Lender has assigned all of its Loans and other interests in the Credit Agreement and thus has ceased to be a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Obligor be permitted to create, incur or assume any Lien pursuant to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increase the aggregate amount of collateral securing any Liens previously permitted under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ectPr>
          <w:pgSz w:w="11900" w:h="16838" w:orient="portrait"/>
          <w:cols w:equalWidth="0" w:num="1">
            <w:col w:w="11420"/>
          </w:cols>
          <w:pgMar w:left="240" w:top="334"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(j)</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respect to U.S. Government Securities.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color w:val="auto"/>
        </w:rPr>
        <w:t>Liens securing repurchase obligations arising in the ordinary course of business with</w:t>
      </w:r>
    </w:p>
    <w:p>
      <w:pPr>
        <w:spacing w:after="0" w:line="461" w:lineRule="exact"/>
        <w:rPr>
          <w:sz w:val="20"/>
          <w:szCs w:val="20"/>
          <w:color w:val="auto"/>
        </w:rPr>
      </w:pPr>
    </w:p>
    <w:p>
      <w:pPr>
        <w:sectPr>
          <w:pgSz w:w="11900" w:h="16838" w:orient="portrait"/>
          <w:cols w:equalWidth="0" w:num="2">
            <w:col w:w="3380" w:space="540"/>
            <w:col w:w="7500"/>
          </w:cols>
          <w:pgMar w:left="240" w:top="3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57" w:name="page258"/>
    <w:bookmarkEnd w:id="257"/>
    <w:p>
      <w:pPr>
        <w:jc w:val="both"/>
        <w:ind w:firstLine="1755"/>
        <w:spacing w:after="0" w:line="269"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w:t>
      </w:r>
    </w:p>
    <w:p>
      <w:pPr>
        <w:ind w:left="300" w:hanging="292"/>
        <w:spacing w:after="0"/>
        <w:tabs>
          <w:tab w:leader="none" w:pos="300" w:val="left"/>
        </w:tabs>
        <w:numPr>
          <w:ilvl w:val="0"/>
          <w:numId w:val="148"/>
        </w:numPr>
        <w:rPr>
          <w:rFonts w:ascii="Arial" w:cs="Arial" w:eastAsia="Arial" w:hAnsi="Arial"/>
          <w:sz w:val="22"/>
          <w:szCs w:val="22"/>
          <w:u w:val="single" w:color="auto"/>
          <w:color w:val="auto"/>
        </w:rPr>
      </w:pPr>
      <w:r>
        <w:rPr>
          <w:rFonts w:ascii="Arial" w:cs="Arial" w:eastAsia="Arial" w:hAnsi="Arial"/>
          <w:sz w:val="22"/>
          <w:szCs w:val="22"/>
          <w:color w:val="auto"/>
        </w:rPr>
        <w:t>below, Portfolio Investments.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Notwithstanding the foregoing provisions of this Section:</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(a) any Subsidiary Guarantor of the Borrower may be merged or consolidated with or into the Borrower or any other Subsidiary Guarantor;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such transaction shall be between a Subsidiary Guarantor and a wholly owned Subsidiary Guarantor, the wholly owned Subsidiary Guarantor shall be the continuing or surviving corporation;</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any Subsidiary Guarantor of the Borrower may sell, lease, transfer or otherwise dispose of any or all of its assets (upon voluntary liquidation or otherwise) to the Borrower or any wholly owned Subsidiary Guarantor of the Borrower;</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(c) the capital stock of any Subsidiary of the Borrower may be sold, transferred or otherwise disposed of to the Borrower or any wholly owned Subsidiary Guarantor of the Borrower;</w:t>
      </w:r>
    </w:p>
    <w:p>
      <w:pPr>
        <w:spacing w:after="0" w:line="173"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Obligors may sell, transfer or otherwise dispose of Portfolio Investments (other</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44"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(e) 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8" w:name="page259"/>
    <w:bookmarkEnd w:id="258"/>
    <w:p>
      <w:pPr>
        <w:jc w:val="both"/>
        <w:ind w:firstLine="1755"/>
        <w:spacing w:after="0"/>
        <w:rPr>
          <w:sz w:val="20"/>
          <w:szCs w:val="20"/>
          <w:color w:val="auto"/>
        </w:rPr>
      </w:pPr>
      <w:r>
        <w:rPr>
          <w:rFonts w:ascii="Arial" w:cs="Arial" w:eastAsia="Arial" w:hAnsi="Arial"/>
          <w:sz w:val="22"/>
          <w:szCs w:val="22"/>
          <w:color w:val="auto"/>
        </w:rPr>
        <w:t>(f) 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(g) 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will not, nor will it permit any of the Subsidiary Guarantors to, acquire, make or enter into, or hold, any Investments except: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20" w:type="dxa"/>
            <w:vAlign w:val="bottom"/>
          </w:tcPr>
          <w:p>
            <w:pPr>
              <w:ind w:left="1760"/>
              <w:spacing w:after="0"/>
              <w:rPr>
                <w:sz w:val="20"/>
                <w:szCs w:val="20"/>
                <w:color w:val="auto"/>
              </w:rPr>
            </w:pPr>
            <w:r>
              <w:rPr>
                <w:rFonts w:ascii="Arial" w:cs="Arial" w:eastAsia="Arial" w:hAnsi="Arial"/>
                <w:sz w:val="22"/>
                <w:szCs w:val="22"/>
                <w:color w:val="auto"/>
              </w:rPr>
              <w:t>(a)</w:t>
            </w:r>
          </w:p>
        </w:tc>
        <w:tc>
          <w:tcPr>
            <w:tcW w:w="7600" w:type="dxa"/>
            <w:vAlign w:val="bottom"/>
          </w:tcPr>
          <w:p>
            <w:pPr>
              <w:ind w:left="120"/>
              <w:spacing w:after="0"/>
              <w:rPr>
                <w:sz w:val="20"/>
                <w:szCs w:val="20"/>
                <w:color w:val="auto"/>
              </w:rPr>
            </w:pPr>
            <w:r>
              <w:rPr>
                <w:rFonts w:ascii="Arial" w:cs="Arial" w:eastAsia="Arial" w:hAnsi="Arial"/>
                <w:sz w:val="22"/>
                <w:szCs w:val="22"/>
                <w:color w:val="auto"/>
              </w:rPr>
              <w:t>operating deposit accounts with banks;</w:t>
            </w:r>
          </w:p>
        </w:tc>
      </w:tr>
      <w:tr>
        <w:trPr>
          <w:trHeight w:val="428"/>
        </w:trPr>
        <w:tc>
          <w:tcPr>
            <w:tcW w:w="3820" w:type="dxa"/>
            <w:vAlign w:val="bottom"/>
          </w:tcPr>
          <w:p>
            <w:pPr>
              <w:ind w:left="1760"/>
              <w:spacing w:after="0"/>
              <w:rPr>
                <w:sz w:val="20"/>
                <w:szCs w:val="20"/>
                <w:color w:val="auto"/>
              </w:rPr>
            </w:pPr>
            <w:r>
              <w:rPr>
                <w:rFonts w:ascii="Arial" w:cs="Arial" w:eastAsia="Arial" w:hAnsi="Arial"/>
                <w:sz w:val="22"/>
                <w:szCs w:val="22"/>
                <w:color w:val="auto"/>
              </w:rPr>
              <w:t>(b)</w:t>
            </w:r>
          </w:p>
        </w:tc>
        <w:tc>
          <w:tcPr>
            <w:tcW w:w="7600" w:type="dxa"/>
            <w:vAlign w:val="bottom"/>
          </w:tcPr>
          <w:p>
            <w:pPr>
              <w:ind w:left="140"/>
              <w:spacing w:after="0"/>
              <w:rPr>
                <w:sz w:val="20"/>
                <w:szCs w:val="20"/>
                <w:color w:val="auto"/>
              </w:rPr>
            </w:pPr>
            <w:r>
              <w:rPr>
                <w:rFonts w:ascii="Arial" w:cs="Arial" w:eastAsia="Arial" w:hAnsi="Arial"/>
                <w:sz w:val="22"/>
                <w:szCs w:val="22"/>
                <w:color w:val="auto"/>
                <w:w w:val="90"/>
              </w:rPr>
              <w:t>Investments by the Borrower and the Subsidiary Guarantors in the Borrower and the</w:t>
            </w:r>
          </w:p>
        </w:tc>
      </w:tr>
      <w:tr>
        <w:trPr>
          <w:trHeight w:val="275"/>
        </w:trPr>
        <w:tc>
          <w:tcPr>
            <w:tcW w:w="3820" w:type="dxa"/>
            <w:vAlign w:val="bottom"/>
          </w:tcPr>
          <w:p>
            <w:pPr>
              <w:spacing w:after="0"/>
              <w:rPr>
                <w:sz w:val="20"/>
                <w:szCs w:val="20"/>
                <w:color w:val="auto"/>
              </w:rPr>
            </w:pPr>
            <w:r>
              <w:rPr>
                <w:rFonts w:ascii="Arial" w:cs="Arial" w:eastAsia="Arial" w:hAnsi="Arial"/>
                <w:sz w:val="22"/>
                <w:szCs w:val="22"/>
                <w:color w:val="auto"/>
              </w:rPr>
              <w:t>Subsidiary Guarantors;</w:t>
            </w:r>
          </w:p>
        </w:tc>
        <w:tc>
          <w:tcPr>
            <w:tcW w:w="7600" w:type="dxa"/>
            <w:vAlign w:val="bottom"/>
          </w:tcPr>
          <w:p>
            <w:pPr>
              <w:spacing w:after="0"/>
              <w:rPr>
                <w:sz w:val="23"/>
                <w:szCs w:val="23"/>
                <w:color w:val="auto"/>
              </w:rPr>
            </w:pPr>
          </w:p>
        </w:tc>
      </w:tr>
      <w:tr>
        <w:trPr>
          <w:trHeight w:val="428"/>
        </w:trPr>
        <w:tc>
          <w:tcPr>
            <w:tcW w:w="3820" w:type="dxa"/>
            <w:vAlign w:val="bottom"/>
          </w:tcPr>
          <w:p>
            <w:pPr>
              <w:ind w:left="1760"/>
              <w:spacing w:after="0"/>
              <w:rPr>
                <w:sz w:val="20"/>
                <w:szCs w:val="20"/>
                <w:color w:val="auto"/>
              </w:rPr>
            </w:pPr>
            <w:r>
              <w:rPr>
                <w:rFonts w:ascii="Arial" w:cs="Arial" w:eastAsia="Arial" w:hAnsi="Arial"/>
                <w:sz w:val="22"/>
                <w:szCs w:val="22"/>
                <w:color w:val="auto"/>
              </w:rPr>
              <w:t>(c)</w:t>
            </w:r>
          </w:p>
        </w:tc>
        <w:tc>
          <w:tcPr>
            <w:tcW w:w="7600" w:type="dxa"/>
            <w:vAlign w:val="bottom"/>
          </w:tcPr>
          <w:p>
            <w:pPr>
              <w:ind w:left="120"/>
              <w:spacing w:after="0"/>
              <w:rPr>
                <w:sz w:val="20"/>
                <w:szCs w:val="20"/>
                <w:color w:val="auto"/>
              </w:rPr>
            </w:pPr>
            <w:r>
              <w:rPr>
                <w:rFonts w:ascii="Arial" w:cs="Arial" w:eastAsia="Arial" w:hAnsi="Arial"/>
                <w:sz w:val="22"/>
                <w:szCs w:val="22"/>
                <w:color w:val="auto"/>
                <w:w w:val="92"/>
              </w:rPr>
              <w:t>Hedging Agreements entered into in the ordinary course of the Borrower’s financial</w:t>
            </w:r>
          </w:p>
        </w:tc>
      </w:tr>
      <w:tr>
        <w:trPr>
          <w:trHeight w:val="275"/>
        </w:trPr>
        <w:tc>
          <w:tcPr>
            <w:tcW w:w="3820" w:type="dxa"/>
            <w:vAlign w:val="bottom"/>
          </w:tcPr>
          <w:p>
            <w:pPr>
              <w:spacing w:after="0"/>
              <w:rPr>
                <w:sz w:val="20"/>
                <w:szCs w:val="20"/>
                <w:color w:val="auto"/>
              </w:rPr>
            </w:pPr>
            <w:r>
              <w:rPr>
                <w:rFonts w:ascii="Arial" w:cs="Arial" w:eastAsia="Arial" w:hAnsi="Arial"/>
                <w:sz w:val="22"/>
                <w:szCs w:val="22"/>
                <w:color w:val="auto"/>
                <w:w w:val="91"/>
              </w:rPr>
              <w:t>planning and not for speculative purposes;</w:t>
            </w:r>
          </w:p>
        </w:tc>
        <w:tc>
          <w:tcPr>
            <w:tcW w:w="7600" w:type="dxa"/>
            <w:vAlign w:val="bottom"/>
          </w:tcPr>
          <w:p>
            <w:pPr>
              <w:spacing w:after="0"/>
              <w:rPr>
                <w:sz w:val="23"/>
                <w:szCs w:val="23"/>
                <w:color w:val="auto"/>
              </w:rPr>
            </w:pPr>
          </w:p>
        </w:tc>
      </w:tr>
      <w:tr>
        <w:trPr>
          <w:trHeight w:val="446"/>
        </w:trPr>
        <w:tc>
          <w:tcPr>
            <w:tcW w:w="3820" w:type="dxa"/>
            <w:vAlign w:val="bottom"/>
          </w:tcPr>
          <w:p>
            <w:pPr>
              <w:ind w:left="1760"/>
              <w:spacing w:after="0"/>
              <w:rPr>
                <w:sz w:val="20"/>
                <w:szCs w:val="20"/>
                <w:color w:val="auto"/>
              </w:rPr>
            </w:pPr>
            <w:r>
              <w:rPr>
                <w:rFonts w:ascii="Arial" w:cs="Arial" w:eastAsia="Arial" w:hAnsi="Arial"/>
                <w:sz w:val="22"/>
                <w:szCs w:val="22"/>
                <w:color w:val="auto"/>
              </w:rPr>
              <w:t>(d)</w:t>
            </w:r>
          </w:p>
        </w:tc>
        <w:tc>
          <w:tcPr>
            <w:tcW w:w="7600" w:type="dxa"/>
            <w:vAlign w:val="bottom"/>
          </w:tcPr>
          <w:p>
            <w:pPr>
              <w:ind w:left="140"/>
              <w:spacing w:after="0"/>
              <w:rPr>
                <w:sz w:val="20"/>
                <w:szCs w:val="20"/>
                <w:color w:val="auto"/>
              </w:rPr>
            </w:pPr>
            <w:r>
              <w:rPr>
                <w:rFonts w:ascii="Arial" w:cs="Arial" w:eastAsia="Arial" w:hAnsi="Arial"/>
                <w:sz w:val="22"/>
                <w:szCs w:val="22"/>
                <w:color w:val="auto"/>
              </w:rPr>
              <w:t>Portfolio Investments by the Borrower and its Subsidiaries to the extent such</w:t>
            </w:r>
          </w:p>
        </w:tc>
      </w:tr>
    </w:tbl>
    <w:p>
      <w:pPr>
        <w:jc w:val="both"/>
        <w:spacing w:after="0" w:line="237" w:lineRule="auto"/>
        <w:rPr>
          <w:sz w:val="20"/>
          <w:szCs w:val="20"/>
          <w:color w:val="auto"/>
        </w:rPr>
      </w:pPr>
      <w:r>
        <w:rPr>
          <w:rFonts w:ascii="Arial" w:cs="Arial" w:eastAsia="Arial" w:hAnsi="Arial"/>
          <w:sz w:val="22"/>
          <w:szCs w:val="22"/>
          <w:color w:val="auto"/>
        </w:rPr>
        <w:t>Portfolio Investments are permitted under the Investment Company Act and the Borrower’s Investment Policies as in effect as of the date such Portfolio Investments are acquired;</w:t>
      </w:r>
    </w:p>
    <w:p>
      <w:pPr>
        <w:spacing w:after="0" w:line="185"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color w:val="auto"/>
        </w:rPr>
        <w:t xml:space="preserve">(e) Investments in Financing Subsidiaries so long as, (i) after giving effect to such Investment, the Covered Debt Amount does not exceed the Borrowing Base and (ii) the sum of (x) all Investments under this </w:t>
      </w:r>
      <w:r>
        <w:rPr>
          <w:rFonts w:ascii="Arial" w:cs="Arial" w:eastAsia="Arial" w:hAnsi="Arial"/>
          <w:sz w:val="22"/>
          <w:szCs w:val="22"/>
          <w:u w:val="single" w:color="auto"/>
          <w:color w:val="auto"/>
        </w:rPr>
        <w:t>clause</w:t>
      </w:r>
    </w:p>
    <w:p>
      <w:pPr>
        <w:ind w:right="20" w:firstLine="8"/>
        <w:spacing w:after="0" w:line="237" w:lineRule="auto"/>
        <w:tabs>
          <w:tab w:leader="none" w:pos="301" w:val="left"/>
        </w:tabs>
        <w:numPr>
          <w:ilvl w:val="0"/>
          <w:numId w:val="149"/>
        </w:numPr>
        <w:rPr>
          <w:rFonts w:ascii="Arial" w:cs="Arial" w:eastAsia="Arial" w:hAnsi="Arial"/>
          <w:sz w:val="22"/>
          <w:szCs w:val="22"/>
          <w:u w:val="single" w:color="auto"/>
          <w:color w:val="auto"/>
        </w:rPr>
      </w:pPr>
      <w:r>
        <w:rPr>
          <w:rFonts w:ascii="Arial" w:cs="Arial" w:eastAsia="Arial" w:hAnsi="Arial"/>
          <w:sz w:val="22"/>
          <w:szCs w:val="22"/>
          <w:color w:val="auto"/>
        </w:rPr>
        <w:t xml:space="preserve">that occur after the Extended Commitment Termination Date and (y) all Investments under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below that occur after the Extended Commitment Termination Date, shall not exceed $10,000,000 in the aggregate;</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(f) additional Investments up to but not exceeding $15,000,000 in the aggregate;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sum of (x) all Investments under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that occur after the Extended Commitment Termination Date and (y) all Investments under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above that occur after the Extended Commitment Termination Date, shall not exceed $10,000,000 in the aggregate;</w:t>
      </w:r>
    </w:p>
    <w:p>
      <w:pPr>
        <w:spacing w:after="0" w:line="185"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(g)</w:t>
            </w:r>
          </w:p>
        </w:tc>
        <w:tc>
          <w:tcPr>
            <w:tcW w:w="7360" w:type="dxa"/>
            <w:vAlign w:val="bottom"/>
            <w:gridSpan w:val="5"/>
          </w:tcPr>
          <w:p>
            <w:pPr>
              <w:jc w:val="center"/>
              <w:ind w:right="1620"/>
              <w:spacing w:after="0"/>
              <w:rPr>
                <w:sz w:val="20"/>
                <w:szCs w:val="20"/>
                <w:color w:val="auto"/>
              </w:rPr>
            </w:pPr>
            <w:r>
              <w:rPr>
                <w:rFonts w:ascii="Arial" w:cs="Arial" w:eastAsia="Arial" w:hAnsi="Arial"/>
                <w:sz w:val="22"/>
                <w:szCs w:val="22"/>
                <w:color w:val="auto"/>
                <w:w w:val="87"/>
              </w:rPr>
              <w:t>Investments in Cash and Cash Equivalents;</w:t>
            </w:r>
          </w:p>
        </w:tc>
      </w:tr>
      <w:tr>
        <w:trPr>
          <w:trHeight w:val="409"/>
        </w:trPr>
        <w:tc>
          <w:tcPr>
            <w:tcW w:w="1200" w:type="dxa"/>
            <w:vAlign w:val="bottom"/>
          </w:tcPr>
          <w:p>
            <w:pPr>
              <w:spacing w:after="0"/>
              <w:rPr>
                <w:sz w:val="20"/>
                <w:szCs w:val="20"/>
                <w:color w:val="auto"/>
              </w:rPr>
            </w:pPr>
            <w:r>
              <w:rPr>
                <w:rFonts w:ascii="Arial" w:cs="Arial" w:eastAsia="Arial" w:hAnsi="Arial"/>
                <w:sz w:val="22"/>
                <w:szCs w:val="22"/>
                <w:color w:val="auto"/>
              </w:rPr>
              <w:t>(h)</w:t>
            </w:r>
          </w:p>
        </w:tc>
        <w:tc>
          <w:tcPr>
            <w:tcW w:w="7360" w:type="dxa"/>
            <w:vAlign w:val="bottom"/>
            <w:gridSpan w:val="5"/>
          </w:tcPr>
          <w:p>
            <w:pPr>
              <w:jc w:val="center"/>
              <w:ind w:right="1580"/>
              <w:spacing w:after="0"/>
              <w:rPr>
                <w:sz w:val="20"/>
                <w:szCs w:val="20"/>
                <w:color w:val="auto"/>
              </w:rPr>
            </w:pPr>
            <w:r>
              <w:rPr>
                <w:rFonts w:ascii="Arial" w:cs="Arial" w:eastAsia="Arial" w:hAnsi="Arial"/>
                <w:sz w:val="22"/>
                <w:szCs w:val="22"/>
                <w:color w:val="auto"/>
                <w:w w:val="87"/>
              </w:rPr>
              <w:t>Investments described on Schedule 3.12(b);</w:t>
            </w:r>
          </w:p>
        </w:tc>
      </w:tr>
      <w:tr>
        <w:trPr>
          <w:trHeight w:val="20"/>
        </w:trPr>
        <w:tc>
          <w:tcPr>
            <w:tcW w:w="1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0"/>
        </w:trPr>
        <w:tc>
          <w:tcPr>
            <w:tcW w:w="1200" w:type="dxa"/>
            <w:vAlign w:val="bottom"/>
          </w:tcPr>
          <w:p>
            <w:pPr>
              <w:spacing w:after="0"/>
              <w:rPr>
                <w:sz w:val="20"/>
                <w:szCs w:val="20"/>
                <w:color w:val="auto"/>
              </w:rPr>
            </w:pPr>
            <w:r>
              <w:rPr>
                <w:rFonts w:ascii="Arial" w:cs="Arial" w:eastAsia="Arial" w:hAnsi="Arial"/>
                <w:sz w:val="22"/>
                <w:szCs w:val="22"/>
                <w:color w:val="auto"/>
              </w:rPr>
              <w:t>(i)</w:t>
            </w:r>
          </w:p>
        </w:tc>
        <w:tc>
          <w:tcPr>
            <w:tcW w:w="7360" w:type="dxa"/>
            <w:vAlign w:val="bottom"/>
            <w:gridSpan w:val="5"/>
          </w:tcPr>
          <w:p>
            <w:pPr>
              <w:jc w:val="center"/>
              <w:ind w:right="1660"/>
              <w:spacing w:after="0"/>
              <w:rPr>
                <w:sz w:val="20"/>
                <w:szCs w:val="20"/>
                <w:color w:val="auto"/>
              </w:rPr>
            </w:pPr>
            <w:r>
              <w:rPr>
                <w:rFonts w:ascii="Arial" w:cs="Arial" w:eastAsia="Arial" w:hAnsi="Arial"/>
                <w:sz w:val="22"/>
                <w:szCs w:val="22"/>
                <w:color w:val="auto"/>
                <w:w w:val="88"/>
              </w:rPr>
              <w:t>Investments by a Financing Subsidiary; and</w:t>
            </w:r>
          </w:p>
        </w:tc>
      </w:tr>
      <w:tr>
        <w:trPr>
          <w:trHeight w:val="409"/>
        </w:trPr>
        <w:tc>
          <w:tcPr>
            <w:tcW w:w="1200" w:type="dxa"/>
            <w:vAlign w:val="bottom"/>
          </w:tcPr>
          <w:p>
            <w:pPr>
              <w:spacing w:after="0"/>
              <w:rPr>
                <w:sz w:val="20"/>
                <w:szCs w:val="20"/>
                <w:color w:val="auto"/>
              </w:rPr>
            </w:pPr>
            <w:r>
              <w:rPr>
                <w:rFonts w:ascii="Arial" w:cs="Arial" w:eastAsia="Arial" w:hAnsi="Arial"/>
                <w:sz w:val="22"/>
                <w:szCs w:val="22"/>
                <w:color w:val="auto"/>
              </w:rPr>
              <w:t>(j)</w:t>
            </w:r>
          </w:p>
        </w:tc>
        <w:tc>
          <w:tcPr>
            <w:tcW w:w="7360" w:type="dxa"/>
            <w:vAlign w:val="bottom"/>
            <w:gridSpan w:val="5"/>
          </w:tcPr>
          <w:p>
            <w:pPr>
              <w:ind w:left="960"/>
              <w:spacing w:after="0"/>
              <w:rPr>
                <w:sz w:val="20"/>
                <w:szCs w:val="20"/>
                <w:color w:val="auto"/>
              </w:rPr>
            </w:pPr>
            <w:r>
              <w:rPr>
                <w:rFonts w:ascii="Arial" w:cs="Arial" w:eastAsia="Arial" w:hAnsi="Arial"/>
                <w:sz w:val="22"/>
                <w:szCs w:val="22"/>
                <w:color w:val="auto"/>
                <w:w w:val="88"/>
              </w:rPr>
              <w:t>Investments in the form of Guarantees permitted pursuant to Section 6.01.</w:t>
            </w:r>
          </w:p>
        </w:tc>
      </w:tr>
      <w:tr>
        <w:trPr>
          <w:trHeight w:val="20"/>
        </w:trPr>
        <w:tc>
          <w:tcPr>
            <w:tcW w:w="1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9" w:name="page260"/>
    <w:bookmarkEnd w:id="259"/>
    <w:p>
      <w:pPr>
        <w:jc w:val="both"/>
        <w:spacing w:after="0" w:line="236" w:lineRule="auto"/>
        <w:rPr>
          <w:sz w:val="20"/>
          <w:szCs w:val="20"/>
          <w:color w:val="auto"/>
        </w:rPr>
      </w:pPr>
      <w:r>
        <w:rPr>
          <w:rFonts w:ascii="Arial" w:cs="Arial" w:eastAsia="Arial" w:hAnsi="Arial"/>
          <w:sz w:val="22"/>
          <w:szCs w:val="22"/>
          <w:color w:val="auto"/>
        </w:rPr>
        <w:t xml:space="preserve">invested that gives rise to such Investment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amount of dividends, distributions or other payments received in cash in respect of such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88"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will not, nor will it permit any of the Subsidiary Guarantors to, declare or make, or agree to pay or make, directly or indirectly, any Restricted Payment, except that the Borrower may declare and pay:</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(a) dividends with respect to the capital stock of the Borrower payable solely in additional shares of the Borrower’s common stock;</w:t>
      </w:r>
    </w:p>
    <w:p>
      <w:pPr>
        <w:spacing w:after="0" w:line="173"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dividends and distributions in either case in cash or other property (excluding for this</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8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(c) dividends and distributions in each case in cash or other property (excluding for this purpose the Borrower’s common stock) in addition to the dividends and distributions permitted under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so long as on the date of such Restricted Payment and after giving effect thereto:</w:t>
      </w:r>
    </w:p>
    <w:p>
      <w:pPr>
        <w:sectPr>
          <w:pgSz w:w="11900" w:h="16838" w:orient="portrait"/>
          <w:cols w:equalWidth="0" w:num="1">
            <w:col w:w="11420"/>
          </w:cols>
          <w:pgMar w:left="240" w:top="334" w:right="239" w:bottom="1440" w:gutter="0" w:footer="0" w:header="0"/>
        </w:sectPr>
      </w:pPr>
    </w:p>
    <w:p>
      <w:pPr>
        <w:spacing w:after="0" w:line="18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no Default shall have occurred and be continuing or would result therefrom; and</w:t>
      </w:r>
    </w:p>
    <w:p>
      <w:pPr>
        <w:spacing w:after="0" w:line="234" w:lineRule="exact"/>
        <w:rPr>
          <w:sz w:val="20"/>
          <w:szCs w:val="20"/>
          <w:color w:val="auto"/>
        </w:rPr>
      </w:pPr>
    </w:p>
    <w:p>
      <w:pPr>
        <w:sectPr>
          <w:pgSz w:w="11900" w:h="16838" w:orient="portrait"/>
          <w:cols w:equalWidth="0" w:num="2">
            <w:col w:w="3120" w:space="720"/>
            <w:col w:w="7580"/>
          </w:cols>
          <w:pgMar w:left="240" w:top="334" w:right="239" w:bottom="1440" w:gutter="0" w:footer="0" w:header="0"/>
          <w:type w:val="continuous"/>
        </w:sectPr>
      </w:pPr>
    </w:p>
    <w:p>
      <w:pPr>
        <w:spacing w:after="0" w:line="6" w:lineRule="exact"/>
        <w:rPr>
          <w:sz w:val="20"/>
          <w:szCs w:val="20"/>
          <w:color w:val="auto"/>
        </w:rPr>
      </w:pPr>
    </w:p>
    <w:p>
      <w:pPr>
        <w:ind w:left="1700"/>
        <w:spacing w:after="0"/>
        <w:tabs>
          <w:tab w:leader="none" w:pos="38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the aggregate amount of Restricted Payments made during any taxable year of the</w:t>
      </w:r>
    </w:p>
    <w:p>
      <w:pPr>
        <w:sectPr>
          <w:pgSz w:w="11900" w:h="16838" w:orient="portrait"/>
          <w:cols w:equalWidth="0" w:num="1">
            <w:col w:w="11420"/>
          </w:cols>
          <w:pgMar w:left="240" w:top="334" w:right="239" w:bottom="1440" w:gutter="0" w:footer="0" w:header="0"/>
          <w:type w:val="continuous"/>
        </w:sectPr>
      </w:pPr>
    </w:p>
    <w:p>
      <w:pPr>
        <w:spacing w:after="0" w:line="56" w:lineRule="exact"/>
        <w:rPr>
          <w:sz w:val="20"/>
          <w:szCs w:val="20"/>
          <w:color w:val="auto"/>
        </w:rPr>
      </w:pPr>
    </w:p>
    <w:p>
      <w:pPr>
        <w:jc w:val="both"/>
        <w:ind w:left="880"/>
        <w:spacing w:after="0" w:line="264" w:lineRule="auto"/>
        <w:rPr>
          <w:sz w:val="20"/>
          <w:szCs w:val="20"/>
          <w:color w:val="auto"/>
        </w:rPr>
      </w:pPr>
      <w:r>
        <w:rPr>
          <w:rFonts w:ascii="Arial" w:cs="Arial" w:eastAsia="Arial" w:hAnsi="Arial"/>
          <w:sz w:val="19"/>
          <w:szCs w:val="19"/>
          <w:color w:val="auto"/>
        </w:rPr>
        <w:t xml:space="preserve">Borrower after the date hereof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9"/>
          <w:szCs w:val="19"/>
          <w:u w:val="single" w:color="auto"/>
          <w:color w:val="auto"/>
        </w:rPr>
        <w:t>subparagraphs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amount, if any, by which dividends and distributions made during such taxable year pursuant to the foregoing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and</w:t>
      </w:r>
    </w:p>
    <w:p>
      <w:pPr>
        <w:ind w:left="1200" w:hanging="315"/>
        <w:spacing w:after="0"/>
        <w:tabs>
          <w:tab w:leader="none" w:pos="1200" w:val="left"/>
        </w:tabs>
        <w:numPr>
          <w:ilvl w:val="0"/>
          <w:numId w:val="150"/>
        </w:numPr>
        <w:rPr>
          <w:rFonts w:ascii="Arial" w:cs="Arial" w:eastAsia="Arial" w:hAnsi="Arial"/>
          <w:sz w:val="22"/>
          <w:szCs w:val="22"/>
          <w:u w:val="single" w:color="auto"/>
          <w:color w:val="auto"/>
        </w:rPr>
      </w:pPr>
      <w:r>
        <w:rPr>
          <w:rFonts w:ascii="Arial" w:cs="Arial" w:eastAsia="Arial" w:hAnsi="Arial"/>
          <w:sz w:val="22"/>
          <w:szCs w:val="22"/>
          <w:color w:val="auto"/>
        </w:rPr>
        <w:t xml:space="preserve">of such foregoing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for such taxable year.</w:t>
      </w:r>
    </w:p>
    <w:p>
      <w:pPr>
        <w:spacing w:after="0" w:line="188"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(d) 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9"/>
          <w:szCs w:val="19"/>
          <w:u w:val="single" w:color="auto"/>
          <w:color w:val="auto"/>
        </w:rPr>
        <w:t>subclause (x)</w:t>
      </w:r>
      <w:r>
        <w:rPr>
          <w:rFonts w:ascii="Arial" w:cs="Arial" w:eastAsia="Arial" w:hAnsi="Arial"/>
          <w:sz w:val="19"/>
          <w:szCs w:val="19"/>
          <w:color w:val="auto"/>
        </w:rPr>
        <w:t xml:space="preserve"> 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 (B) the fair market value of Portfolio Investments for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60" w:name="page261"/>
    <w:bookmarkEnd w:id="260"/>
    <w:p>
      <w:pPr>
        <w:jc w:val="both"/>
        <w:spacing w:after="0" w:line="287" w:lineRule="auto"/>
        <w:rPr>
          <w:sz w:val="20"/>
          <w:szCs w:val="20"/>
          <w:color w:val="auto"/>
        </w:rPr>
      </w:pPr>
      <w:r>
        <w:rPr>
          <w:rFonts w:ascii="Arial" w:cs="Arial" w:eastAsia="Arial" w:hAnsi="Arial"/>
          <w:sz w:val="19"/>
          <w:szCs w:val="19"/>
          <w:color w:val="auto"/>
        </w:rPr>
        <w:t xml:space="preserve">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reduce the Value of any Portfolio Investment referred to in this </w:t>
      </w:r>
      <w:r>
        <w:rPr>
          <w:rFonts w:ascii="Arial" w:cs="Arial" w:eastAsia="Arial" w:hAnsi="Arial"/>
          <w:sz w:val="19"/>
          <w:szCs w:val="19"/>
          <w:u w:val="single" w:color="auto"/>
          <w:color w:val="auto"/>
        </w:rPr>
        <w:t>sub-clause (B)</w:t>
      </w:r>
      <w:r>
        <w:rPr>
          <w:rFonts w:ascii="Arial" w:cs="Arial" w:eastAsia="Arial" w:hAnsi="Arial"/>
          <w:sz w:val="19"/>
          <w:szCs w:val="19"/>
          <w:color w:val="auto"/>
        </w:rPr>
        <w:t xml:space="preserve"> to the extent necessary to take into account any events of which the Borrower has knowledge that adversely affect the value of such Portfolio Investment.</w:t>
      </w:r>
    </w:p>
    <w:p>
      <w:pPr>
        <w:spacing w:after="0" w:line="14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Nothing herein shall be deemed to prohibit the payment of Restricted Payments by any Subsidiary of the Borrower to the Borrower or to any other Subsidiary Guarantor.</w:t>
      </w:r>
    </w:p>
    <w:p>
      <w:pPr>
        <w:spacing w:after="0" w:line="17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Certain Restrictions on Subsidiaries</w:t>
      </w:r>
      <w:r>
        <w:rPr>
          <w:rFonts w:ascii="Arial" w:cs="Arial" w:eastAsia="Arial" w:hAnsi="Arial"/>
          <w:sz w:val="19"/>
          <w:szCs w:val="19"/>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5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Certain Financial Covenants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Minimum Shareholders’ Equity</w:t>
      </w:r>
      <w:r>
        <w:rPr>
          <w:rFonts w:ascii="Arial" w:cs="Arial" w:eastAsia="Arial" w:hAnsi="Arial"/>
          <w:sz w:val="22"/>
          <w:szCs w:val="22"/>
          <w:color w:val="auto"/>
        </w:rPr>
        <w:t xml:space="preserve">. The Borrower will not permit Shareholders’ Equity at the last day of any fiscal quarter of the Borrower to be less than $500,000,000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25% of the net proceeds of the sale of Equity Interests by the Borrower and its Subsidiaries after the Sixth Amendment Effective Date (other than proceeds of sales of Equity Interests by and among the Borrower and its Subsidiaries).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color w:val="auto"/>
              </w:rPr>
              <w:t>(b)</w:t>
            </w:r>
          </w:p>
        </w:tc>
        <w:tc>
          <w:tcPr>
            <w:tcW w:w="7460" w:type="dxa"/>
            <w:vAlign w:val="bottom"/>
            <w:gridSpan w:val="3"/>
          </w:tcPr>
          <w:p>
            <w:pPr>
              <w:jc w:val="right"/>
              <w:spacing w:after="0"/>
              <w:rPr>
                <w:sz w:val="20"/>
                <w:szCs w:val="20"/>
                <w:color w:val="auto"/>
              </w:rPr>
            </w:pPr>
            <w:r>
              <w:rPr>
                <w:rFonts w:ascii="Arial" w:cs="Arial" w:eastAsia="Arial" w:hAnsi="Arial"/>
                <w:sz w:val="22"/>
                <w:szCs w:val="22"/>
                <w:color w:val="auto"/>
                <w:w w:val="90"/>
              </w:rPr>
              <w:t>Asset Coverage Ratio. The Borrower will not permit the Asset Coverage Ratio at the</w:t>
            </w:r>
          </w:p>
        </w:tc>
      </w:tr>
      <w:tr>
        <w:trPr>
          <w:trHeight w:val="20"/>
        </w:trPr>
        <w:tc>
          <w:tcPr>
            <w:tcW w:w="3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last day of any fiscal quarter of the Borrower to be less than 2.00 to 1 at any time.</w:t>
            </w: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auto"/>
              </w:rPr>
              <w:t>(c)</w:t>
            </w:r>
          </w:p>
        </w:tc>
        <w:tc>
          <w:tcPr>
            <w:tcW w:w="7460" w:type="dxa"/>
            <w:vAlign w:val="bottom"/>
            <w:gridSpan w:val="3"/>
          </w:tcPr>
          <w:p>
            <w:pPr>
              <w:jc w:val="right"/>
              <w:spacing w:after="0"/>
              <w:rPr>
                <w:sz w:val="20"/>
                <w:szCs w:val="20"/>
                <w:color w:val="auto"/>
              </w:rPr>
            </w:pPr>
            <w:r>
              <w:rPr>
                <w:rFonts w:ascii="Arial" w:cs="Arial" w:eastAsia="Arial" w:hAnsi="Arial"/>
                <w:sz w:val="22"/>
                <w:szCs w:val="22"/>
                <w:color w:val="auto"/>
                <w:w w:val="91"/>
              </w:rPr>
              <w:t>Liquidity Test. The Borrower will not permit (a) the sum of (i) the aggregate Value of</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Portfolio Investments that are Cash (excluding Cash Collateral for outstanding Letters of Credit) or that can be converted to Cash in fewer than 10 Business Days without more than a 5% change in price,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1" w:name="page262"/>
    <w:bookmarkEnd w:id="261"/>
    <w:p>
      <w:pPr>
        <w:ind w:right="20" w:firstLine="1755"/>
        <w:spacing w:after="0" w:line="276"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will not, and will not permit any of its Subsidiaries to enter into any transactions with any of its Affiliates, even if otherwise permitted under this Agreement, except</w:t>
      </w:r>
    </w:p>
    <w:p>
      <w:pPr>
        <w:spacing w:after="0" w:line="2" w:lineRule="exact"/>
        <w:rPr>
          <w:sz w:val="20"/>
          <w:szCs w:val="20"/>
          <w:color w:val="auto"/>
        </w:rPr>
      </w:pPr>
    </w:p>
    <w:p>
      <w:pPr>
        <w:jc w:val="both"/>
        <w:ind w:firstLine="8"/>
        <w:spacing w:after="0" w:line="267" w:lineRule="auto"/>
        <w:tabs>
          <w:tab w:leader="none" w:pos="30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transactions in the ordinary course of business at prices and on terms and conditions not less favorable to the Borrower or such Subsidiary (other than a SBIC Subsidiary) than could be obtained on an arm’s-length basis from unrelated third parties,</w:t>
      </w:r>
    </w:p>
    <w:p>
      <w:pPr>
        <w:jc w:val="both"/>
        <w:ind w:right="20" w:firstLine="8"/>
        <w:spacing w:after="0" w:line="267" w:lineRule="auto"/>
        <w:tabs>
          <w:tab w:leader="none" w:pos="33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transactions between or among the Borrower and its Subsidiaries not involving any other Affiliate, (c) Restricted Payments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(d) the transactions provided in the Affiliate Agreements, (e) transactions described on </w:t>
      </w:r>
      <w:r>
        <w:rPr>
          <w:rFonts w:ascii="Arial" w:cs="Arial" w:eastAsia="Arial" w:hAnsi="Arial"/>
          <w:sz w:val="19"/>
          <w:szCs w:val="19"/>
          <w:u w:val="single" w:color="auto"/>
          <w:color w:val="auto"/>
        </w:rPr>
        <w:t>Schedule 6.08</w:t>
      </w:r>
      <w:r>
        <w:rPr>
          <w:rFonts w:ascii="Arial" w:cs="Arial" w:eastAsia="Arial" w:hAnsi="Arial"/>
          <w:sz w:val="19"/>
          <w:szCs w:val="19"/>
          <w:color w:val="auto"/>
        </w:rPr>
        <w:t>,</w:t>
      </w:r>
    </w:p>
    <w:p>
      <w:pPr>
        <w:jc w:val="both"/>
        <w:ind w:firstLine="8"/>
        <w:spacing w:after="0" w:line="246" w:lineRule="auto"/>
        <w:tabs>
          <w:tab w:leader="none" w:pos="29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80"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Lines of Business</w:t>
      </w:r>
      <w:r>
        <w:rPr>
          <w:rFonts w:ascii="Arial" w:cs="Arial" w:eastAsia="Arial" w:hAnsi="Arial"/>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5"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No Further Negative Pledge</w:t>
      </w:r>
      <w:r>
        <w:rPr>
          <w:rFonts w:ascii="Arial" w:cs="Arial" w:eastAsia="Arial" w:hAnsi="Arial"/>
          <w:sz w:val="19"/>
          <w:szCs w:val="19"/>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6.01(b), (i)</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(n)</w:t>
      </w:r>
      <w:r>
        <w:rPr>
          <w:rFonts w:ascii="Arial" w:cs="Arial" w:eastAsia="Arial" w:hAnsi="Arial"/>
          <w:sz w:val="19"/>
          <w:szCs w:val="19"/>
          <w:color w:val="auto"/>
        </w:rPr>
        <w:t xml:space="preserve">; (b) covenants in documents creating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57"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Modifications of Longer-Term Indebtedness Documents</w:t>
      </w:r>
      <w:r>
        <w:rPr>
          <w:rFonts w:ascii="Arial" w:cs="Arial" w:eastAsia="Arial" w:hAnsi="Arial"/>
          <w:sz w:val="22"/>
          <w:szCs w:val="22"/>
          <w:color w:val="auto"/>
        </w:rPr>
        <w:t>. The Borrower will not consent to any modification, supplement or waiver of:</w:t>
      </w:r>
    </w:p>
    <w:p>
      <w:pPr>
        <w:spacing w:after="0" w:line="173"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any of the provisions of any agreement, instrument or other document evidencing or</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this Agreement, unless (i)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2" w:name="page263"/>
    <w:bookmarkEnd w:id="262"/>
    <w:p>
      <w:pPr>
        <w:jc w:val="both"/>
        <w:spacing w:after="0" w:line="277" w:lineRule="auto"/>
        <w:rPr>
          <w:sz w:val="20"/>
          <w:szCs w:val="20"/>
          <w:color w:val="auto"/>
        </w:rPr>
      </w:pPr>
      <w:r>
        <w:rPr>
          <w:rFonts w:ascii="Arial" w:cs="Arial" w:eastAsia="Arial" w:hAnsi="Arial"/>
          <w:sz w:val="19"/>
          <w:szCs w:val="19"/>
          <w:color w:val="auto"/>
        </w:rPr>
        <w:t>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5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86"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Payments of Longer-Term Indebtedness, 2019 Convertible Notes, the 2022 Convertible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 and 2023 Notes</w:t>
      </w:r>
      <w:r>
        <w:rPr>
          <w:rFonts w:ascii="Arial" w:cs="Arial" w:eastAsia="Arial" w:hAnsi="Arial"/>
          <w:sz w:val="19"/>
          <w:szCs w:val="19"/>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2019 Convertible Notes, the 2022 Convertible Notes, or the 2023 Notes (other than the refinancing of Secured Longer-Term Indebtedness, Unsecured Longer-Term Indebtedness, Special Unsecured Indebtedness, the 2019 Convertible Notes, the 2022 Convertible Notes, or the 2023 Notes with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 so long as no Default shall exist or be continuing, any payment that, if treated as a Restricted Payment for purposes of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would be permitted to be made pursuant to the provisions set forth in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(ii) no Default shall exist or be continuing; (d) mandatory payments, required prepayments or mandatory redemptions of the 2019 Convertible Notes, the 2022 Convertible Notes, any other convertible notes constituting Unsecured Longer-Term Indebtedness or Special Unsecured Indebtedness in Cash (including any cash payment elected to be paid in connection with the settlement by the Borrower of any conversion at the option of any holder of such 2019 Convertible Notes, the 2022 Convertible Notes or other convertible notes pursuant to the conversion features thereunder) and the 2023 Notes, so long as both before and after giving effect to such payment (i) no Event of Default shall exist or be continuing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3" w:name="page264"/>
    <w:bookmarkEnd w:id="263"/>
    <w:p>
      <w:pPr>
        <w:jc w:val="both"/>
        <w:spacing w:after="0" w:line="238" w:lineRule="auto"/>
        <w:rPr>
          <w:sz w:val="20"/>
          <w:szCs w:val="20"/>
          <w:color w:val="auto"/>
        </w:rPr>
      </w:pPr>
      <w:r>
        <w:rPr>
          <w:rFonts w:ascii="Arial" w:cs="Arial" w:eastAsia="Arial" w:hAnsi="Arial"/>
          <w:sz w:val="22"/>
          <w:szCs w:val="22"/>
          <w:color w:val="auto"/>
        </w:rPr>
        <w:t>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Accounting Changes</w:t>
      </w:r>
      <w:r>
        <w:rPr>
          <w:rFonts w:ascii="Arial" w:cs="Arial" w:eastAsia="Arial" w:hAnsi="Arial"/>
          <w:sz w:val="22"/>
          <w:szCs w:val="22"/>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SBIC Guarantee</w:t>
      </w:r>
      <w:r>
        <w:rPr>
          <w:rFonts w:ascii="Arial" w:cs="Arial" w:eastAsia="Arial" w:hAnsi="Arial"/>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640"/>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0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the Borrower shall (i) fail to pay any principal of any Loan or any reimbursement</w:t>
      </w:r>
    </w:p>
    <w:p>
      <w:pPr>
        <w:spacing w:after="0" w:line="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on the Extended Commitment Termination Date or as required by </w:t>
      </w:r>
      <w:r>
        <w:rPr>
          <w:rFonts w:ascii="Arial" w:cs="Arial" w:eastAsia="Arial" w:hAnsi="Arial"/>
          <w:sz w:val="22"/>
          <w:szCs w:val="22"/>
          <w:u w:val="single" w:color="auto"/>
          <w:color w:val="auto"/>
        </w:rPr>
        <w:t>Section 2.20(b)</w:t>
      </w:r>
      <w:r>
        <w:rPr>
          <w:rFonts w:ascii="Arial" w:cs="Arial" w:eastAsia="Arial" w:hAnsi="Arial"/>
          <w:sz w:val="22"/>
          <w:szCs w:val="22"/>
          <w:color w:val="auto"/>
        </w:rPr>
        <w:t xml:space="preserve"> on the date so required;</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(b) the Borrower shall fail to pay any interest on any Loan or any fee or any other amount (other than an amount referred to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8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(c) 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9"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(d) the Borrower shall fail to observe or perform any covenant, condition or agreement contained in (i)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(with respect to the Borrower’s existence) or </w:t>
      </w:r>
      <w:r>
        <w:rPr>
          <w:rFonts w:ascii="Arial" w:cs="Arial" w:eastAsia="Arial" w:hAnsi="Arial"/>
          <w:sz w:val="19"/>
          <w:szCs w:val="19"/>
          <w:u w:val="single" w:color="auto"/>
          <w:color w:val="auto"/>
        </w:rPr>
        <w:t>Sections 5.08(a)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Obligor shall default in the performance of any of its obligations contained in Sections 3 and 7 of the Guarantee and Security Agreement or</w:t>
      </w:r>
    </w:p>
    <w:p>
      <w:pPr>
        <w:spacing w:after="0" w:line="2" w:lineRule="exact"/>
        <w:rPr>
          <w:sz w:val="20"/>
          <w:szCs w:val="20"/>
          <w:color w:val="auto"/>
        </w:rPr>
      </w:pPr>
    </w:p>
    <w:p>
      <w:pPr>
        <w:ind w:firstLine="8"/>
        <w:spacing w:after="0" w:line="237" w:lineRule="auto"/>
        <w:tabs>
          <w:tab w:leader="none" w:pos="318"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Sections 5.01(e)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5.02</w:t>
      </w:r>
      <w:r>
        <w:rPr>
          <w:rFonts w:ascii="Arial" w:cs="Arial" w:eastAsia="Arial" w:hAnsi="Arial"/>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60"/>
        <w:spacing w:after="0"/>
        <w:tabs>
          <w:tab w:leader="none" w:pos="936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4" w:name="page265"/>
    <w:bookmarkEnd w:id="264"/>
    <w:p>
      <w:pPr>
        <w:jc w:val="both"/>
        <w:ind w:firstLine="1755"/>
        <w:spacing w:after="0" w:line="234" w:lineRule="auto"/>
        <w:rPr>
          <w:sz w:val="20"/>
          <w:szCs w:val="20"/>
          <w:color w:val="auto"/>
        </w:rPr>
      </w:pPr>
      <w:r>
        <w:rPr>
          <w:rFonts w:ascii="Arial" w:cs="Arial" w:eastAsia="Arial" w:hAnsi="Arial"/>
          <w:sz w:val="22"/>
          <w:szCs w:val="22"/>
          <w:color w:val="auto"/>
        </w:rPr>
        <w:t xml:space="preserve">(e) 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22"/>
          <w:szCs w:val="22"/>
          <w:u w:val="single" w:color="auto"/>
          <w:color w:val="auto"/>
        </w:rPr>
        <w:t>Section 5.01(e)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91"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(f) the Borrower or any Obligor, as applicable, shall fail to observe or perform any covenant, condition or agreement contained in this Agreement (other than those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w:t>
      </w:r>
      <w:r>
        <w:rPr>
          <w:rFonts w:ascii="Arial" w:cs="Arial" w:eastAsia="Arial" w:hAnsi="Arial"/>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(g) 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86"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(h) 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clause (h)</w:t>
      </w:r>
      <w:r>
        <w:rPr>
          <w:rFonts w:ascii="Arial" w:cs="Arial" w:eastAsia="Arial" w:hAnsi="Arial"/>
          <w:sz w:val="21"/>
          <w:szCs w:val="21"/>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82"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(i) 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78"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21"/>
          <w:szCs w:val="21"/>
          <w:color w:val="auto"/>
        </w:rPr>
        <w:t>(j)</w:t>
      </w:r>
      <w:r>
        <w:rPr>
          <w:sz w:val="20"/>
          <w:szCs w:val="20"/>
          <w:color w:val="auto"/>
        </w:rPr>
        <w:tab/>
      </w:r>
      <w:r>
        <w:rPr>
          <w:rFonts w:ascii="Arial" w:cs="Arial" w:eastAsia="Arial" w:hAnsi="Arial"/>
          <w:sz w:val="21"/>
          <w:szCs w:val="21"/>
          <w:color w:val="auto"/>
        </w:rPr>
        <w:t>the Borrower or any of its Subsidiaries (other than Immaterial Subsidiaries) shall</w:t>
      </w:r>
    </w:p>
    <w:p>
      <w:pPr>
        <w:spacing w:after="0" w:line="20" w:lineRule="exact"/>
        <w:rPr>
          <w:sz w:val="20"/>
          <w:szCs w:val="20"/>
          <w:color w:val="auto"/>
        </w:rPr>
      </w:pPr>
    </w:p>
    <w:p>
      <w:pPr>
        <w:ind w:right="20" w:firstLine="8"/>
        <w:spacing w:after="0" w:line="237" w:lineRule="auto"/>
        <w:tabs>
          <w:tab w:leader="none" w:pos="27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voluntarily commence any proceeding or file any petition seeking liquidation, reorganization or other relief under any Federal, state or foreign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5" w:name="page266"/>
    <w:bookmarkEnd w:id="265"/>
    <w:p>
      <w:pPr>
        <w:jc w:val="both"/>
        <w:spacing w:after="0" w:line="235" w:lineRule="auto"/>
        <w:rPr>
          <w:sz w:val="20"/>
          <w:szCs w:val="20"/>
          <w:color w:val="auto"/>
        </w:rPr>
      </w:pPr>
      <w:r>
        <w:rPr>
          <w:rFonts w:ascii="Arial" w:cs="Arial" w:eastAsia="Arial" w:hAnsi="Arial"/>
          <w:sz w:val="22"/>
          <w:szCs w:val="22"/>
          <w:color w:val="auto"/>
        </w:rPr>
        <w:t xml:space="preserve">insolvency, receivership or similar law now or hereafter in effect, (ii) consent to the institution of, or fail to contest in a timely and appropriate manner, any proceeding or petition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(k) the Borrower or any of its Subsidiaries (other than Immaterial Subsidiaries) shall become unable, admit in writing its inability or fail generally to pay its debts as they become due;</w:t>
      </w:r>
    </w:p>
    <w:p>
      <w:pPr>
        <w:spacing w:after="0" w:line="173"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9"/>
          <w:szCs w:val="19"/>
          <w:color w:val="auto"/>
        </w:rPr>
        <w:t>(l)</w:t>
      </w:r>
      <w:r>
        <w:rPr>
          <w:sz w:val="20"/>
          <w:szCs w:val="20"/>
          <w:color w:val="auto"/>
        </w:rPr>
        <w:tab/>
      </w:r>
      <w:r>
        <w:rPr>
          <w:rFonts w:ascii="Arial" w:cs="Arial" w:eastAsia="Arial" w:hAnsi="Arial"/>
          <w:sz w:val="19"/>
          <w:szCs w:val="19"/>
          <w:color w:val="auto"/>
        </w:rPr>
        <w:t>one or more judgments for the payment of money in an aggregate amount in excess of</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(m) an ERISA Event shall have occurred that, in the opinion of the Required Lenders, when taken together with all other ERISA Events that have occurred, could reasonably be expected to result in a Material Adverse Effect;</w:t>
      </w:r>
    </w:p>
    <w:p>
      <w:pPr>
        <w:sectPr>
          <w:pgSz w:w="11900" w:h="16838" w:orient="portrait"/>
          <w:cols w:equalWidth="0" w:num="1">
            <w:col w:w="11420"/>
          </w:cols>
          <w:pgMar w:left="240" w:top="334" w:right="239" w:bottom="1440" w:gutter="0" w:footer="0" w:header="0"/>
        </w:sectPr>
      </w:pPr>
    </w:p>
    <w:p>
      <w:pPr>
        <w:spacing w:after="0" w:line="186" w:lineRule="exact"/>
        <w:rPr>
          <w:sz w:val="20"/>
          <w:szCs w:val="20"/>
          <w:color w:val="auto"/>
        </w:rPr>
      </w:pPr>
    </w:p>
    <w:p>
      <w:pPr>
        <w:jc w:val="center"/>
        <w:ind w:left="540"/>
        <w:spacing w:after="0"/>
        <w:rPr>
          <w:sz w:val="20"/>
          <w:szCs w:val="20"/>
          <w:color w:val="auto"/>
        </w:rPr>
      </w:pPr>
      <w:r>
        <w:rPr>
          <w:rFonts w:ascii="Arial" w:cs="Arial" w:eastAsia="Arial" w:hAnsi="Arial"/>
          <w:sz w:val="21"/>
          <w:szCs w:val="21"/>
          <w:color w:val="auto"/>
        </w:rPr>
        <w:t>(n)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 Change in Control shall occur;</w:t>
      </w:r>
    </w:p>
    <w:p>
      <w:pPr>
        <w:spacing w:after="0" w:line="222" w:lineRule="exact"/>
        <w:rPr>
          <w:sz w:val="20"/>
          <w:szCs w:val="20"/>
          <w:color w:val="auto"/>
        </w:rPr>
      </w:pPr>
    </w:p>
    <w:p>
      <w:pPr>
        <w:sectPr>
          <w:pgSz w:w="11900" w:h="16838" w:orient="portrait"/>
          <w:cols w:equalWidth="0" w:num="2">
            <w:col w:w="3240" w:space="720"/>
            <w:col w:w="7460"/>
          </w:cols>
          <w:pgMar w:left="240" w:top="334" w:right="239" w:bottom="1440" w:gutter="0" w:footer="0" w:header="0"/>
          <w:type w:val="continuous"/>
        </w:sectPr>
      </w:pPr>
    </w:p>
    <w:p>
      <w:pPr>
        <w:spacing w:after="0" w:line="18" w:lineRule="exact"/>
        <w:rPr>
          <w:sz w:val="20"/>
          <w:szCs w:val="20"/>
          <w:color w:val="auto"/>
        </w:rPr>
      </w:pPr>
    </w:p>
    <w:p>
      <w:pPr>
        <w:jc w:val="center"/>
        <w:ind w:left="540"/>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the Borrower shall cease to be managed by the External Manager or an Affiliate</w:t>
      </w:r>
    </w:p>
    <w:p>
      <w:pPr>
        <w:spacing w:after="0" w:line="23" w:lineRule="exact"/>
        <w:rPr>
          <w:sz w:val="20"/>
          <w:szCs w:val="20"/>
          <w:color w:val="auto"/>
        </w:rPr>
      </w:pPr>
    </w:p>
    <w:p>
      <w:pPr>
        <w:sectPr>
          <w:pgSz w:w="11900" w:h="16838" w:orient="portrait"/>
          <w:cols w:equalWidth="0" w:num="2">
            <w:col w:w="3240" w:space="720"/>
            <w:col w:w="7460"/>
          </w:cols>
          <w:pgMar w:left="24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thereof;</w:t>
      </w:r>
    </w:p>
    <w:p>
      <w:pPr>
        <w:spacing w:after="0" w:line="18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21"/>
          <w:szCs w:val="21"/>
          <w:color w:val="auto"/>
        </w:rPr>
        <w:t>(p)</w:t>
      </w:r>
      <w:r>
        <w:rPr>
          <w:sz w:val="20"/>
          <w:szCs w:val="20"/>
          <w:color w:val="auto"/>
        </w:rPr>
        <w:tab/>
      </w:r>
      <w:r>
        <w:rPr>
          <w:rFonts w:ascii="Arial" w:cs="Arial" w:eastAsia="Arial" w:hAnsi="Arial"/>
          <w:sz w:val="21"/>
          <w:szCs w:val="21"/>
          <w:color w:val="auto"/>
        </w:rPr>
        <w:t>if, prior to the Extended Final Maturity Date, both of the principals of the External</w:t>
      </w:r>
    </w:p>
    <w:p>
      <w:pPr>
        <w:sectPr>
          <w:pgSz w:w="11900" w:h="16838" w:orient="portrait"/>
          <w:cols w:equalWidth="0" w:num="1">
            <w:col w:w="11420"/>
          </w:cols>
          <w:pgMar w:left="240" w:top="334" w:right="2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Manager (who initially will be Alan Waxman and Joshua Easterly) fail to remain actively involved in the investment activities of the Borrower and the other investment vehicles managed by TSSP Management Holdings,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88"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 xml:space="preserve">(q) 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tabs>
          <w:tab w:leader="none" w:pos="936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66" w:name="page267"/>
    <w:bookmarkEnd w:id="266"/>
    <w:p>
      <w:pPr>
        <w:jc w:val="both"/>
        <w:ind w:firstLine="1755"/>
        <w:spacing w:after="0"/>
        <w:rPr>
          <w:sz w:val="20"/>
          <w:szCs w:val="20"/>
          <w:color w:val="auto"/>
        </w:rPr>
      </w:pPr>
      <w:r>
        <w:rPr>
          <w:rFonts w:ascii="Arial" w:cs="Arial" w:eastAsia="Arial" w:hAnsi="Arial"/>
          <w:sz w:val="22"/>
          <w:szCs w:val="22"/>
          <w:color w:val="auto"/>
        </w:rPr>
        <w:t>(r) 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 the Obligors shall at any time, without the consent of the Required Lenders fail to comply with the covenant contained in </w:t>
      </w:r>
      <w:r>
        <w:rPr>
          <w:rFonts w:ascii="Arial" w:cs="Arial" w:eastAsia="Arial" w:hAnsi="Arial"/>
          <w:sz w:val="22"/>
          <w:szCs w:val="22"/>
          <w:u w:val="single" w:color="auto"/>
          <w:color w:val="auto"/>
        </w:rPr>
        <w:t>Section 5.11</w:t>
      </w:r>
      <w:r>
        <w:rPr>
          <w:rFonts w:ascii="Arial" w:cs="Arial" w:eastAsia="Arial" w:hAnsi="Arial"/>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(t) the Borrower or any of its Subsidiaries shall cause or permit the occurrence of any condition or event that would result in any recourse to any Obligor under any Permitted SBIC Guarantee;</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then, and in every such event (other than an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62"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7" w:name="page268"/>
    <w:bookmarkEnd w:id="267"/>
    <w:p>
      <w:pPr>
        <w:jc w:val="both"/>
        <w:ind w:firstLine="1755"/>
        <w:spacing w:after="0" w:line="270" w:lineRule="auto"/>
        <w:rPr>
          <w:sz w:val="20"/>
          <w:szCs w:val="20"/>
          <w:color w:val="auto"/>
        </w:rPr>
      </w:pPr>
      <w:r>
        <w:rPr>
          <w:rFonts w:ascii="Arial" w:cs="Arial" w:eastAsia="Arial" w:hAnsi="Arial"/>
          <w:sz w:val="19"/>
          <w:szCs w:val="19"/>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firstLine="8"/>
        <w:spacing w:after="0" w:line="270" w:lineRule="auto"/>
        <w:tabs>
          <w:tab w:leader="none" w:pos="319" w:val="left"/>
        </w:tabs>
        <w:numPr>
          <w:ilvl w:val="0"/>
          <w:numId w:val="155"/>
        </w:numPr>
        <w:rPr>
          <w:rFonts w:ascii="Arial" w:cs="Arial" w:eastAsia="Arial" w:hAnsi="Arial"/>
          <w:sz w:val="19"/>
          <w:szCs w:val="19"/>
          <w:u w:val="single" w:color="auto"/>
          <w:color w:val="auto"/>
        </w:rPr>
      </w:pPr>
      <w:r>
        <w:rPr>
          <w:rFonts w:ascii="Arial" w:cs="Arial" w:eastAsia="Arial" w:hAnsi="Arial"/>
          <w:sz w:val="19"/>
          <w:szCs w:val="19"/>
          <w:color w:val="auto"/>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w:t>
      </w:r>
    </w:p>
    <w:p>
      <w:pPr>
        <w:spacing w:after="0" w:line="206"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of the Administrative Agent</w:t>
      </w:r>
      <w:r>
        <w:rPr>
          <w:rFonts w:ascii="Arial" w:cs="Arial" w:eastAsia="Arial" w:hAnsi="Arial"/>
          <w:sz w:val="19"/>
          <w:szCs w:val="19"/>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8" w:name="page269"/>
    <w:bookmarkEnd w:id="268"/>
    <w:p>
      <w:pPr>
        <w:jc w:val="both"/>
        <w:ind w:firstLine="1755"/>
        <w:spacing w:after="0" w:line="28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Capacity as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3"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Limitation of Duties; Exculpation</w:t>
      </w:r>
      <w:r>
        <w:rPr>
          <w:rFonts w:ascii="Arial" w:cs="Arial" w:eastAsia="Arial" w:hAnsi="Arial"/>
          <w:sz w:val="19"/>
          <w:szCs w:val="19"/>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or therein, other than to confirm receipt of items expressly required to be delivered to the Administrative Agent.</w:t>
      </w:r>
    </w:p>
    <w:p>
      <w:pPr>
        <w:spacing w:after="0" w:line="200" w:lineRule="exact"/>
        <w:rPr>
          <w:sz w:val="20"/>
          <w:szCs w:val="20"/>
          <w:color w:val="auto"/>
        </w:rPr>
      </w:pPr>
    </w:p>
    <w:p>
      <w:pPr>
        <w:spacing w:after="0" w:line="211"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9" w:name="page270"/>
    <w:bookmarkEnd w:id="269"/>
    <w:p>
      <w:pPr>
        <w:jc w:val="both"/>
        <w:ind w:firstLine="1755"/>
        <w:spacing w:after="0" w:line="245"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Sub-Agents</w:t>
      </w:r>
      <w:r>
        <w:rPr>
          <w:rFonts w:ascii="Arial" w:cs="Arial" w:eastAsia="Arial" w:hAnsi="Arial"/>
          <w:sz w:val="21"/>
          <w:szCs w:val="21"/>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85"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Successor Administrative Agent</w:t>
      </w:r>
      <w:r>
        <w:rPr>
          <w:rFonts w:ascii="Arial" w:cs="Arial" w:eastAsia="Arial" w:hAnsi="Arial"/>
          <w:sz w:val="19"/>
          <w:szCs w:val="19"/>
          <w:color w:val="auto"/>
        </w:rPr>
        <w:t xml:space="preserve">. 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continue in effect for its benefit in respect of any actions taken or omitted to be taken by it while it was acting as Administrative Agent.</w:t>
      </w:r>
    </w:p>
    <w:p>
      <w:pPr>
        <w:spacing w:after="0" w:line="200" w:lineRule="exact"/>
        <w:rPr>
          <w:sz w:val="20"/>
          <w:szCs w:val="20"/>
          <w:color w:val="auto"/>
        </w:rPr>
      </w:pPr>
    </w:p>
    <w:p>
      <w:pPr>
        <w:spacing w:after="0" w:line="21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Any resignation by SunTrust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0" w:name="page271"/>
    <w:bookmarkEnd w:id="270"/>
    <w:p>
      <w:pPr>
        <w:jc w:val="both"/>
        <w:ind w:firstLine="1755"/>
        <w:spacing w:after="0" w:line="244"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Reliance by Lenders</w:t>
      </w:r>
      <w:r>
        <w:rPr>
          <w:rFonts w:ascii="Arial" w:cs="Arial" w:eastAsia="Arial" w:hAnsi="Arial"/>
          <w:sz w:val="21"/>
          <w:szCs w:val="21"/>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90"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67"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Modifications to Loan Documents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ind w:left="4820"/>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 Electronic Communications</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69" w:lineRule="exact"/>
        <w:rPr>
          <w:sz w:val="20"/>
          <w:szCs w:val="20"/>
          <w:color w:val="auto"/>
        </w:rPr>
      </w:pPr>
    </w:p>
    <w:p>
      <w:pPr>
        <w:ind w:left="1700"/>
        <w:spacing w:after="0"/>
        <w:tabs>
          <w:tab w:leader="none" w:pos="38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if to the Borrower, to it at:</w:t>
      </w:r>
    </w:p>
    <w:p>
      <w:pPr>
        <w:spacing w:after="0" w:line="20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TPG Specialty Lending, Inc.</w:t>
      </w:r>
    </w:p>
    <w:p>
      <w:pPr>
        <w:ind w:left="3520"/>
        <w:spacing w:after="0" w:line="238" w:lineRule="auto"/>
        <w:rPr>
          <w:sz w:val="20"/>
          <w:szCs w:val="20"/>
          <w:color w:val="auto"/>
        </w:rPr>
      </w:pPr>
      <w:r>
        <w:rPr>
          <w:rFonts w:ascii="Arial" w:cs="Arial" w:eastAsia="Arial" w:hAnsi="Arial"/>
          <w:sz w:val="22"/>
          <w:szCs w:val="22"/>
          <w:color w:val="auto"/>
        </w:rPr>
        <w:t>888 Seventh Avenue, 35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3520"/>
        <w:spacing w:after="0" w:line="230" w:lineRule="auto"/>
        <w:rPr>
          <w:sz w:val="20"/>
          <w:szCs w:val="20"/>
          <w:color w:val="auto"/>
        </w:rPr>
      </w:pPr>
      <w:r>
        <w:rPr>
          <w:rFonts w:ascii="Arial" w:cs="Arial" w:eastAsia="Arial" w:hAnsi="Arial"/>
          <w:sz w:val="22"/>
          <w:szCs w:val="22"/>
          <w:color w:val="auto"/>
        </w:rPr>
        <w:t>New York, New York 10019</w:t>
      </w:r>
    </w:p>
    <w:p>
      <w:pPr>
        <w:ind w:left="3520"/>
        <w:spacing w:after="0" w:line="231" w:lineRule="auto"/>
        <w:rPr>
          <w:sz w:val="20"/>
          <w:szCs w:val="20"/>
          <w:color w:val="auto"/>
        </w:rPr>
      </w:pPr>
      <w:r>
        <w:rPr>
          <w:rFonts w:ascii="Arial" w:cs="Arial" w:eastAsia="Arial" w:hAnsi="Arial"/>
          <w:sz w:val="22"/>
          <w:szCs w:val="22"/>
          <w:color w:val="auto"/>
        </w:rPr>
        <w:t>Attention: Ian Simmonds</w:t>
      </w:r>
    </w:p>
    <w:p>
      <w:pPr>
        <w:ind w:left="3520"/>
        <w:spacing w:after="0" w:line="231" w:lineRule="auto"/>
        <w:rPr>
          <w:sz w:val="20"/>
          <w:szCs w:val="20"/>
          <w:color w:val="auto"/>
        </w:rPr>
      </w:pPr>
      <w:r>
        <w:rPr>
          <w:rFonts w:ascii="Arial" w:cs="Arial" w:eastAsia="Arial" w:hAnsi="Arial"/>
          <w:sz w:val="22"/>
          <w:szCs w:val="22"/>
          <w:color w:val="auto"/>
        </w:rPr>
        <w:t>Telecopy Number: (212) 430-4639</w:t>
      </w:r>
    </w:p>
    <w:p>
      <w:pPr>
        <w:ind w:left="3520"/>
        <w:spacing w:after="0"/>
        <w:rPr>
          <w:sz w:val="20"/>
          <w:szCs w:val="20"/>
          <w:color w:val="auto"/>
        </w:rPr>
      </w:pPr>
      <w:r>
        <w:rPr>
          <w:rFonts w:ascii="Arial" w:cs="Arial" w:eastAsia="Arial" w:hAnsi="Arial"/>
          <w:sz w:val="22"/>
          <w:szCs w:val="22"/>
          <w:color w:val="auto"/>
        </w:rPr>
        <w:t>Telephone: (212) 601-4739</w:t>
      </w:r>
    </w:p>
    <w:p>
      <w:pPr>
        <w:spacing w:after="0" w:line="188" w:lineRule="exact"/>
        <w:rPr>
          <w:sz w:val="20"/>
          <w:szCs w:val="20"/>
          <w:color w:val="auto"/>
        </w:rPr>
      </w:pPr>
    </w:p>
    <w:p>
      <w:pPr>
        <w:ind w:left="1700"/>
        <w:spacing w:after="0"/>
        <w:tabs>
          <w:tab w:leader="none" w:pos="38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if to the Administrative Agent or SunTrust, in its capacity as a Swingline Lender, to it</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w:t>
      </w:r>
    </w:p>
    <w:p>
      <w:pPr>
        <w:spacing w:after="0" w:line="18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SunTrust Bank</w:t>
      </w:r>
    </w:p>
    <w:p>
      <w:pPr>
        <w:ind w:left="3520"/>
        <w:spacing w:after="0" w:line="238" w:lineRule="auto"/>
        <w:rPr>
          <w:sz w:val="20"/>
          <w:szCs w:val="20"/>
          <w:color w:val="auto"/>
        </w:rPr>
      </w:pPr>
      <w:r>
        <w:rPr>
          <w:rFonts w:ascii="Arial" w:cs="Arial" w:eastAsia="Arial" w:hAnsi="Arial"/>
          <w:sz w:val="22"/>
          <w:szCs w:val="22"/>
          <w:color w:val="auto"/>
        </w:rPr>
        <w:t>3333 Peachtree Road, 7th Floor</w:t>
      </w:r>
    </w:p>
    <w:p>
      <w:pPr>
        <w:ind w:left="3520"/>
        <w:spacing w:after="0" w:line="230" w:lineRule="auto"/>
        <w:rPr>
          <w:sz w:val="20"/>
          <w:szCs w:val="20"/>
          <w:color w:val="auto"/>
        </w:rPr>
      </w:pPr>
      <w:r>
        <w:rPr>
          <w:rFonts w:ascii="Arial" w:cs="Arial" w:eastAsia="Arial" w:hAnsi="Arial"/>
          <w:sz w:val="22"/>
          <w:szCs w:val="22"/>
          <w:color w:val="auto"/>
        </w:rPr>
        <w:t>Atlanta, Georgia 30326</w:t>
      </w:r>
    </w:p>
    <w:p>
      <w:pPr>
        <w:ind w:left="3520"/>
        <w:spacing w:after="0" w:line="231" w:lineRule="auto"/>
        <w:rPr>
          <w:sz w:val="20"/>
          <w:szCs w:val="20"/>
          <w:color w:val="auto"/>
        </w:rPr>
      </w:pPr>
      <w:r>
        <w:rPr>
          <w:rFonts w:ascii="Arial" w:cs="Arial" w:eastAsia="Arial" w:hAnsi="Arial"/>
          <w:sz w:val="22"/>
          <w:szCs w:val="22"/>
          <w:color w:val="auto"/>
        </w:rPr>
        <w:t>Attention: Doug Kennedy</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Telecopy Number: (404) 739-7390</w:t>
      </w:r>
    </w:p>
    <w:p>
      <w:pPr>
        <w:spacing w:after="0" w:line="18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SunTrust Bank</w:t>
      </w:r>
    </w:p>
    <w:p>
      <w:pPr>
        <w:ind w:left="3520"/>
        <w:spacing w:after="0" w:line="238" w:lineRule="auto"/>
        <w:rPr>
          <w:sz w:val="20"/>
          <w:szCs w:val="20"/>
          <w:color w:val="auto"/>
        </w:rPr>
      </w:pPr>
      <w:r>
        <w:rPr>
          <w:rFonts w:ascii="Arial" w:cs="Arial" w:eastAsia="Arial" w:hAnsi="Arial"/>
          <w:sz w:val="22"/>
          <w:szCs w:val="22"/>
          <w:color w:val="auto"/>
        </w:rPr>
        <w:t>Agency Services</w:t>
      </w:r>
    </w:p>
    <w:p>
      <w:pPr>
        <w:ind w:left="3520"/>
        <w:spacing w:after="0" w:line="230" w:lineRule="auto"/>
        <w:rPr>
          <w:sz w:val="20"/>
          <w:szCs w:val="20"/>
          <w:color w:val="auto"/>
        </w:rPr>
      </w:pPr>
      <w:r>
        <w:rPr>
          <w:rFonts w:ascii="Arial" w:cs="Arial" w:eastAsia="Arial" w:hAnsi="Arial"/>
          <w:sz w:val="22"/>
          <w:szCs w:val="22"/>
          <w:color w:val="auto"/>
        </w:rPr>
        <w:t>303 Peachtree Street, N. E./ 25th Floor</w:t>
      </w:r>
    </w:p>
    <w:p>
      <w:pPr>
        <w:ind w:left="3520"/>
        <w:spacing w:after="0" w:line="231" w:lineRule="auto"/>
        <w:rPr>
          <w:sz w:val="20"/>
          <w:szCs w:val="20"/>
          <w:color w:val="auto"/>
        </w:rPr>
      </w:pPr>
      <w:r>
        <w:rPr>
          <w:rFonts w:ascii="Arial" w:cs="Arial" w:eastAsia="Arial" w:hAnsi="Arial"/>
          <w:sz w:val="22"/>
          <w:szCs w:val="22"/>
          <w:color w:val="auto"/>
        </w:rPr>
        <w:t>Atlanta, Georgia 30308</w:t>
      </w:r>
    </w:p>
    <w:p>
      <w:pPr>
        <w:ind w:left="3520"/>
        <w:spacing w:after="0" w:line="231" w:lineRule="auto"/>
        <w:rPr>
          <w:sz w:val="20"/>
          <w:szCs w:val="20"/>
          <w:color w:val="auto"/>
        </w:rPr>
      </w:pPr>
      <w:r>
        <w:rPr>
          <w:rFonts w:ascii="Arial" w:cs="Arial" w:eastAsia="Arial" w:hAnsi="Arial"/>
          <w:sz w:val="22"/>
          <w:szCs w:val="22"/>
          <w:color w:val="auto"/>
        </w:rPr>
        <w:t>Attention: Wanda Gregory</w:t>
      </w:r>
    </w:p>
    <w:p>
      <w:pPr>
        <w:ind w:left="3520"/>
        <w:spacing w:after="0"/>
        <w:rPr>
          <w:sz w:val="20"/>
          <w:szCs w:val="20"/>
          <w:color w:val="auto"/>
        </w:rPr>
      </w:pPr>
      <w:r>
        <w:rPr>
          <w:rFonts w:ascii="Arial" w:cs="Arial" w:eastAsia="Arial" w:hAnsi="Arial"/>
          <w:sz w:val="22"/>
          <w:szCs w:val="22"/>
          <w:color w:val="auto"/>
        </w:rPr>
        <w:t>Telecopy Number: (404) 658-4906</w:t>
      </w:r>
    </w:p>
    <w:p>
      <w:pPr>
        <w:spacing w:after="0" w:line="188"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if to the SunTrust, in its capacity as Issuing Bank, to it at:</w:t>
      </w:r>
    </w:p>
    <w:p>
      <w:pPr>
        <w:spacing w:after="0" w:line="20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SunTrust Bank</w:t>
      </w:r>
    </w:p>
    <w:p>
      <w:pPr>
        <w:ind w:left="3520"/>
        <w:spacing w:after="0" w:line="238" w:lineRule="auto"/>
        <w:rPr>
          <w:sz w:val="20"/>
          <w:szCs w:val="20"/>
          <w:color w:val="auto"/>
        </w:rPr>
      </w:pPr>
      <w:r>
        <w:rPr>
          <w:rFonts w:ascii="Arial" w:cs="Arial" w:eastAsia="Arial" w:hAnsi="Arial"/>
          <w:sz w:val="22"/>
          <w:szCs w:val="22"/>
          <w:color w:val="auto"/>
        </w:rPr>
        <w:t>303 Peachtree Street, N. E./ 25th Floor</w:t>
      </w:r>
    </w:p>
    <w:p>
      <w:pPr>
        <w:ind w:left="3520"/>
        <w:spacing w:after="0" w:line="230" w:lineRule="auto"/>
        <w:rPr>
          <w:sz w:val="20"/>
          <w:szCs w:val="20"/>
          <w:color w:val="auto"/>
        </w:rPr>
      </w:pPr>
      <w:r>
        <w:rPr>
          <w:rFonts w:ascii="Arial" w:cs="Arial" w:eastAsia="Arial" w:hAnsi="Arial"/>
          <w:sz w:val="22"/>
          <w:szCs w:val="22"/>
          <w:color w:val="auto"/>
        </w:rPr>
        <w:t>Atlanta, Georgia 30308</w:t>
      </w:r>
    </w:p>
    <w:p>
      <w:pPr>
        <w:ind w:left="3520"/>
        <w:spacing w:after="0" w:line="231" w:lineRule="auto"/>
        <w:rPr>
          <w:sz w:val="20"/>
          <w:szCs w:val="20"/>
          <w:color w:val="auto"/>
        </w:rPr>
      </w:pPr>
      <w:r>
        <w:rPr>
          <w:rFonts w:ascii="Arial" w:cs="Arial" w:eastAsia="Arial" w:hAnsi="Arial"/>
          <w:sz w:val="22"/>
          <w:szCs w:val="22"/>
          <w:color w:val="auto"/>
        </w:rPr>
        <w:t>Attention: Wanda Gregory</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Telecopy Number: (404) 658-4906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2" w:name="page273"/>
    <w:bookmarkEnd w:id="272"/>
    <w:p>
      <w:pPr>
        <w:jc w:val="right"/>
        <w:ind w:right="1240"/>
        <w:spacing w:after="0"/>
        <w:rPr>
          <w:sz w:val="20"/>
          <w:szCs w:val="20"/>
          <w:color w:val="auto"/>
        </w:rPr>
      </w:pPr>
      <w:r>
        <w:rPr>
          <w:rFonts w:ascii="Arial" w:cs="Arial" w:eastAsia="Arial" w:hAnsi="Arial"/>
          <w:sz w:val="22"/>
          <w:szCs w:val="22"/>
          <w:color w:val="auto"/>
        </w:rPr>
        <w:t>(iv)</w:t>
      </w:r>
    </w:p>
    <w:p>
      <w:pPr>
        <w:spacing w:after="0" w:line="8" w:lineRule="exact"/>
        <w:rPr>
          <w:sz w:val="20"/>
          <w:szCs w:val="20"/>
          <w:color w:val="auto"/>
        </w:rPr>
      </w:pPr>
    </w:p>
    <w:p>
      <w:pPr>
        <w:jc w:val="right"/>
        <w:ind w:right="1160"/>
        <w:spacing w:after="0"/>
        <w:rPr>
          <w:sz w:val="20"/>
          <w:szCs w:val="20"/>
          <w:color w:val="auto"/>
        </w:rPr>
      </w:pPr>
      <w:r>
        <w:rPr>
          <w:rFonts w:ascii="Arial" w:cs="Arial" w:eastAsia="Arial" w:hAnsi="Arial"/>
          <w:sz w:val="19"/>
          <w:szCs w:val="19"/>
          <w:color w:val="auto"/>
        </w:rPr>
        <w:t>Issuing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if to JPMorgan Chase Bank, N.A., in its capacity as a Swingline Lender and an</w:t>
      </w:r>
    </w:p>
    <w:p>
      <w:pPr>
        <w:spacing w:after="0" w:line="438" w:lineRule="exact"/>
        <w:rPr>
          <w:sz w:val="20"/>
          <w:szCs w:val="20"/>
          <w:color w:val="auto"/>
        </w:rPr>
      </w:pPr>
    </w:p>
    <w:p>
      <w:pPr>
        <w:sectPr>
          <w:pgSz w:w="11900" w:h="16838" w:orient="portrait"/>
          <w:cols w:equalWidth="0" w:num="2">
            <w:col w:w="3240" w:space="720"/>
            <w:col w:w="7460"/>
          </w:cols>
          <w:pgMar w:left="240" w:top="335" w:right="239" w:bottom="1440" w:gutter="0" w:footer="0" w:header="0"/>
        </w:sectPr>
      </w:pPr>
    </w:p>
    <w:p>
      <w:pPr>
        <w:spacing w:after="0" w:line="2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Ground floor, 1st to 6th floors, Platina 3, Kodbis, Floor 03</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Bengaluru, 560 103, India</w:t>
      </w:r>
    </w:p>
    <w:p>
      <w:pPr>
        <w:ind w:left="3520"/>
        <w:spacing w:after="0" w:line="230" w:lineRule="auto"/>
        <w:rPr>
          <w:sz w:val="20"/>
          <w:szCs w:val="20"/>
          <w:color w:val="auto"/>
        </w:rPr>
      </w:pPr>
      <w:r>
        <w:rPr>
          <w:rFonts w:ascii="Arial" w:cs="Arial" w:eastAsia="Arial" w:hAnsi="Arial"/>
          <w:sz w:val="22"/>
          <w:szCs w:val="22"/>
          <w:color w:val="auto"/>
        </w:rPr>
        <w:t>Attention: Sneha Machani</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Telecopy Number: (201) 244-3885</w:t>
      </w:r>
    </w:p>
    <w:p>
      <w:pPr>
        <w:sectPr>
          <w:pgSz w:w="11900" w:h="16838" w:orient="portrait"/>
          <w:cols w:equalWidth="0" w:num="1">
            <w:col w:w="11420"/>
          </w:cols>
          <w:pgMar w:left="240" w:top="335" w:right="239" w:bottom="1440" w:gutter="0" w:footer="0" w:header="0"/>
          <w:type w:val="continuous"/>
        </w:sectPr>
      </w:pPr>
    </w:p>
    <w:p>
      <w:pPr>
        <w:spacing w:after="0" w:line="18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(v)</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Administrative Questionnaire.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if to any other Lender, to it at its address (or telecopy number) set forth in its</w:t>
      </w:r>
    </w:p>
    <w:p>
      <w:pPr>
        <w:spacing w:after="0" w:line="426" w:lineRule="exact"/>
        <w:rPr>
          <w:sz w:val="20"/>
          <w:szCs w:val="20"/>
          <w:color w:val="auto"/>
        </w:rPr>
      </w:pPr>
    </w:p>
    <w:p>
      <w:pPr>
        <w:sectPr>
          <w:pgSz w:w="11900" w:h="16838" w:orient="portrait"/>
          <w:cols w:equalWidth="0" w:num="2">
            <w:col w:w="3500" w:space="400"/>
            <w:col w:w="7520"/>
          </w:cols>
          <w:pgMar w:left="240" w:top="335" w:right="239" w:bottom="1440" w:gutter="0" w:footer="0" w:header="0"/>
          <w:type w:val="continuous"/>
        </w:sectPr>
      </w:pPr>
    </w:p>
    <w:p>
      <w:pPr>
        <w:spacing w:after="0" w:line="23"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below, shall be effective as provided in said </w:t>
      </w:r>
      <w:r>
        <w:rPr>
          <w:rFonts w:ascii="Arial" w:cs="Arial" w:eastAsia="Arial" w:hAnsi="Arial"/>
          <w:sz w:val="19"/>
          <w:szCs w:val="19"/>
          <w:u w:val="single" w:color="auto"/>
          <w:color w:val="auto"/>
        </w:rPr>
        <w:t>paragraph (b)</w:t>
      </w:r>
      <w:r>
        <w:rPr>
          <w:rFonts w:ascii="Arial" w:cs="Arial" w:eastAsia="Arial" w:hAnsi="Arial"/>
          <w:sz w:val="19"/>
          <w:szCs w:val="19"/>
          <w:color w:val="auto"/>
        </w:rPr>
        <w:t>.</w:t>
      </w:r>
    </w:p>
    <w:p>
      <w:pPr>
        <w:spacing w:after="0" w:line="143"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or any Issuing Bank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88" w:lineRule="exact"/>
        <w:rPr>
          <w:sz w:val="20"/>
          <w:szCs w:val="20"/>
          <w:color w:val="auto"/>
        </w:rPr>
      </w:pPr>
    </w:p>
    <w:p>
      <w:pPr>
        <w:jc w:val="both"/>
        <w:ind w:firstLine="1763"/>
        <w:spacing w:after="0" w:line="277" w:lineRule="auto"/>
        <w:tabs>
          <w:tab w:leader="none" w:pos="203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w:t>
      </w:r>
    </w:p>
    <w:p>
      <w:pPr>
        <w:spacing w:after="0" w:line="15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type w:val="continuous"/>
        </w:sectPr>
      </w:pPr>
    </w:p>
    <w:bookmarkStart w:id="273" w:name="page274"/>
    <w:bookmarkEnd w:id="273"/>
    <w:p>
      <w:pPr>
        <w:jc w:val="both"/>
        <w:spacing w:after="0" w:line="234" w:lineRule="auto"/>
        <w:rPr>
          <w:sz w:val="20"/>
          <w:szCs w:val="20"/>
          <w:color w:val="auto"/>
        </w:rPr>
      </w:pPr>
      <w:r>
        <w:rPr>
          <w:rFonts w:ascii="Arial" w:cs="Arial" w:eastAsia="Arial" w:hAnsi="Arial"/>
          <w:sz w:val="22"/>
          <w:szCs w:val="22"/>
          <w:color w:val="auto"/>
        </w:rPr>
        <w:t>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91"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Private Side Information Contacts</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2" w:lineRule="exact"/>
        <w:rPr>
          <w:sz w:val="20"/>
          <w:szCs w:val="20"/>
          <w:color w:val="auto"/>
        </w:rPr>
      </w:pPr>
    </w:p>
    <w:p>
      <w:pPr>
        <w:ind w:left="1760"/>
        <w:spacing w:after="0"/>
        <w:tabs>
          <w:tab w:leader="none" w:pos="3940" w:val="left"/>
          <w:tab w:leader="none" w:pos="97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Documents to be Delivered under Sections 5.01 and 5.12(a)</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For so long as an</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Intralinks™ or equivalent website is available to each of the Lenders hereunder, the Borrower may satisfy its obligation to deliver documents to the Administrative Agent or the Lenders under </w:t>
      </w:r>
      <w:r>
        <w:rPr>
          <w:rFonts w:ascii="Arial" w:cs="Arial" w:eastAsia="Arial" w:hAnsi="Arial"/>
          <w:sz w:val="21"/>
          <w:szCs w:val="21"/>
          <w:u w:val="single" w:color="auto"/>
          <w:color w:val="auto"/>
        </w:rPr>
        <w:t>Sections 5.01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5.12(a)</w:t>
      </w:r>
      <w:r>
        <w:rPr>
          <w:rFonts w:ascii="Arial" w:cs="Arial" w:eastAsia="Arial" w:hAnsi="Arial"/>
          <w:sz w:val="21"/>
          <w:szCs w:val="21"/>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have no responsibility to maintain access to Intralinks™ or an equivalent website.</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 w:leader="none" w:pos="4360" w:val="left"/>
          <w:tab w:leader="none" w:pos="5260" w:val="left"/>
          <w:tab w:leader="none" w:pos="6140" w:val="left"/>
          <w:tab w:leader="none" w:pos="7160" w:val="left"/>
          <w:tab w:leader="none" w:pos="8560" w:val="left"/>
          <w:tab w:leader="none" w:pos="9000" w:val="left"/>
          <w:tab w:leader="none" w:pos="9740" w:val="left"/>
          <w:tab w:leader="none" w:pos="10100" w:val="left"/>
          <w:tab w:leader="none" w:pos="10740" w:val="left"/>
          <w:tab w:leader="none" w:pos="111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No</w:t>
      </w:r>
      <w:r>
        <w:rPr>
          <w:sz w:val="20"/>
          <w:szCs w:val="20"/>
          <w:color w:val="auto"/>
        </w:rPr>
        <w:tab/>
      </w:r>
      <w:r>
        <w:rPr>
          <w:rFonts w:ascii="Arial" w:cs="Arial" w:eastAsia="Arial" w:hAnsi="Arial"/>
          <w:sz w:val="22"/>
          <w:szCs w:val="22"/>
          <w:u w:val="single" w:color="auto"/>
          <w:color w:val="auto"/>
        </w:rPr>
        <w:t>Deemed</w:t>
        <w:tab/>
        <w:t>Waivers</w:t>
        <w:tab/>
        <w:t>Remedies</w:t>
        <w:tab/>
        <w:t>Cumulative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No</w:t>
        <w:tab/>
        <w:t>failure</w:t>
        <w:tab/>
        <w:t>or</w:t>
        <w:tab/>
        <w:t>delay</w:t>
        <w:tab/>
        <w:t>by</w:t>
      </w:r>
      <w:r>
        <w:rPr>
          <w:sz w:val="20"/>
          <w:szCs w:val="20"/>
          <w:color w:val="auto"/>
        </w:rPr>
        <w:tab/>
      </w:r>
      <w:r>
        <w:rPr>
          <w:rFonts w:ascii="Arial" w:cs="Arial" w:eastAsia="Arial" w:hAnsi="Arial"/>
          <w:sz w:val="18"/>
          <w:szCs w:val="18"/>
          <w:color w:val="auto"/>
        </w:rPr>
        <w:t>the</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and then such waiver or consent shall be effective only in the specific instance and for the purpose for which given. Without 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4" w:name="page275"/>
    <w:bookmarkEnd w:id="274"/>
    <w:p>
      <w:pPr>
        <w:jc w:val="both"/>
        <w:spacing w:after="0"/>
        <w:rPr>
          <w:sz w:val="20"/>
          <w:szCs w:val="20"/>
          <w:color w:val="auto"/>
        </w:rPr>
      </w:pPr>
      <w:r>
        <w:rPr>
          <w:rFonts w:ascii="Arial" w:cs="Arial" w:eastAsia="Arial" w:hAnsi="Arial"/>
          <w:sz w:val="22"/>
          <w:szCs w:val="22"/>
          <w:color w:val="auto"/>
        </w:rPr>
        <w:t>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Amendments to this Agreement</w:t>
      </w:r>
      <w:r>
        <w:rPr>
          <w:rFonts w:ascii="Arial" w:cs="Arial" w:eastAsia="Arial" w:hAnsi="Arial"/>
          <w:sz w:val="22"/>
          <w:szCs w:val="22"/>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agreement shall:</w:t>
      </w:r>
    </w:p>
    <w:p>
      <w:pPr>
        <w:sectPr>
          <w:pgSz w:w="11900" w:h="16838" w:orient="portrait"/>
          <w:cols w:equalWidth="0" w:num="1">
            <w:col w:w="11420"/>
          </w:cols>
          <w:pgMar w:left="240" w:top="334" w:right="239" w:bottom="1440" w:gutter="0" w:footer="0" w:header="0"/>
        </w:sectPr>
      </w:pPr>
    </w:p>
    <w:p>
      <w:pPr>
        <w:spacing w:after="0" w:line="185"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increase the Commitment of any Lender without the written consent of such Lender,</w:t>
      </w:r>
    </w:p>
    <w:p>
      <w:pPr>
        <w:spacing w:after="0" w:line="234" w:lineRule="exact"/>
        <w:rPr>
          <w:sz w:val="20"/>
          <w:szCs w:val="20"/>
          <w:color w:val="auto"/>
        </w:rPr>
      </w:pPr>
    </w:p>
    <w:p>
      <w:pPr>
        <w:sectPr>
          <w:pgSz w:w="11900" w:h="16838" w:orient="portrait"/>
          <w:cols w:equalWidth="0" w:num="2">
            <w:col w:w="3120" w:space="720"/>
            <w:col w:w="7580"/>
          </w:cols>
          <w:pgMar w:left="240" w:top="334" w:right="239" w:bottom="1440" w:gutter="0" w:footer="0" w:header="0"/>
          <w:type w:val="continuous"/>
        </w:sectPr>
      </w:pPr>
    </w:p>
    <w:p>
      <w:pPr>
        <w:spacing w:after="0" w:line="6" w:lineRule="exact"/>
        <w:rPr>
          <w:sz w:val="20"/>
          <w:szCs w:val="20"/>
          <w:color w:val="auto"/>
        </w:rPr>
      </w:pPr>
    </w:p>
    <w:p>
      <w:pPr>
        <w:ind w:left="880" w:firstLine="810"/>
        <w:spacing w:after="0" w:line="274" w:lineRule="auto"/>
        <w:rPr>
          <w:sz w:val="20"/>
          <w:szCs w:val="20"/>
          <w:color w:val="auto"/>
        </w:rPr>
      </w:pPr>
      <w:r>
        <w:rPr>
          <w:rFonts w:ascii="Arial" w:cs="Arial" w:eastAsia="Arial" w:hAnsi="Arial"/>
          <w:sz w:val="21"/>
          <w:szCs w:val="21"/>
          <w:color w:val="auto"/>
        </w:rPr>
        <w:t>(ii) reduce the principal amount of any Loan or LC Disbursement or reduce the rate of interest thereon, or reduce any fees payable hereunder, without the written consent of each Lender affected thereby,</w:t>
      </w:r>
    </w:p>
    <w:p>
      <w:pPr>
        <w:spacing w:after="0" w:line="151"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postpone the scheduled date of payment of the principal amount of any Loan or LC</w:t>
      </w:r>
    </w:p>
    <w:p>
      <w:pPr>
        <w:sectPr>
          <w:pgSz w:w="11900" w:h="16838" w:orient="portrait"/>
          <w:cols w:equalWidth="0" w:num="1">
            <w:col w:w="11420"/>
          </w:cols>
          <w:pgMar w:left="240" w:top="334" w:right="239" w:bottom="1440" w:gutter="0" w:footer="0" w:header="0"/>
          <w:type w:val="continuous"/>
        </w:sectPr>
      </w:pPr>
    </w:p>
    <w:p>
      <w:pPr>
        <w:spacing w:after="0" w:line="56" w:lineRule="exact"/>
        <w:rPr>
          <w:sz w:val="20"/>
          <w:szCs w:val="20"/>
          <w:color w:val="auto"/>
        </w:rPr>
      </w:pPr>
    </w:p>
    <w:p>
      <w:pPr>
        <w:jc w:val="both"/>
        <w:ind w:left="880"/>
        <w:spacing w:after="0" w:line="230" w:lineRule="auto"/>
        <w:rPr>
          <w:sz w:val="20"/>
          <w:szCs w:val="20"/>
          <w:color w:val="auto"/>
        </w:rPr>
      </w:pPr>
      <w:r>
        <w:rPr>
          <w:rFonts w:ascii="Arial" w:cs="Arial" w:eastAsia="Arial" w:hAnsi="Arial"/>
          <w:sz w:val="22"/>
          <w:szCs w:val="22"/>
          <w:color w:val="auto"/>
        </w:rPr>
        <w:t>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2060" w:type="dxa"/>
            <w:vAlign w:val="bottom"/>
          </w:tcPr>
          <w:p>
            <w:pPr>
              <w:ind w:left="820"/>
              <w:spacing w:after="0"/>
              <w:rPr>
                <w:sz w:val="20"/>
                <w:szCs w:val="20"/>
                <w:color w:val="auto"/>
              </w:rPr>
            </w:pPr>
            <w:r>
              <w:rPr>
                <w:rFonts w:ascii="Arial" w:cs="Arial" w:eastAsia="Arial" w:hAnsi="Arial"/>
                <w:sz w:val="22"/>
                <w:szCs w:val="22"/>
                <w:color w:val="auto"/>
              </w:rPr>
              <w:t>(iv)</w:t>
            </w:r>
          </w:p>
        </w:tc>
        <w:tc>
          <w:tcPr>
            <w:tcW w:w="8480" w:type="dxa"/>
            <w:vAlign w:val="bottom"/>
            <w:gridSpan w:val="7"/>
          </w:tcPr>
          <w:p>
            <w:pPr>
              <w:ind w:left="1020"/>
              <w:spacing w:after="0"/>
              <w:rPr>
                <w:sz w:val="20"/>
                <w:szCs w:val="20"/>
                <w:color w:val="auto"/>
              </w:rPr>
            </w:pPr>
            <w:r>
              <w:rPr>
                <w:rFonts w:ascii="Arial" w:cs="Arial" w:eastAsia="Arial" w:hAnsi="Arial"/>
                <w:sz w:val="22"/>
                <w:szCs w:val="22"/>
                <w:color w:val="auto"/>
                <w:w w:val="90"/>
              </w:rPr>
              <w:t>change Section 2.17(b), (c) or (d) in a manner that would alter the pro rata sharing of</w:t>
            </w:r>
          </w:p>
        </w:tc>
      </w:tr>
      <w:tr>
        <w:trPr>
          <w:trHeight w:val="20"/>
        </w:trPr>
        <w:tc>
          <w:tcPr>
            <w:tcW w:w="3740" w:type="dxa"/>
            <w:vAlign w:val="bottom"/>
            <w:gridSpan w:val="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74"/>
        </w:trPr>
        <w:tc>
          <w:tcPr>
            <w:tcW w:w="10540" w:type="dxa"/>
            <w:vAlign w:val="bottom"/>
            <w:gridSpan w:val="8"/>
          </w:tcPr>
          <w:p>
            <w:pPr>
              <w:spacing w:after="0"/>
              <w:rPr>
                <w:sz w:val="20"/>
                <w:szCs w:val="20"/>
                <w:color w:val="auto"/>
              </w:rPr>
            </w:pPr>
            <w:r>
              <w:rPr>
                <w:rFonts w:ascii="Arial" w:cs="Arial" w:eastAsia="Arial" w:hAnsi="Arial"/>
                <w:sz w:val="22"/>
                <w:szCs w:val="22"/>
                <w:color w:val="auto"/>
              </w:rPr>
              <w:t>payments required thereby without the written consent of each Lender affected thereby, or</w:t>
            </w:r>
          </w:p>
        </w:tc>
      </w:tr>
      <w:tr>
        <w:trPr>
          <w:trHeight w:val="446"/>
        </w:trPr>
        <w:tc>
          <w:tcPr>
            <w:tcW w:w="2060" w:type="dxa"/>
            <w:vAlign w:val="bottom"/>
          </w:tcPr>
          <w:p>
            <w:pPr>
              <w:ind w:left="820"/>
              <w:spacing w:after="0"/>
              <w:rPr>
                <w:sz w:val="20"/>
                <w:szCs w:val="20"/>
                <w:color w:val="auto"/>
              </w:rPr>
            </w:pPr>
            <w:r>
              <w:rPr>
                <w:rFonts w:ascii="Arial" w:cs="Arial" w:eastAsia="Arial" w:hAnsi="Arial"/>
                <w:sz w:val="22"/>
                <w:szCs w:val="22"/>
                <w:color w:val="auto"/>
              </w:rPr>
              <w:t>(v)</w:t>
            </w:r>
          </w:p>
        </w:tc>
        <w:tc>
          <w:tcPr>
            <w:tcW w:w="8480" w:type="dxa"/>
            <w:vAlign w:val="bottom"/>
            <w:gridSpan w:val="7"/>
          </w:tcPr>
          <w:p>
            <w:pPr>
              <w:ind w:left="960"/>
              <w:spacing w:after="0"/>
              <w:rPr>
                <w:sz w:val="20"/>
                <w:szCs w:val="20"/>
                <w:color w:val="auto"/>
              </w:rPr>
            </w:pPr>
            <w:r>
              <w:rPr>
                <w:rFonts w:ascii="Arial" w:cs="Arial" w:eastAsia="Arial" w:hAnsi="Arial"/>
                <w:sz w:val="22"/>
                <w:szCs w:val="22"/>
                <w:color w:val="auto"/>
                <w:w w:val="94"/>
              </w:rPr>
              <w:t>change any of the provisions of this Section or the definition of the term “Required</w:t>
            </w:r>
          </w:p>
        </w:tc>
      </w:tr>
    </w:tbl>
    <w:p>
      <w:pPr>
        <w:jc w:val="both"/>
        <w:ind w:left="880"/>
        <w:spacing w:after="0" w:line="234" w:lineRule="auto"/>
        <w:rPr>
          <w:sz w:val="20"/>
          <w:szCs w:val="20"/>
          <w:color w:val="auto"/>
        </w:rPr>
      </w:pPr>
      <w:r>
        <w:rPr>
          <w:rFonts w:ascii="Arial" w:cs="Arial" w:eastAsia="Arial" w:hAnsi="Arial"/>
          <w:sz w:val="22"/>
          <w:szCs w:val="22"/>
          <w:color w:val="auto"/>
        </w:rPr>
        <w:t>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9"/>
          <w:szCs w:val="19"/>
          <w:u w:val="single" w:color="auto"/>
          <w:color w:val="auto"/>
        </w:rPr>
        <w:t>Section 5.12(b)(ii)(E)</w:t>
      </w:r>
      <w:r>
        <w:rPr>
          <w:rFonts w:ascii="Arial" w:cs="Arial" w:eastAsia="Arial" w:hAnsi="Arial"/>
          <w:sz w:val="19"/>
          <w:szCs w:val="19"/>
          <w:color w:val="auto"/>
        </w:rPr>
        <w:t xml:space="preserve"> and</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(F)</w:t>
      </w:r>
      <w:r>
        <w:rPr>
          <w:rFonts w:ascii="Arial" w:cs="Arial" w:eastAsia="Arial" w:hAnsi="Arial"/>
          <w:sz w:val="22"/>
          <w:szCs w:val="22"/>
          <w:color w:val="auto"/>
        </w:rPr>
        <w:t xml:space="preserve">, but including changes to the provisions of </w:t>
      </w:r>
      <w:r>
        <w:rPr>
          <w:rFonts w:ascii="Arial" w:cs="Arial" w:eastAsia="Arial" w:hAnsi="Arial"/>
          <w:sz w:val="22"/>
          <w:szCs w:val="22"/>
          <w:u w:val="single" w:color="auto"/>
          <w:color w:val="auto"/>
        </w:rPr>
        <w:t>Section 5.12(c)(ii)</w:t>
      </w:r>
      <w:r>
        <w:rPr>
          <w:rFonts w:ascii="Arial" w:cs="Arial" w:eastAsia="Arial" w:hAnsi="Arial"/>
          <w:sz w:val="22"/>
          <w:szCs w:val="22"/>
          <w:color w:val="auto"/>
        </w:rPr>
        <w:t xml:space="preserve"> and the definitions set forth in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any release of any material portion of the Collateral other than for fair value or as otherwise permitted hereunder or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75" w:name="page276"/>
    <w:bookmarkEnd w:id="275"/>
    <w:p>
      <w:pPr>
        <w:jc w:val="both"/>
        <w:ind w:firstLine="1755"/>
        <w:spacing w:after="0" w:line="277" w:lineRule="auto"/>
        <w:rPr>
          <w:sz w:val="20"/>
          <w:szCs w:val="20"/>
          <w:color w:val="auto"/>
        </w:rPr>
      </w:pPr>
      <w:r>
        <w:rPr>
          <w:rFonts w:ascii="Arial" w:cs="Arial" w:eastAsia="Arial" w:hAnsi="Arial"/>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53" w:lineRule="exact"/>
        <w:rPr>
          <w:sz w:val="20"/>
          <w:szCs w:val="20"/>
          <w:color w:val="auto"/>
        </w:rPr>
      </w:pPr>
    </w:p>
    <w:p>
      <w:pPr>
        <w:jc w:val="both"/>
        <w:ind w:firstLine="1755"/>
        <w:spacing w:after="0" w:line="268"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Amendments to Security Documents</w:t>
      </w:r>
      <w:r>
        <w:rPr>
          <w:rFonts w:ascii="Arial" w:cs="Arial" w:eastAsia="Arial" w:hAnsi="Arial"/>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9"/>
          <w:szCs w:val="19"/>
          <w:u w:val="single" w:color="auto"/>
          <w:color w:val="auto"/>
        </w:rPr>
        <w:t>Section 2.08(e)</w:t>
      </w:r>
      <w:r>
        <w:rPr>
          <w:rFonts w:ascii="Arial" w:cs="Arial" w:eastAsia="Arial" w:hAnsi="Arial"/>
          <w:sz w:val="19"/>
          <w:szCs w:val="19"/>
          <w:color w:val="auto"/>
        </w:rPr>
        <w:t xml:space="preserve"> to an amount not greater than $1,250,000,000) except pursuant to an agreement or agreements in writing entered into by the Borrower, and by the Collateral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w:t>
      </w:r>
    </w:p>
    <w:p>
      <w:pPr>
        <w:spacing w:after="0" w:line="7" w:lineRule="exact"/>
        <w:rPr>
          <w:sz w:val="20"/>
          <w:szCs w:val="20"/>
          <w:color w:val="auto"/>
        </w:rPr>
      </w:pPr>
    </w:p>
    <w:p>
      <w:pPr>
        <w:jc w:val="both"/>
        <w:ind w:firstLine="8"/>
        <w:spacing w:after="0" w:line="280" w:lineRule="auto"/>
        <w:tabs>
          <w:tab w:leader="none" w:pos="31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51"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Replacement of Non-Consenting Lender</w:t>
      </w:r>
      <w:r>
        <w:rPr>
          <w:rFonts w:ascii="Arial" w:cs="Arial" w:eastAsia="Arial" w:hAnsi="Arial"/>
          <w:sz w:val="19"/>
          <w:szCs w:val="19"/>
          <w:color w:val="auto"/>
        </w:rPr>
        <w:t xml:space="preserve">. If, in connection with any proposed change, waiver, discharge or termination to any of the provisions of this Agreement as contemplated by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so long as at the time of such replacement, each such replacement Lender consents to the proposed change, waiver, discharge or termination.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6" w:name="page277"/>
    <w:bookmarkEnd w:id="276"/>
    <w:p>
      <w:pPr>
        <w:ind w:left="1760"/>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58"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including the fees, charges and disbursements of any counsel for any Indemnitee, incurred by or asserted against any Indemnitee arising out of; in connection with, or as a result of (i) the execution or delivery of this Agreement or any agreement or instrument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7" w:name="page278"/>
    <w:bookmarkEnd w:id="277"/>
    <w:p>
      <w:pPr>
        <w:jc w:val="both"/>
        <w:spacing w:after="0" w:line="273" w:lineRule="auto"/>
        <w:rPr>
          <w:sz w:val="20"/>
          <w:szCs w:val="20"/>
          <w:color w:val="auto"/>
        </w:rPr>
      </w:pPr>
      <w:r>
        <w:rPr>
          <w:rFonts w:ascii="Arial" w:cs="Arial" w:eastAsia="Arial" w:hAnsi="Arial"/>
          <w:sz w:val="19"/>
          <w:szCs w:val="19"/>
          <w:color w:val="auto"/>
        </w:rPr>
        <w:t xml:space="preserve">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162"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limitation shall not be deemed to impair or affect the Obligations of the Borrower under the preceding provisions of this subsection.</w:t>
      </w:r>
    </w:p>
    <w:p>
      <w:pPr>
        <w:spacing w:after="0" w:line="185"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Reimbursement by Lenders</w:t>
      </w:r>
      <w:r>
        <w:rPr>
          <w:rFonts w:ascii="Arial" w:cs="Arial" w:eastAsia="Arial" w:hAnsi="Arial"/>
          <w:sz w:val="21"/>
          <w:szCs w:val="21"/>
          <w:color w:val="auto"/>
        </w:rPr>
        <w:t xml:space="preserve">. To the extent that the Borrower fails to pay any amount required to be paid by it to the Administrative Agent, any Issuing Bank or any Swingline Lender under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78"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Waiver of Consequential Damages, Etc</w:t>
      </w:r>
      <w:r>
        <w:rPr>
          <w:rFonts w:ascii="Arial" w:cs="Arial" w:eastAsia="Arial" w:hAnsi="Arial"/>
          <w:sz w:val="21"/>
          <w:szCs w:val="21"/>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60"/>
              <w:spacing w:after="0"/>
              <w:rPr>
                <w:sz w:val="20"/>
                <w:szCs w:val="20"/>
                <w:color w:val="auto"/>
              </w:rPr>
            </w:pPr>
            <w:r>
              <w:rPr>
                <w:rFonts w:ascii="Arial" w:cs="Arial" w:eastAsia="Arial" w:hAnsi="Arial"/>
                <w:sz w:val="22"/>
                <w:szCs w:val="22"/>
                <w:color w:val="auto"/>
              </w:rPr>
              <w:t>(e)</w:t>
            </w:r>
          </w:p>
        </w:tc>
        <w:tc>
          <w:tcPr>
            <w:tcW w:w="7480" w:type="dxa"/>
            <w:vAlign w:val="bottom"/>
            <w:gridSpan w:val="2"/>
          </w:tcPr>
          <w:p>
            <w:pPr>
              <w:spacing w:after="0"/>
              <w:rPr>
                <w:sz w:val="20"/>
                <w:szCs w:val="20"/>
                <w:color w:val="auto"/>
              </w:rPr>
            </w:pPr>
            <w:r>
              <w:rPr>
                <w:rFonts w:ascii="Arial" w:cs="Arial" w:eastAsia="Arial" w:hAnsi="Arial"/>
                <w:sz w:val="22"/>
                <w:szCs w:val="22"/>
                <w:color w:val="auto"/>
                <w:w w:val="90"/>
              </w:rPr>
              <w:t>Payments. All amounts due under this Section shall be payable promptly after written</w:t>
            </w:r>
          </w:p>
        </w:tc>
      </w:tr>
      <w:tr>
        <w:trPr>
          <w:trHeight w:val="274"/>
        </w:trPr>
        <w:tc>
          <w:tcPr>
            <w:tcW w:w="3940" w:type="dxa"/>
            <w:vAlign w:val="bottom"/>
          </w:tcPr>
          <w:p>
            <w:pPr>
              <w:spacing w:after="0"/>
              <w:rPr>
                <w:sz w:val="20"/>
                <w:szCs w:val="20"/>
                <w:color w:val="auto"/>
              </w:rPr>
            </w:pPr>
            <w:r>
              <w:rPr>
                <w:rFonts w:ascii="Arial" w:cs="Arial" w:eastAsia="Arial" w:hAnsi="Arial"/>
                <w:sz w:val="22"/>
                <w:szCs w:val="22"/>
                <w:color w:val="auto"/>
              </w:rPr>
              <w:t>demand therefor.</w:t>
            </w:r>
          </w:p>
        </w:tc>
        <w:tc>
          <w:tcPr>
            <w:tcW w:w="840" w:type="dxa"/>
            <w:vAlign w:val="bottom"/>
            <w:tcBorders>
              <w:top w:val="single" w:sz="8" w:color="auto"/>
            </w:tcBorders>
          </w:tcPr>
          <w:p>
            <w:pPr>
              <w:spacing w:after="0"/>
              <w:rPr>
                <w:sz w:val="23"/>
                <w:szCs w:val="23"/>
                <w:color w:val="auto"/>
              </w:rPr>
            </w:pPr>
          </w:p>
        </w:tc>
        <w:tc>
          <w:tcPr>
            <w:tcW w:w="66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8" w:name="page279"/>
    <w:bookmarkEnd w:id="278"/>
    <w:p>
      <w:pPr>
        <w:ind w:left="17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Assignments Generally</w:t>
      </w:r>
      <w:r>
        <w:rPr>
          <w:rFonts w:ascii="Arial" w:cs="Arial" w:eastAsia="Arial" w:hAnsi="Arial"/>
          <w:sz w:val="21"/>
          <w:szCs w:val="21"/>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2140" w:type="dxa"/>
            <w:vAlign w:val="bottom"/>
          </w:tcPr>
          <w:p>
            <w:pPr>
              <w:ind w:left="60"/>
              <w:spacing w:after="0"/>
              <w:rPr>
                <w:sz w:val="20"/>
                <w:szCs w:val="20"/>
                <w:color w:val="auto"/>
              </w:rPr>
            </w:pPr>
            <w:r>
              <w:rPr>
                <w:rFonts w:ascii="Arial" w:cs="Arial" w:eastAsia="Arial" w:hAnsi="Arial"/>
                <w:sz w:val="22"/>
                <w:szCs w:val="22"/>
                <w:color w:val="auto"/>
              </w:rPr>
              <w:t>(b)</w:t>
            </w:r>
          </w:p>
        </w:tc>
        <w:tc>
          <w:tcPr>
            <w:tcW w:w="120" w:type="dxa"/>
            <w:vAlign w:val="bottom"/>
          </w:tcPr>
          <w:p>
            <w:pPr>
              <w:spacing w:after="0"/>
              <w:rPr>
                <w:sz w:val="21"/>
                <w:szCs w:val="21"/>
                <w:color w:val="auto"/>
              </w:rPr>
            </w:pPr>
          </w:p>
        </w:tc>
        <w:tc>
          <w:tcPr>
            <w:tcW w:w="7460" w:type="dxa"/>
            <w:vAlign w:val="bottom"/>
            <w:gridSpan w:val="5"/>
          </w:tcPr>
          <w:p>
            <w:pPr>
              <w:spacing w:after="0"/>
              <w:rPr>
                <w:sz w:val="20"/>
                <w:szCs w:val="20"/>
                <w:color w:val="auto"/>
              </w:rPr>
            </w:pPr>
            <w:r>
              <w:rPr>
                <w:rFonts w:ascii="Arial" w:cs="Arial" w:eastAsia="Arial" w:hAnsi="Arial"/>
                <w:sz w:val="22"/>
                <w:szCs w:val="22"/>
                <w:color w:val="auto"/>
              </w:rPr>
              <w:t>Assignments by Lenders.</w:t>
            </w: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9"/>
        </w:trPr>
        <w:tc>
          <w:tcPr>
            <w:tcW w:w="2140" w:type="dxa"/>
            <w:vAlign w:val="bottom"/>
          </w:tcPr>
          <w:p>
            <w:pPr>
              <w:spacing w:after="0"/>
              <w:rPr>
                <w:sz w:val="20"/>
                <w:szCs w:val="20"/>
                <w:color w:val="auto"/>
              </w:rPr>
            </w:pPr>
            <w:r>
              <w:rPr>
                <w:rFonts w:ascii="Arial" w:cs="Arial" w:eastAsia="Arial" w:hAnsi="Arial"/>
                <w:sz w:val="22"/>
                <w:szCs w:val="22"/>
                <w:color w:val="auto"/>
              </w:rPr>
              <w:t>(i)</w:t>
            </w:r>
          </w:p>
        </w:tc>
        <w:tc>
          <w:tcPr>
            <w:tcW w:w="7580" w:type="dxa"/>
            <w:vAlign w:val="bottom"/>
            <w:gridSpan w:val="6"/>
          </w:tcPr>
          <w:p>
            <w:pPr>
              <w:spacing w:after="0"/>
              <w:rPr>
                <w:sz w:val="20"/>
                <w:szCs w:val="20"/>
                <w:color w:val="auto"/>
              </w:rPr>
            </w:pPr>
            <w:r>
              <w:rPr>
                <w:rFonts w:ascii="Arial" w:cs="Arial" w:eastAsia="Arial" w:hAnsi="Arial"/>
                <w:sz w:val="22"/>
                <w:szCs w:val="22"/>
                <w:color w:val="auto"/>
                <w:w w:val="93"/>
              </w:rPr>
              <w:t>Assignments Generally.  Subject to the conditions set forth in clause (ii) below, any</w:t>
            </w:r>
          </w:p>
        </w:tc>
      </w:tr>
      <w:tr>
        <w:trPr>
          <w:trHeight w:val="20"/>
        </w:trPr>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5" w:lineRule="exact"/>
        <w:rPr>
          <w:sz w:val="20"/>
          <w:szCs w:val="20"/>
          <w:color w:val="auto"/>
        </w:rPr>
      </w:pPr>
    </w:p>
    <w:p>
      <w:pPr>
        <w:jc w:val="both"/>
        <w:ind w:left="1760" w:firstLine="743"/>
        <w:spacing w:after="0" w:line="236" w:lineRule="auto"/>
        <w:rPr>
          <w:sz w:val="20"/>
          <w:szCs w:val="20"/>
          <w:color w:val="auto"/>
        </w:rPr>
      </w:pPr>
      <w:r>
        <w:rPr>
          <w:rFonts w:ascii="Arial" w:cs="Arial" w:eastAsia="Arial" w:hAnsi="Arial"/>
          <w:sz w:val="22"/>
          <w:szCs w:val="22"/>
          <w:color w:val="auto"/>
        </w:rPr>
        <w:t xml:space="preserve">(A)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2040" w:type="dxa"/>
            <w:vAlign w:val="bottom"/>
          </w:tcPr>
          <w:p>
            <w:pPr>
              <w:ind w:left="1620"/>
              <w:spacing w:after="0"/>
              <w:rPr>
                <w:sz w:val="20"/>
                <w:szCs w:val="20"/>
                <w:color w:val="auto"/>
              </w:rPr>
            </w:pPr>
            <w:r>
              <w:rPr>
                <w:rFonts w:ascii="Arial" w:cs="Arial" w:eastAsia="Arial" w:hAnsi="Arial"/>
                <w:sz w:val="22"/>
                <w:szCs w:val="22"/>
                <w:color w:val="auto"/>
              </w:rPr>
              <w:t>(B)</w:t>
            </w:r>
          </w:p>
        </w:tc>
        <w:tc>
          <w:tcPr>
            <w:tcW w:w="980" w:type="dxa"/>
            <w:vAlign w:val="bottom"/>
          </w:tcPr>
          <w:p>
            <w:pPr>
              <w:spacing w:after="0"/>
              <w:rPr>
                <w:sz w:val="21"/>
                <w:szCs w:val="21"/>
                <w:color w:val="auto"/>
              </w:rPr>
            </w:pPr>
          </w:p>
        </w:tc>
        <w:tc>
          <w:tcPr>
            <w:tcW w:w="7520" w:type="dxa"/>
            <w:vAlign w:val="bottom"/>
            <w:gridSpan w:val="4"/>
          </w:tcPr>
          <w:p>
            <w:pPr>
              <w:jc w:val="right"/>
              <w:spacing w:after="0"/>
              <w:rPr>
                <w:sz w:val="20"/>
                <w:szCs w:val="20"/>
                <w:color w:val="auto"/>
              </w:rPr>
            </w:pPr>
            <w:r>
              <w:rPr>
                <w:rFonts w:ascii="Arial" w:cs="Arial" w:eastAsia="Arial" w:hAnsi="Arial"/>
                <w:sz w:val="22"/>
                <w:szCs w:val="22"/>
                <w:color w:val="auto"/>
              </w:rPr>
              <w:t>the Administrative Agent and each Issuing Bank: provided that no</w:t>
            </w:r>
          </w:p>
        </w:tc>
      </w:tr>
      <w:tr>
        <w:trPr>
          <w:trHeight w:val="20"/>
        </w:trPr>
        <w:tc>
          <w:tcPr>
            <w:tcW w:w="30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42"/>
        </w:trPr>
        <w:tc>
          <w:tcPr>
            <w:tcW w:w="10540" w:type="dxa"/>
            <w:vAlign w:val="bottom"/>
            <w:gridSpan w:val="6"/>
          </w:tcPr>
          <w:p>
            <w:pPr>
              <w:jc w:val="right"/>
              <w:ind w:right="20"/>
              <w:spacing w:after="0" w:line="242" w:lineRule="exact"/>
              <w:rPr>
                <w:sz w:val="20"/>
                <w:szCs w:val="20"/>
                <w:color w:val="auto"/>
              </w:rPr>
            </w:pPr>
            <w:r>
              <w:rPr>
                <w:rFonts w:ascii="Arial" w:cs="Arial" w:eastAsia="Arial" w:hAnsi="Arial"/>
                <w:sz w:val="22"/>
                <w:szCs w:val="22"/>
                <w:color w:val="auto"/>
                <w:w w:val="97"/>
              </w:rPr>
              <w:t>consent of the Administrative Agent or the Issuing Banks shall be required for an assignment by a Lender to an</w:t>
            </w:r>
          </w:p>
        </w:tc>
      </w:tr>
      <w:tr>
        <w:trPr>
          <w:trHeight w:val="275"/>
        </w:trPr>
        <w:tc>
          <w:tcPr>
            <w:tcW w:w="10540" w:type="dxa"/>
            <w:vAlign w:val="bottom"/>
            <w:gridSpan w:val="6"/>
          </w:tcPr>
          <w:p>
            <w:pPr>
              <w:ind w:left="880"/>
              <w:spacing w:after="0"/>
              <w:rPr>
                <w:sz w:val="20"/>
                <w:szCs w:val="20"/>
                <w:color w:val="auto"/>
              </w:rPr>
            </w:pPr>
            <w:r>
              <w:rPr>
                <w:rFonts w:ascii="Arial" w:cs="Arial" w:eastAsia="Arial" w:hAnsi="Arial"/>
                <w:sz w:val="22"/>
                <w:szCs w:val="22"/>
                <w:color w:val="auto"/>
              </w:rPr>
              <w:t>Affiliate of such Lender.</w:t>
            </w:r>
          </w:p>
        </w:tc>
      </w:tr>
      <w:tr>
        <w:trPr>
          <w:trHeight w:val="409"/>
        </w:trPr>
        <w:tc>
          <w:tcPr>
            <w:tcW w:w="2040" w:type="dxa"/>
            <w:vAlign w:val="bottom"/>
          </w:tcPr>
          <w:p>
            <w:pPr>
              <w:ind w:left="820"/>
              <w:spacing w:after="0"/>
              <w:rPr>
                <w:sz w:val="20"/>
                <w:szCs w:val="20"/>
                <w:color w:val="auto"/>
              </w:rPr>
            </w:pPr>
            <w:r>
              <w:rPr>
                <w:rFonts w:ascii="Arial" w:cs="Arial" w:eastAsia="Arial" w:hAnsi="Arial"/>
                <w:sz w:val="22"/>
                <w:szCs w:val="22"/>
                <w:color w:val="auto"/>
              </w:rPr>
              <w:t>(ii)</w:t>
            </w:r>
          </w:p>
        </w:tc>
        <w:tc>
          <w:tcPr>
            <w:tcW w:w="8500" w:type="dxa"/>
            <w:vAlign w:val="bottom"/>
            <w:gridSpan w:val="5"/>
          </w:tcPr>
          <w:p>
            <w:pPr>
              <w:jc w:val="right"/>
              <w:spacing w:after="0"/>
              <w:rPr>
                <w:sz w:val="20"/>
                <w:szCs w:val="20"/>
                <w:color w:val="auto"/>
              </w:rPr>
            </w:pPr>
            <w:r>
              <w:rPr>
                <w:rFonts w:ascii="Arial" w:cs="Arial" w:eastAsia="Arial" w:hAnsi="Arial"/>
                <w:sz w:val="22"/>
                <w:szCs w:val="22"/>
                <w:color w:val="auto"/>
              </w:rPr>
              <w:t>Certain Conditions to Assignments.  Assignments shall be subject to the following</w:t>
            </w:r>
          </w:p>
        </w:tc>
      </w:tr>
      <w:tr>
        <w:trPr>
          <w:trHeight w:val="274"/>
        </w:trPr>
        <w:tc>
          <w:tcPr>
            <w:tcW w:w="2040" w:type="dxa"/>
            <w:vAlign w:val="bottom"/>
          </w:tcPr>
          <w:p>
            <w:pPr>
              <w:spacing w:after="0"/>
              <w:rPr>
                <w:sz w:val="20"/>
                <w:szCs w:val="20"/>
                <w:color w:val="auto"/>
              </w:rPr>
            </w:pPr>
            <w:r>
              <w:rPr>
                <w:rFonts w:ascii="Arial" w:cs="Arial" w:eastAsia="Arial" w:hAnsi="Arial"/>
                <w:sz w:val="22"/>
                <w:szCs w:val="22"/>
                <w:color w:val="auto"/>
                <w:w w:val="98"/>
              </w:rPr>
              <w:t>additional conditions:</w:t>
            </w:r>
          </w:p>
        </w:tc>
        <w:tc>
          <w:tcPr>
            <w:tcW w:w="980" w:type="dxa"/>
            <w:vAlign w:val="bottom"/>
          </w:tcPr>
          <w:p>
            <w:pPr>
              <w:spacing w:after="0"/>
              <w:rPr>
                <w:sz w:val="23"/>
                <w:szCs w:val="23"/>
                <w:color w:val="auto"/>
              </w:rPr>
            </w:pPr>
          </w:p>
        </w:tc>
        <w:tc>
          <w:tcPr>
            <w:tcW w:w="3140" w:type="dxa"/>
            <w:vAlign w:val="bottom"/>
            <w:tcBorders>
              <w:top w:val="single" w:sz="8" w:color="auto"/>
            </w:tcBorders>
          </w:tcPr>
          <w:p>
            <w:pPr>
              <w:spacing w:after="0"/>
              <w:rPr>
                <w:sz w:val="23"/>
                <w:szCs w:val="23"/>
                <w:color w:val="auto"/>
              </w:rPr>
            </w:pPr>
          </w:p>
        </w:tc>
        <w:tc>
          <w:tcPr>
            <w:tcW w:w="2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28"/>
        </w:trPr>
        <w:tc>
          <w:tcPr>
            <w:tcW w:w="2040" w:type="dxa"/>
            <w:vAlign w:val="bottom"/>
          </w:tcPr>
          <w:p>
            <w:pPr>
              <w:ind w:left="1620"/>
              <w:spacing w:after="0"/>
              <w:rPr>
                <w:sz w:val="20"/>
                <w:szCs w:val="20"/>
                <w:color w:val="auto"/>
              </w:rPr>
            </w:pPr>
            <w:r>
              <w:rPr>
                <w:rFonts w:ascii="Arial" w:cs="Arial" w:eastAsia="Arial" w:hAnsi="Arial"/>
                <w:sz w:val="22"/>
                <w:szCs w:val="22"/>
                <w:color w:val="auto"/>
              </w:rPr>
              <w:t>(A)</w:t>
            </w:r>
          </w:p>
        </w:tc>
        <w:tc>
          <w:tcPr>
            <w:tcW w:w="980" w:type="dxa"/>
            <w:vAlign w:val="bottom"/>
          </w:tcPr>
          <w:p>
            <w:pPr>
              <w:spacing w:after="0"/>
              <w:rPr>
                <w:sz w:val="24"/>
                <w:szCs w:val="24"/>
                <w:color w:val="auto"/>
              </w:rPr>
            </w:pPr>
          </w:p>
        </w:tc>
        <w:tc>
          <w:tcPr>
            <w:tcW w:w="7520" w:type="dxa"/>
            <w:vAlign w:val="bottom"/>
            <w:gridSpan w:val="4"/>
          </w:tcPr>
          <w:p>
            <w:pPr>
              <w:jc w:val="right"/>
              <w:spacing w:after="0"/>
              <w:rPr>
                <w:sz w:val="20"/>
                <w:szCs w:val="20"/>
                <w:color w:val="auto"/>
              </w:rPr>
            </w:pPr>
            <w:r>
              <w:rPr>
                <w:rFonts w:ascii="Arial" w:cs="Arial" w:eastAsia="Arial" w:hAnsi="Arial"/>
                <w:sz w:val="22"/>
                <w:szCs w:val="22"/>
                <w:color w:val="auto"/>
              </w:rPr>
              <w:t>except in the case of an Assignment to a Lender or an Affiliate of a</w:t>
            </w:r>
          </w:p>
        </w:tc>
      </w:tr>
      <w:tr>
        <w:trPr>
          <w:trHeight w:val="243"/>
        </w:trPr>
        <w:tc>
          <w:tcPr>
            <w:tcW w:w="10540" w:type="dxa"/>
            <w:vAlign w:val="bottom"/>
            <w:gridSpan w:val="6"/>
          </w:tcPr>
          <w:p>
            <w:pPr>
              <w:jc w:val="right"/>
              <w:spacing w:after="0" w:line="243" w:lineRule="exact"/>
              <w:rPr>
                <w:sz w:val="20"/>
                <w:szCs w:val="20"/>
                <w:color w:val="auto"/>
              </w:rPr>
            </w:pPr>
            <w:r>
              <w:rPr>
                <w:rFonts w:ascii="Arial" w:cs="Arial" w:eastAsia="Arial" w:hAnsi="Arial"/>
                <w:sz w:val="22"/>
                <w:szCs w:val="22"/>
                <w:color w:val="auto"/>
                <w:w w:val="98"/>
              </w:rPr>
              <w:t>Lender or an assignment of the entire remaining amount of the assigning Lender’s Commitment or Loans and</w:t>
            </w:r>
          </w:p>
        </w:tc>
      </w:tr>
      <w:tr>
        <w:trPr>
          <w:trHeight w:val="243"/>
        </w:trPr>
        <w:tc>
          <w:tcPr>
            <w:tcW w:w="10540" w:type="dxa"/>
            <w:vAlign w:val="bottom"/>
            <w:gridSpan w:val="6"/>
          </w:tcPr>
          <w:p>
            <w:pPr>
              <w:jc w:val="right"/>
              <w:spacing w:after="0" w:line="243" w:lineRule="exact"/>
              <w:rPr>
                <w:sz w:val="20"/>
                <w:szCs w:val="20"/>
                <w:color w:val="auto"/>
              </w:rPr>
            </w:pPr>
            <w:r>
              <w:rPr>
                <w:rFonts w:ascii="Arial" w:cs="Arial" w:eastAsia="Arial" w:hAnsi="Arial"/>
                <w:sz w:val="22"/>
                <w:szCs w:val="22"/>
                <w:color w:val="auto"/>
              </w:rPr>
              <w:t>LC Exposure of a Class, the amount of the Commitment or Loans and LC Exposure of such Class of the</w:t>
            </w:r>
          </w:p>
        </w:tc>
      </w:tr>
      <w:tr>
        <w:trPr>
          <w:trHeight w:val="243"/>
        </w:trPr>
        <w:tc>
          <w:tcPr>
            <w:tcW w:w="10540" w:type="dxa"/>
            <w:vAlign w:val="bottom"/>
            <w:gridSpan w:val="6"/>
          </w:tcPr>
          <w:p>
            <w:pPr>
              <w:jc w:val="right"/>
              <w:spacing w:after="0" w:line="243" w:lineRule="exact"/>
              <w:rPr>
                <w:sz w:val="20"/>
                <w:szCs w:val="20"/>
                <w:color w:val="auto"/>
              </w:rPr>
            </w:pPr>
            <w:r>
              <w:rPr>
                <w:rFonts w:ascii="Arial" w:cs="Arial" w:eastAsia="Arial" w:hAnsi="Arial"/>
                <w:sz w:val="22"/>
                <w:szCs w:val="22"/>
                <w:color w:val="auto"/>
                <w:w w:val="97"/>
              </w:rPr>
              <w:t>assigning Lender subject to each such assignment (determined as of the date the Assignment and Assumption</w:t>
            </w:r>
          </w:p>
        </w:tc>
      </w:tr>
      <w:tr>
        <w:trPr>
          <w:trHeight w:val="261"/>
        </w:trPr>
        <w:tc>
          <w:tcPr>
            <w:tcW w:w="2040" w:type="dxa"/>
            <w:vAlign w:val="bottom"/>
          </w:tcPr>
          <w:p>
            <w:pPr>
              <w:ind w:left="880"/>
              <w:spacing w:after="0"/>
              <w:rPr>
                <w:sz w:val="20"/>
                <w:szCs w:val="20"/>
                <w:color w:val="auto"/>
              </w:rPr>
            </w:pPr>
            <w:r>
              <w:rPr>
                <w:rFonts w:ascii="Arial" w:cs="Arial" w:eastAsia="Arial" w:hAnsi="Arial"/>
                <w:sz w:val="22"/>
                <w:szCs w:val="22"/>
                <w:color w:val="auto"/>
                <w:w w:val="97"/>
              </w:rPr>
              <w:t>with respect</w:t>
            </w:r>
          </w:p>
        </w:tc>
        <w:tc>
          <w:tcPr>
            <w:tcW w:w="8500" w:type="dxa"/>
            <w:vAlign w:val="bottom"/>
            <w:gridSpan w:val="5"/>
          </w:tcPr>
          <w:p>
            <w:pPr>
              <w:jc w:val="right"/>
              <w:spacing w:after="0"/>
              <w:rPr>
                <w:sz w:val="20"/>
                <w:szCs w:val="20"/>
                <w:color w:val="auto"/>
              </w:rPr>
            </w:pPr>
            <w:r>
              <w:rPr>
                <w:rFonts w:ascii="Arial" w:cs="Arial" w:eastAsia="Arial" w:hAnsi="Arial"/>
                <w:sz w:val="22"/>
                <w:szCs w:val="22"/>
                <w:color w:val="auto"/>
              </w:rPr>
              <w:t>to such Assignment is delivered to the Administrative Agent) shall not be less than U.S.</w:t>
            </w:r>
          </w:p>
        </w:tc>
      </w:tr>
    </w:tbl>
    <w:p>
      <w:pPr>
        <w:ind w:left="1760"/>
        <w:spacing w:after="0" w:line="256" w:lineRule="auto"/>
        <w:rPr>
          <w:sz w:val="20"/>
          <w:szCs w:val="20"/>
          <w:color w:val="auto"/>
        </w:rPr>
      </w:pPr>
      <w:r>
        <w:rPr>
          <w:rFonts w:ascii="Arial" w:cs="Arial" w:eastAsia="Arial" w:hAnsi="Arial"/>
          <w:sz w:val="21"/>
          <w:szCs w:val="21"/>
          <w:color w:val="auto"/>
        </w:rPr>
        <w:t xml:space="preserve">$5,000,000 unless each of the Borrower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consent of the Borrower shall be required if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9" w:name="page280"/>
    <w:bookmarkEnd w:id="279"/>
    <w:p>
      <w:pPr>
        <w:jc w:val="both"/>
        <w:ind w:left="880" w:right="20" w:firstLine="743"/>
        <w:spacing w:after="0" w:line="258" w:lineRule="auto"/>
        <w:rPr>
          <w:sz w:val="20"/>
          <w:szCs w:val="20"/>
          <w:color w:val="auto"/>
        </w:rPr>
      </w:pPr>
      <w:r>
        <w:rPr>
          <w:rFonts w:ascii="Arial" w:cs="Arial" w:eastAsia="Arial" w:hAnsi="Arial"/>
          <w:sz w:val="21"/>
          <w:szCs w:val="21"/>
          <w:color w:val="auto"/>
        </w:rPr>
        <w:t>(B) 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67" w:lineRule="exact"/>
        <w:rPr>
          <w:sz w:val="20"/>
          <w:szCs w:val="20"/>
          <w:color w:val="auto"/>
        </w:rPr>
      </w:pPr>
    </w:p>
    <w:p>
      <w:pPr>
        <w:jc w:val="both"/>
        <w:ind w:left="880" w:firstLine="743"/>
        <w:spacing w:after="0" w:line="236" w:lineRule="auto"/>
        <w:rPr>
          <w:sz w:val="20"/>
          <w:szCs w:val="20"/>
          <w:color w:val="auto"/>
        </w:rPr>
      </w:pPr>
      <w:r>
        <w:rPr>
          <w:rFonts w:ascii="Arial" w:cs="Arial" w:eastAsia="Arial" w:hAnsi="Arial"/>
          <w:sz w:val="22"/>
          <w:szCs w:val="22"/>
          <w:color w:val="auto"/>
        </w:rPr>
        <w:t xml:space="preserve">(C) the parties to each assignment shall execute and deliver to the Administrative Agent an Assignment and Assumption in substantially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2260" w:type="dxa"/>
            <w:vAlign w:val="bottom"/>
          </w:tcPr>
          <w:p>
            <w:pPr>
              <w:ind w:left="800"/>
              <w:spacing w:after="0"/>
              <w:rPr>
                <w:sz w:val="20"/>
                <w:szCs w:val="20"/>
                <w:color w:val="auto"/>
              </w:rPr>
            </w:pPr>
            <w:r>
              <w:rPr>
                <w:rFonts w:ascii="Arial" w:cs="Arial" w:eastAsia="Arial" w:hAnsi="Arial"/>
                <w:sz w:val="22"/>
                <w:szCs w:val="22"/>
                <w:color w:val="auto"/>
              </w:rPr>
              <w:t>(D)</w:t>
            </w:r>
          </w:p>
        </w:tc>
        <w:tc>
          <w:tcPr>
            <w:tcW w:w="7460" w:type="dxa"/>
            <w:vAlign w:val="bottom"/>
            <w:gridSpan w:val="2"/>
          </w:tcPr>
          <w:p>
            <w:pPr>
              <w:jc w:val="right"/>
              <w:spacing w:after="0"/>
              <w:rPr>
                <w:sz w:val="20"/>
                <w:szCs w:val="20"/>
                <w:color w:val="auto"/>
              </w:rPr>
            </w:pPr>
            <w:r>
              <w:rPr>
                <w:rFonts w:ascii="Arial" w:cs="Arial" w:eastAsia="Arial" w:hAnsi="Arial"/>
                <w:sz w:val="22"/>
                <w:szCs w:val="22"/>
                <w:color w:val="auto"/>
              </w:rPr>
              <w:t>the assignee, if it shall not already be a Lender of the applicable</w:t>
            </w:r>
          </w:p>
        </w:tc>
      </w:tr>
      <w:tr>
        <w:trPr>
          <w:trHeight w:val="275"/>
        </w:trPr>
        <w:tc>
          <w:tcPr>
            <w:tcW w:w="9720" w:type="dxa"/>
            <w:vAlign w:val="bottom"/>
            <w:gridSpan w:val="3"/>
          </w:tcPr>
          <w:p>
            <w:pPr>
              <w:ind w:left="60"/>
              <w:spacing w:after="0"/>
              <w:rPr>
                <w:sz w:val="20"/>
                <w:szCs w:val="20"/>
                <w:color w:val="auto"/>
              </w:rPr>
            </w:pPr>
            <w:r>
              <w:rPr>
                <w:rFonts w:ascii="Arial" w:cs="Arial" w:eastAsia="Arial" w:hAnsi="Arial"/>
                <w:sz w:val="22"/>
                <w:szCs w:val="22"/>
                <w:color w:val="auto"/>
              </w:rPr>
              <w:t>Class, shall deliver to the Administrative Agent an Administrative Questionnaire; and</w:t>
            </w:r>
          </w:p>
        </w:tc>
      </w:tr>
      <w:tr>
        <w:trPr>
          <w:trHeight w:val="428"/>
        </w:trPr>
        <w:tc>
          <w:tcPr>
            <w:tcW w:w="2260" w:type="dxa"/>
            <w:vAlign w:val="bottom"/>
          </w:tcPr>
          <w:p>
            <w:pPr>
              <w:ind w:left="800"/>
              <w:spacing w:after="0"/>
              <w:rPr>
                <w:sz w:val="20"/>
                <w:szCs w:val="20"/>
                <w:color w:val="auto"/>
              </w:rPr>
            </w:pPr>
            <w:r>
              <w:rPr>
                <w:rFonts w:ascii="Arial" w:cs="Arial" w:eastAsia="Arial" w:hAnsi="Arial"/>
                <w:sz w:val="22"/>
                <w:szCs w:val="22"/>
                <w:color w:val="auto"/>
              </w:rPr>
              <w:t>(E)</w:t>
            </w:r>
          </w:p>
        </w:tc>
        <w:tc>
          <w:tcPr>
            <w:tcW w:w="7460" w:type="dxa"/>
            <w:vAlign w:val="bottom"/>
            <w:gridSpan w:val="2"/>
          </w:tcPr>
          <w:p>
            <w:pPr>
              <w:jc w:val="right"/>
              <w:spacing w:after="0"/>
              <w:rPr>
                <w:sz w:val="20"/>
                <w:szCs w:val="20"/>
                <w:color w:val="auto"/>
              </w:rPr>
            </w:pPr>
            <w:r>
              <w:rPr>
                <w:rFonts w:ascii="Arial" w:cs="Arial" w:eastAsia="Arial" w:hAnsi="Arial"/>
                <w:sz w:val="22"/>
                <w:szCs w:val="22"/>
                <w:color w:val="auto"/>
              </w:rPr>
              <w:t>the assignee shall deliver to the Borrower and the Administrative</w:t>
            </w:r>
          </w:p>
        </w:tc>
      </w:tr>
      <w:tr>
        <w:trPr>
          <w:trHeight w:val="275"/>
        </w:trPr>
        <w:tc>
          <w:tcPr>
            <w:tcW w:w="9720" w:type="dxa"/>
            <w:vAlign w:val="bottom"/>
            <w:gridSpan w:val="3"/>
          </w:tcPr>
          <w:p>
            <w:pPr>
              <w:ind w:left="60"/>
              <w:spacing w:after="0"/>
              <w:rPr>
                <w:sz w:val="20"/>
                <w:szCs w:val="20"/>
                <w:color w:val="auto"/>
              </w:rPr>
            </w:pPr>
            <w:r>
              <w:rPr>
                <w:rFonts w:ascii="Arial" w:cs="Arial" w:eastAsia="Arial" w:hAnsi="Arial"/>
                <w:sz w:val="22"/>
                <w:szCs w:val="22"/>
                <w:color w:val="auto"/>
              </w:rPr>
              <w:t>Agent those documents specified in Section 2.16(f).</w:t>
            </w:r>
          </w:p>
        </w:tc>
      </w:tr>
      <w:tr>
        <w:trPr>
          <w:trHeight w:val="409"/>
        </w:trPr>
        <w:tc>
          <w:tcPr>
            <w:tcW w:w="2260" w:type="dxa"/>
            <w:vAlign w:val="bottom"/>
          </w:tcPr>
          <w:p>
            <w:pPr>
              <w:spacing w:after="0"/>
              <w:rPr>
                <w:sz w:val="20"/>
                <w:szCs w:val="20"/>
                <w:color w:val="auto"/>
              </w:rPr>
            </w:pPr>
            <w:r>
              <w:rPr>
                <w:rFonts w:ascii="Arial" w:cs="Arial" w:eastAsia="Arial" w:hAnsi="Arial"/>
                <w:sz w:val="22"/>
                <w:szCs w:val="22"/>
                <w:color w:val="auto"/>
              </w:rPr>
              <w:t>(iii)</w:t>
            </w:r>
          </w:p>
        </w:tc>
        <w:tc>
          <w:tcPr>
            <w:tcW w:w="7460" w:type="dxa"/>
            <w:vAlign w:val="bottom"/>
            <w:gridSpan w:val="2"/>
          </w:tcPr>
          <w:p>
            <w:pPr>
              <w:jc w:val="right"/>
              <w:ind w:right="20"/>
              <w:spacing w:after="0"/>
              <w:rPr>
                <w:sz w:val="20"/>
                <w:szCs w:val="20"/>
                <w:color w:val="auto"/>
              </w:rPr>
            </w:pPr>
            <w:r>
              <w:rPr>
                <w:rFonts w:ascii="Arial" w:cs="Arial" w:eastAsia="Arial" w:hAnsi="Arial"/>
                <w:sz w:val="22"/>
                <w:szCs w:val="22"/>
                <w:color w:val="auto"/>
                <w:w w:val="90"/>
              </w:rPr>
              <w:t>Effectiveness of Assignments. Subject to acceptance and recording thereof pursuant</w:t>
            </w:r>
          </w:p>
        </w:tc>
      </w:tr>
      <w:tr>
        <w:trPr>
          <w:trHeight w:val="20"/>
        </w:trPr>
        <w:tc>
          <w:tcPr>
            <w:tcW w:w="22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9"/>
          <w:szCs w:val="19"/>
          <w:u w:val="single" w:color="auto"/>
          <w:color w:val="auto"/>
        </w:rPr>
        <w:t>Section 9.04(b)(ii)</w:t>
      </w:r>
      <w:r>
        <w:rPr>
          <w:rFonts w:ascii="Arial" w:cs="Arial" w:eastAsia="Arial" w:hAnsi="Arial"/>
          <w:sz w:val="19"/>
          <w:szCs w:val="19"/>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4680"/>
        <w:spacing w:after="0"/>
        <w:tabs>
          <w:tab w:leader="none" w:pos="84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214630</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280" w:name="page281"/>
    <w:bookmarkEnd w:id="280"/>
    <w:p>
      <w:pPr>
        <w:jc w:val="both"/>
        <w:ind w:left="880"/>
        <w:spacing w:after="0"/>
        <w:rPr>
          <w:sz w:val="20"/>
          <w:szCs w:val="20"/>
          <w:color w:val="auto"/>
        </w:rPr>
      </w:pPr>
      <w:r>
        <w:rPr>
          <w:rFonts w:ascii="Arial" w:cs="Arial" w:eastAsia="Arial" w:hAnsi="Arial"/>
          <w:sz w:val="22"/>
          <w:szCs w:val="22"/>
          <w:color w:val="auto"/>
        </w:rPr>
        <w:t>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6" w:lineRule="exact"/>
        <w:rPr>
          <w:sz w:val="20"/>
          <w:szCs w:val="20"/>
          <w:color w:val="auto"/>
        </w:rPr>
      </w:pPr>
    </w:p>
    <w:p>
      <w:pPr>
        <w:ind w:left="1760"/>
        <w:spacing w:after="0"/>
        <w:tabs>
          <w:tab w:leader="none" w:pos="3920" w:val="left"/>
          <w:tab w:leader="none" w:pos="89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u w:val="single" w:color="auto"/>
          <w:color w:val="auto"/>
        </w:rPr>
        <w:t>Maintenance of Registers by Administrative Agent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Administrative Agent,</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9"/>
          <w:szCs w:val="19"/>
          <w:u w:val="single" w:color="auto"/>
          <w:color w:val="auto"/>
        </w:rPr>
        <w:t>Registers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55" w:lineRule="exact"/>
        <w:rPr>
          <w:sz w:val="20"/>
          <w:szCs w:val="20"/>
          <w:color w:val="auto"/>
        </w:rPr>
      </w:pPr>
    </w:p>
    <w:p>
      <w:pPr>
        <w:ind w:left="1760"/>
        <w:spacing w:after="0"/>
        <w:tabs>
          <w:tab w:leader="none" w:pos="3940" w:val="left"/>
          <w:tab w:leader="none" w:pos="89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Acceptance of Assignments by Administrative Agent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Upon its receipt of a duly</w:t>
      </w:r>
    </w:p>
    <w:p>
      <w:pPr>
        <w:spacing w:after="0" w:line="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9"/>
          <w:szCs w:val="19"/>
          <w:u w:val="single" w:color="auto"/>
          <w:color w:val="auto"/>
        </w:rPr>
        <w:t>paragraph</w:t>
      </w:r>
    </w:p>
    <w:p>
      <w:pPr>
        <w:jc w:val="both"/>
        <w:ind w:firstLine="8"/>
        <w:spacing w:after="0" w:line="287" w:lineRule="auto"/>
        <w:tabs>
          <w:tab w:leader="none" w:pos="314" w:val="left"/>
        </w:tabs>
        <w:numPr>
          <w:ilvl w:val="0"/>
          <w:numId w:val="158"/>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44"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Special Purposes Vehicles</w:t>
      </w:r>
      <w:r>
        <w:rPr>
          <w:rFonts w:ascii="Arial" w:cs="Arial" w:eastAsia="Arial" w:hAnsi="Arial"/>
          <w:sz w:val="19"/>
          <w:szCs w:val="19"/>
          <w:color w:val="auto"/>
        </w:rPr>
        <w:t>. 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1" w:name="page282"/>
    <w:bookmarkEnd w:id="281"/>
    <w:p>
      <w:pPr>
        <w:jc w:val="both"/>
        <w:ind w:firstLine="1755"/>
        <w:spacing w:after="0" w:line="268" w:lineRule="auto"/>
        <w:rPr>
          <w:sz w:val="20"/>
          <w:szCs w:val="20"/>
          <w:color w:val="auto"/>
        </w:rPr>
      </w:pPr>
      <w:r>
        <w:rPr>
          <w:rFonts w:ascii="Arial" w:cs="Arial" w:eastAsia="Arial" w:hAnsi="Arial"/>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below, and</w:t>
      </w:r>
    </w:p>
    <w:p>
      <w:pPr>
        <w:spacing w:after="0" w:line="7" w:lineRule="exact"/>
        <w:rPr>
          <w:sz w:val="20"/>
          <w:szCs w:val="20"/>
          <w:color w:val="auto"/>
        </w:rPr>
      </w:pPr>
    </w:p>
    <w:p>
      <w:pPr>
        <w:jc w:val="both"/>
        <w:ind w:firstLine="8"/>
        <w:spacing w:after="0" w:line="234" w:lineRule="auto"/>
        <w:tabs>
          <w:tab w:leader="none" w:pos="33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disclose on a confidential basis (in the same manner described in </w:t>
      </w:r>
      <w:r>
        <w:rPr>
          <w:rFonts w:ascii="Arial" w:cs="Arial" w:eastAsia="Arial" w:hAnsi="Arial"/>
          <w:sz w:val="22"/>
          <w:szCs w:val="22"/>
          <w:u w:val="single" w:color="auto"/>
          <w:color w:val="auto"/>
        </w:rPr>
        <w:t>Section 9.13(b)</w:t>
      </w:r>
      <w:r>
        <w:rPr>
          <w:rFonts w:ascii="Arial" w:cs="Arial" w:eastAsia="Arial" w:hAnsi="Arial"/>
          <w:sz w:val="22"/>
          <w:szCs w:val="22"/>
          <w:color w:val="auto"/>
        </w:rPr>
        <w:t>) any non-public information relating to its Loans to any rating agency, commercial paper dealer or provider of a surety, guarantee or credit or liquidity enhancement to such SPC.</w:t>
      </w:r>
    </w:p>
    <w:p>
      <w:pPr>
        <w:spacing w:after="0" w:line="187"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 the consent of the Borrower (such consent not to be unreasonably withheld or delayed),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2" w:name="page283"/>
    <w:bookmarkEnd w:id="282"/>
    <w:p>
      <w:pPr>
        <w:jc w:val="both"/>
        <w:spacing w:after="0" w:line="270" w:lineRule="auto"/>
        <w:rPr>
          <w:sz w:val="20"/>
          <w:szCs w:val="20"/>
          <w:color w:val="auto"/>
        </w:rPr>
      </w:pPr>
      <w:r>
        <w:rPr>
          <w:rFonts w:ascii="Arial" w:cs="Arial" w:eastAsia="Arial" w:hAnsi="Arial"/>
          <w:sz w:val="19"/>
          <w:szCs w:val="19"/>
          <w:color w:val="auto"/>
        </w:rPr>
        <w:t xml:space="preserve">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Participant shall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granted to such Participant and such Participant shall have complied with the requirements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if such Participant is a Lender.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16"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Limitations on Rights of Participants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paragraphs (e)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59"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 xml:space="preserve">(h) </w:t>
      </w: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3" w:name="page284"/>
    <w:bookmarkEnd w:id="283"/>
    <w:p>
      <w:pPr>
        <w:ind w:left="1760"/>
        <w:spacing w:after="0"/>
        <w:tabs>
          <w:tab w:leader="none" w:pos="3900" w:val="left"/>
          <w:tab w:leader="none" w:pos="8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u w:val="single" w:color="auto"/>
          <w:color w:val="auto"/>
        </w:rPr>
        <w:t>No Assignments to the Borrower or Affiliates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Anything in this Section to the</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contrary notwithstanding, no Lender may assign or participate any interest in any Loan or LC Exposure held by it hereunder to the Borrower or any of its Affiliates or Subsidiaries without the prior consent of each Lender.</w:t>
      </w:r>
    </w:p>
    <w:p>
      <w:pPr>
        <w:spacing w:after="0" w:line="185"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 w:leader="none" w:pos="7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Counterparts; Integration; Effectiveness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This Agreement may be executed in</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57"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Electronic Execution of Assignments</w:t>
      </w:r>
      <w:r>
        <w:rPr>
          <w:rFonts w:ascii="Arial" w:cs="Arial" w:eastAsia="Arial" w:hAnsi="Arial"/>
          <w:sz w:val="21"/>
          <w:szCs w:val="21"/>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4" w:name="page285"/>
    <w:bookmarkEnd w:id="284"/>
    <w:p>
      <w:pPr>
        <w:jc w:val="both"/>
        <w:ind w:firstLine="1755"/>
        <w:spacing w:after="0" w:line="238"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9"/>
          <w:szCs w:val="19"/>
          <w:u w:val="single" w:color="auto"/>
          <w:color w:val="auto"/>
        </w:rPr>
        <w:t>Sections 2.17(d)</w:t>
      </w:r>
      <w:r>
        <w:rPr>
          <w:rFonts w:ascii="Arial" w:cs="Arial" w:eastAsia="Arial" w:hAnsi="Arial"/>
          <w:sz w:val="19"/>
          <w:szCs w:val="19"/>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60"/>
              <w:spacing w:after="0"/>
              <w:rPr>
                <w:sz w:val="20"/>
                <w:szCs w:val="20"/>
                <w:color w:val="auto"/>
              </w:rPr>
            </w:pPr>
            <w:r>
              <w:rPr>
                <w:rFonts w:ascii="Arial" w:cs="Arial" w:eastAsia="Arial" w:hAnsi="Arial"/>
                <w:sz w:val="22"/>
                <w:szCs w:val="22"/>
                <w:color w:val="auto"/>
              </w:rPr>
              <w:t>(a)</w:t>
            </w:r>
          </w:p>
        </w:tc>
        <w:tc>
          <w:tcPr>
            <w:tcW w:w="7480" w:type="dxa"/>
            <w:vAlign w:val="bottom"/>
            <w:gridSpan w:val="4"/>
          </w:tcPr>
          <w:p>
            <w:pPr>
              <w:spacing w:after="0"/>
              <w:rPr>
                <w:sz w:val="20"/>
                <w:szCs w:val="20"/>
                <w:color w:val="auto"/>
              </w:rPr>
            </w:pPr>
            <w:r>
              <w:rPr>
                <w:rFonts w:ascii="Arial" w:cs="Arial" w:eastAsia="Arial" w:hAnsi="Arial"/>
                <w:sz w:val="22"/>
                <w:szCs w:val="22"/>
                <w:color w:val="auto"/>
                <w:w w:val="89"/>
              </w:rPr>
              <w:t>Governing Law. This Agreement shall be construed in accordance with and governed</w:t>
            </w:r>
          </w:p>
        </w:tc>
      </w:tr>
      <w:tr>
        <w:trPr>
          <w:trHeight w:val="274"/>
        </w:trPr>
        <w:tc>
          <w:tcPr>
            <w:tcW w:w="3940" w:type="dxa"/>
            <w:vAlign w:val="bottom"/>
          </w:tcPr>
          <w:p>
            <w:pPr>
              <w:spacing w:after="0"/>
              <w:rPr>
                <w:sz w:val="20"/>
                <w:szCs w:val="20"/>
                <w:color w:val="auto"/>
              </w:rPr>
            </w:pPr>
            <w:r>
              <w:rPr>
                <w:rFonts w:ascii="Arial" w:cs="Arial" w:eastAsia="Arial" w:hAnsi="Arial"/>
                <w:sz w:val="22"/>
                <w:szCs w:val="22"/>
                <w:color w:val="auto"/>
              </w:rPr>
              <w:t>by the law of the State of New York.</w:t>
            </w:r>
          </w:p>
        </w:tc>
        <w:tc>
          <w:tcPr>
            <w:tcW w:w="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20" w:type="dxa"/>
            <w:vAlign w:val="bottom"/>
          </w:tcPr>
          <w:p>
            <w:pPr>
              <w:spacing w:after="0"/>
              <w:rPr>
                <w:sz w:val="23"/>
                <w:szCs w:val="23"/>
                <w:color w:val="auto"/>
              </w:rPr>
            </w:pPr>
          </w:p>
        </w:tc>
        <w:tc>
          <w:tcPr>
            <w:tcW w:w="5100" w:type="dxa"/>
            <w:vAlign w:val="bottom"/>
          </w:tcPr>
          <w:p>
            <w:pPr>
              <w:spacing w:after="0"/>
              <w:rPr>
                <w:sz w:val="23"/>
                <w:szCs w:val="23"/>
                <w:color w:val="auto"/>
              </w:rPr>
            </w:pPr>
          </w:p>
        </w:tc>
      </w:tr>
      <w:tr>
        <w:trPr>
          <w:trHeight w:val="409"/>
        </w:trPr>
        <w:tc>
          <w:tcPr>
            <w:tcW w:w="3940" w:type="dxa"/>
            <w:vAlign w:val="bottom"/>
          </w:tcPr>
          <w:p>
            <w:pPr>
              <w:ind w:left="1760"/>
              <w:spacing w:after="0"/>
              <w:rPr>
                <w:sz w:val="20"/>
                <w:szCs w:val="20"/>
                <w:color w:val="auto"/>
              </w:rPr>
            </w:pPr>
            <w:r>
              <w:rPr>
                <w:rFonts w:ascii="Arial" w:cs="Arial" w:eastAsia="Arial" w:hAnsi="Arial"/>
                <w:sz w:val="22"/>
                <w:szCs w:val="22"/>
                <w:color w:val="auto"/>
              </w:rPr>
              <w:t>(b)</w:t>
            </w:r>
          </w:p>
        </w:tc>
        <w:tc>
          <w:tcPr>
            <w:tcW w:w="20" w:type="dxa"/>
            <w:vAlign w:val="bottom"/>
          </w:tcPr>
          <w:p>
            <w:pPr>
              <w:spacing w:after="0"/>
              <w:rPr>
                <w:sz w:val="24"/>
                <w:szCs w:val="24"/>
                <w:color w:val="auto"/>
              </w:rPr>
            </w:pPr>
          </w:p>
        </w:tc>
        <w:tc>
          <w:tcPr>
            <w:tcW w:w="7460" w:type="dxa"/>
            <w:vAlign w:val="bottom"/>
            <w:gridSpan w:val="3"/>
          </w:tcPr>
          <w:p>
            <w:pPr>
              <w:spacing w:after="0"/>
              <w:rPr>
                <w:sz w:val="20"/>
                <w:szCs w:val="20"/>
                <w:color w:val="auto"/>
              </w:rPr>
            </w:pPr>
            <w:r>
              <w:rPr>
                <w:rFonts w:ascii="Arial" w:cs="Arial" w:eastAsia="Arial" w:hAnsi="Arial"/>
                <w:sz w:val="22"/>
                <w:szCs w:val="22"/>
                <w:color w:val="auto"/>
                <w:w w:val="94"/>
              </w:rPr>
              <w:t>Submission to Jurisdiction.  The Borrower hereby irrevocably and unconditionally</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5" w:name="page286"/>
    <w:bookmarkEnd w:id="285"/>
    <w:p>
      <w:pPr>
        <w:jc w:val="both"/>
        <w:ind w:firstLine="1755"/>
        <w:spacing w:after="0" w:line="236"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Waiver of Venue</w:t>
      </w:r>
      <w:r>
        <w:rPr>
          <w:rFonts w:ascii="Arial" w:cs="Arial" w:eastAsia="Arial" w:hAnsi="Arial"/>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to this Agreement (i)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and (ii) agrees that service as provided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88"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firstLine="8"/>
        <w:spacing w:after="0" w:line="256" w:lineRule="auto"/>
        <w:tabs>
          <w:tab w:leader="none" w:pos="35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ACKNOWLEDGES THAT IT AND THE OTHER PARTIES HERETO HAVE BEEN INDUCED TO ENTER INTO THIS AGREEMENT BY, AMONG OTHER THINGS. THE MUTUAL WAIVERS AND CERTIFICATIONS IN THIS SECTION.</w:t>
      </w:r>
    </w:p>
    <w:p>
      <w:pPr>
        <w:spacing w:after="0" w:line="169"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Judgment Currency</w:t>
      </w:r>
      <w:r>
        <w:rPr>
          <w:rFonts w:ascii="Arial" w:cs="Arial" w:eastAsia="Arial" w:hAnsi="Arial"/>
          <w:sz w:val="19"/>
          <w:szCs w:val="19"/>
          <w:color w:val="auto"/>
        </w:rPr>
        <w:t>. This is an international loan transaction in which the specification of Dollars or any Foreign Currency, as the case may be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and payment in New York City or the country of the Specified Currency, as the case may be (the “</w:t>
      </w:r>
      <w:r>
        <w:rPr>
          <w:rFonts w:ascii="Arial" w:cs="Arial" w:eastAsia="Arial" w:hAnsi="Arial"/>
          <w:sz w:val="19"/>
          <w:szCs w:val="19"/>
          <w:u w:val="single" w:color="auto"/>
          <w:color w:val="auto"/>
        </w:rPr>
        <w:t>Specified Place</w:t>
      </w:r>
      <w:r>
        <w:rPr>
          <w:rFonts w:ascii="Arial" w:cs="Arial" w:eastAsia="Arial" w:hAnsi="Arial"/>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9"/>
          <w:szCs w:val="19"/>
          <w:u w:val="single" w:color="auto"/>
          <w:color w:val="auto"/>
        </w:rPr>
        <w:t>Entitled Person</w:t>
      </w:r>
      <w:r>
        <w:rPr>
          <w:rFonts w:ascii="Arial" w:cs="Arial" w:eastAsia="Arial" w:hAnsi="Arial"/>
          <w:sz w:val="19"/>
          <w:szCs w:val="19"/>
          <w:color w:val="auto"/>
        </w:rPr>
        <w:t>”) shall, notwithstanding the rate of exchange actually applied in rendering such judgment be discharged only to the extent that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6" w:name="page287"/>
    <w:bookmarkEnd w:id="286"/>
    <w:p>
      <w:pPr>
        <w:jc w:val="both"/>
        <w:spacing w:after="0" w:line="279" w:lineRule="auto"/>
        <w:rPr>
          <w:sz w:val="20"/>
          <w:szCs w:val="20"/>
          <w:color w:val="auto"/>
        </w:rPr>
      </w:pPr>
      <w:r>
        <w:rPr>
          <w:rFonts w:ascii="Arial" w:cs="Arial" w:eastAsia="Arial" w:hAnsi="Arial"/>
          <w:sz w:val="19"/>
          <w:szCs w:val="19"/>
          <w:color w:val="auto"/>
        </w:rPr>
        <w:t>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5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Treatment of Certain Information; No Fiduciary Duty; Confidentiality</w:t>
      </w:r>
      <w:r>
        <w:rPr>
          <w:rFonts w:ascii="Arial" w:cs="Arial" w:eastAsia="Arial" w:hAnsi="Arial"/>
          <w:sz w:val="22"/>
          <w:szCs w:val="22"/>
          <w:color w:val="auto"/>
        </w:rPr>
        <w:t>.</w:t>
      </w:r>
    </w:p>
    <w:p>
      <w:pPr>
        <w:spacing w:after="0" w:line="20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Treatment of Certain Information; No Fiduciary Duty; No Conflicts</w:t>
      </w:r>
      <w:r>
        <w:rPr>
          <w:rFonts w:ascii="Arial" w:cs="Arial" w:eastAsia="Arial" w:hAnsi="Arial"/>
          <w:sz w:val="19"/>
          <w:szCs w:val="19"/>
          <w:color w:val="auto"/>
        </w:rPr>
        <w:t>.  The Borrower</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60"/>
        <w:spacing w:after="0"/>
        <w:tabs>
          <w:tab w:leader="none" w:pos="936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87" w:name="page288"/>
    <w:bookmarkEnd w:id="287"/>
    <w:p>
      <w:pPr>
        <w:jc w:val="both"/>
        <w:spacing w:after="0" w:line="234" w:lineRule="auto"/>
        <w:rPr>
          <w:sz w:val="20"/>
          <w:szCs w:val="20"/>
          <w:color w:val="auto"/>
        </w:rPr>
      </w:pPr>
      <w:r>
        <w:rPr>
          <w:rFonts w:ascii="Arial" w:cs="Arial" w:eastAsia="Arial" w:hAnsi="Arial"/>
          <w:sz w:val="22"/>
          <w:szCs w:val="22"/>
          <w:color w:val="auto"/>
        </w:rPr>
        <w:t>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88"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200" w:lineRule="exact"/>
        <w:rPr>
          <w:sz w:val="20"/>
          <w:szCs w:val="20"/>
          <w:color w:val="auto"/>
        </w:rPr>
      </w:pPr>
    </w:p>
    <w:p>
      <w:pPr>
        <w:spacing w:after="0" w:line="21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8" w:name="page289"/>
    <w:bookmarkEnd w:id="288"/>
    <w:p>
      <w:pPr>
        <w:jc w:val="both"/>
        <w:ind w:firstLine="1755"/>
        <w:spacing w:after="0" w:line="248" w:lineRule="exact"/>
        <w:rPr>
          <w:sz w:val="20"/>
          <w:szCs w:val="20"/>
          <w:color w:val="auto"/>
        </w:rPr>
      </w:pPr>
      <w:r>
        <w:rPr>
          <w:rFonts w:ascii="Arial" w:cs="Arial" w:eastAsia="Arial" w:hAnsi="Arial"/>
          <w:sz w:val="22"/>
          <w:szCs w:val="22"/>
          <w:color w:val="auto"/>
        </w:rPr>
        <w:t xml:space="preserve">SECTION 9.14.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hereby notifies the Borrower that pursuant to the requirements of the USA PATRIOT Act (Title III of Pub. L. 107</w:t>
      </w:r>
      <w:r>
        <w:rPr>
          <w:rFonts w:ascii="MS PGothic" w:cs="MS PGothic" w:eastAsia="MS PGothic" w:hAnsi="MS PGothic"/>
          <w:sz w:val="22"/>
          <w:szCs w:val="22"/>
          <w:color w:val="auto"/>
        </w:rPr>
        <w:t>‑</w:t>
      </w:r>
      <w:r>
        <w:rPr>
          <w:rFonts w:ascii="Arial" w:cs="Arial" w:eastAsia="Arial" w:hAnsi="Arial"/>
          <w:sz w:val="22"/>
          <w:szCs w:val="22"/>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88"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Effect of Amendment and Restatement of the Existing Credit Agreement</w:t>
      </w:r>
      <w:r>
        <w:rPr>
          <w:rFonts w:ascii="Arial" w:cs="Arial" w:eastAsia="Arial" w:hAnsi="Arial"/>
          <w:sz w:val="19"/>
          <w:szCs w:val="19"/>
          <w:color w:val="auto"/>
        </w:rPr>
        <w:t>. On the Effective Date, the Existing Credit Agreement shall be amended and restated in its entirety. The parties hereto acknowledge and agree that</w:t>
      </w:r>
    </w:p>
    <w:p>
      <w:pPr>
        <w:spacing w:after="0" w:line="2" w:lineRule="exact"/>
        <w:rPr>
          <w:sz w:val="20"/>
          <w:szCs w:val="20"/>
          <w:color w:val="auto"/>
        </w:rPr>
      </w:pPr>
    </w:p>
    <w:p>
      <w:pPr>
        <w:jc w:val="both"/>
        <w:ind w:firstLine="8"/>
        <w:spacing w:after="0" w:line="244" w:lineRule="auto"/>
        <w:tabs>
          <w:tab w:leader="none" w:pos="316"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81"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Reaffirmation of Guarantee and Security Agreement</w:t>
      </w:r>
      <w:r>
        <w:rPr>
          <w:rFonts w:ascii="Arial" w:cs="Arial" w:eastAsia="Arial" w:hAnsi="Arial"/>
          <w:sz w:val="19"/>
          <w:szCs w:val="19"/>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3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Acknowledgement and Consent to Bail-In of EEA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9"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(a) the application of any Write-Down and Conversion Powers by an EEA Resolution Authority to any such liabilities arising hereunder which may be payable to it by any party hereto that is an EEA Financial Institution; and</w:t>
      </w:r>
    </w:p>
    <w:p>
      <w:pPr>
        <w:sectPr>
          <w:pgSz w:w="11900" w:h="16838" w:orient="portrait"/>
          <w:cols w:equalWidth="0" w:num="1">
            <w:col w:w="11420"/>
          </w:cols>
          <w:pgMar w:left="240" w:top="334" w:right="239" w:bottom="1440" w:gutter="0" w:footer="0" w:header="0"/>
        </w:sectPr>
      </w:pPr>
    </w:p>
    <w:p>
      <w:pPr>
        <w:spacing w:after="0" w:line="186" w:lineRule="exact"/>
        <w:rPr>
          <w:sz w:val="20"/>
          <w:szCs w:val="20"/>
          <w:color w:val="auto"/>
        </w:rPr>
      </w:pPr>
    </w:p>
    <w:p>
      <w:pPr>
        <w:jc w:val="center"/>
        <w:ind w:left="540"/>
        <w:spacing w:after="0"/>
        <w:rPr>
          <w:sz w:val="20"/>
          <w:szCs w:val="20"/>
          <w:color w:val="auto"/>
        </w:rPr>
      </w:pPr>
      <w:r>
        <w:rPr>
          <w:rFonts w:ascii="Arial" w:cs="Arial" w:eastAsia="Arial" w:hAnsi="Arial"/>
          <w:sz w:val="21"/>
          <w:szCs w:val="21"/>
          <w:color w:val="auto"/>
        </w:rPr>
        <w:t>(b)</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effects of any Bail-In Action on any such liability, including, if applicable:</w:t>
      </w:r>
    </w:p>
    <w:p>
      <w:pPr>
        <w:spacing w:after="0" w:line="222" w:lineRule="exact"/>
        <w:rPr>
          <w:sz w:val="20"/>
          <w:szCs w:val="20"/>
          <w:color w:val="auto"/>
        </w:rPr>
      </w:pPr>
    </w:p>
    <w:p>
      <w:pPr>
        <w:sectPr>
          <w:pgSz w:w="11900" w:h="16838" w:orient="portrait"/>
          <w:cols w:equalWidth="0" w:num="2">
            <w:col w:w="3240" w:space="720"/>
            <w:col w:w="7460"/>
          </w:cols>
          <w:pgMar w:left="240" w:top="334" w:right="239" w:bottom="1440" w:gutter="0" w:footer="0" w:header="0"/>
          <w:type w:val="continuous"/>
        </w:sectPr>
      </w:pPr>
    </w:p>
    <w:p>
      <w:pPr>
        <w:spacing w:after="0" w:line="1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 reduction in full or in part or cancellation of any such liability;</w:t>
      </w:r>
    </w:p>
    <w:p>
      <w:pPr>
        <w:spacing w:after="0" w:line="234" w:lineRule="exact"/>
        <w:rPr>
          <w:sz w:val="20"/>
          <w:szCs w:val="20"/>
          <w:color w:val="auto"/>
        </w:rPr>
      </w:pPr>
    </w:p>
    <w:p>
      <w:pPr>
        <w:sectPr>
          <w:pgSz w:w="11900" w:h="16838" w:orient="portrait"/>
          <w:cols w:equalWidth="0" w:num="2">
            <w:col w:w="3940" w:space="720"/>
            <w:col w:w="6760"/>
          </w:cols>
          <w:pgMar w:left="240" w:top="334" w:right="239" w:bottom="1440" w:gutter="0" w:footer="0" w:header="0"/>
          <w:type w:val="continuous"/>
        </w:sectPr>
      </w:pPr>
    </w:p>
    <w:p>
      <w:pPr>
        <w:spacing w:after="0" w:line="6" w:lineRule="exact"/>
        <w:rPr>
          <w:sz w:val="20"/>
          <w:szCs w:val="20"/>
          <w:color w:val="auto"/>
        </w:rPr>
      </w:pPr>
    </w:p>
    <w:p>
      <w:pPr>
        <w:ind w:left="2500"/>
        <w:spacing w:after="0"/>
        <w:tabs>
          <w:tab w:leader="none" w:pos="47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a conversion of all, or a portion of, such liability into shares or other</w:t>
      </w:r>
    </w:p>
    <w:p>
      <w:pPr>
        <w:sectPr>
          <w:pgSz w:w="11900" w:h="16838" w:orient="portrait"/>
          <w:cols w:equalWidth="0" w:num="1">
            <w:col w:w="11420"/>
          </w:cols>
          <w:pgMar w:left="240" w:top="334" w:right="239" w:bottom="1440" w:gutter="0" w:footer="0" w:header="0"/>
          <w:type w:val="continuous"/>
        </w:sectPr>
      </w:pPr>
    </w:p>
    <w:p>
      <w:pPr>
        <w:spacing w:after="0" w:line="22" w:lineRule="exact"/>
        <w:rPr>
          <w:sz w:val="20"/>
          <w:szCs w:val="20"/>
          <w:color w:val="auto"/>
        </w:rPr>
      </w:pPr>
    </w:p>
    <w:p>
      <w:pPr>
        <w:ind w:left="1760"/>
        <w:spacing w:after="0" w:line="230" w:lineRule="auto"/>
        <w:rPr>
          <w:sz w:val="20"/>
          <w:szCs w:val="20"/>
          <w:color w:val="auto"/>
        </w:rPr>
      </w:pPr>
      <w:r>
        <w:rPr>
          <w:rFonts w:ascii="Arial" w:cs="Arial" w:eastAsia="Arial" w:hAnsi="Arial"/>
          <w:sz w:val="22"/>
          <w:szCs w:val="22"/>
          <w:color w:val="auto"/>
        </w:rPr>
        <w:t>instruments of ownership in such EEA Financial Institution, its parent undertaking, or a bridge institution that may be issued to it or otherwise conferred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89" w:name="page290"/>
    <w:bookmarkEnd w:id="289"/>
    <w:p>
      <w:pPr>
        <w:ind w:left="1760"/>
        <w:spacing w:after="0" w:line="251" w:lineRule="auto"/>
        <w:rPr>
          <w:sz w:val="20"/>
          <w:szCs w:val="20"/>
          <w:color w:val="auto"/>
        </w:rPr>
      </w:pPr>
      <w:r>
        <w:rPr>
          <w:rFonts w:ascii="Arial" w:cs="Arial" w:eastAsia="Arial" w:hAnsi="Arial"/>
          <w:sz w:val="22"/>
          <w:szCs w:val="22"/>
          <w:color w:val="auto"/>
        </w:rPr>
        <w:t>on it, and that such shares or other instruments of ownership will be accepted by it in lieu of any rights with respect to any such liability under this Agreement or any other Loan Document; or</w:t>
      </w:r>
    </w:p>
    <w:p>
      <w:pPr>
        <w:spacing w:after="0" w:line="163"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500" w:type="dxa"/>
            <w:vAlign w:val="bottom"/>
          </w:tcPr>
          <w:p>
            <w:pPr>
              <w:ind w:left="740"/>
              <w:spacing w:after="0"/>
              <w:rPr>
                <w:sz w:val="20"/>
                <w:szCs w:val="20"/>
                <w:color w:val="auto"/>
              </w:rPr>
            </w:pPr>
            <w:r>
              <w:rPr>
                <w:rFonts w:ascii="Arial" w:cs="Arial" w:eastAsia="Arial" w:hAnsi="Arial"/>
                <w:sz w:val="22"/>
                <w:szCs w:val="22"/>
                <w:color w:val="auto"/>
              </w:rPr>
              <w:t>(iii)</w:t>
            </w:r>
          </w:p>
        </w:tc>
        <w:tc>
          <w:tcPr>
            <w:tcW w:w="8160" w:type="dxa"/>
            <w:vAlign w:val="bottom"/>
            <w:gridSpan w:val="2"/>
          </w:tcPr>
          <w:p>
            <w:pPr>
              <w:jc w:val="right"/>
              <w:spacing w:after="0"/>
              <w:rPr>
                <w:sz w:val="20"/>
                <w:szCs w:val="20"/>
                <w:color w:val="auto"/>
              </w:rPr>
            </w:pPr>
            <w:r>
              <w:rPr>
                <w:rFonts w:ascii="Arial" w:cs="Arial" w:eastAsia="Arial" w:hAnsi="Arial"/>
                <w:sz w:val="22"/>
                <w:szCs w:val="22"/>
                <w:color w:val="auto"/>
              </w:rPr>
              <w:t>the variation of the terms of such liability in connection with the exercise of</w:t>
            </w:r>
          </w:p>
        </w:tc>
      </w:tr>
      <w:tr>
        <w:trPr>
          <w:trHeight w:val="275"/>
        </w:trPr>
        <w:tc>
          <w:tcPr>
            <w:tcW w:w="9660" w:type="dxa"/>
            <w:vAlign w:val="bottom"/>
            <w:gridSpan w:val="3"/>
          </w:tcPr>
          <w:p>
            <w:pPr>
              <w:spacing w:after="0"/>
              <w:rPr>
                <w:sz w:val="20"/>
                <w:szCs w:val="20"/>
                <w:color w:val="auto"/>
              </w:rPr>
            </w:pPr>
            <w:r>
              <w:rPr>
                <w:rFonts w:ascii="Arial" w:cs="Arial" w:eastAsia="Arial" w:hAnsi="Arial"/>
                <w:sz w:val="22"/>
                <w:szCs w:val="22"/>
                <w:color w:val="auto"/>
              </w:rPr>
              <w:t>the write-down and conversion powers of any EEA Resolution Authority.</w:t>
            </w:r>
          </w:p>
        </w:tc>
      </w:tr>
      <w:tr>
        <w:trPr>
          <w:trHeight w:val="409"/>
        </w:trPr>
        <w:tc>
          <w:tcPr>
            <w:tcW w:w="9660" w:type="dxa"/>
            <w:vAlign w:val="bottom"/>
            <w:gridSpan w:val="3"/>
          </w:tcPr>
          <w:p>
            <w:pPr>
              <w:spacing w:after="0"/>
              <w:rPr>
                <w:sz w:val="20"/>
                <w:szCs w:val="20"/>
                <w:color w:val="auto"/>
              </w:rPr>
            </w:pPr>
            <w:r>
              <w:rPr>
                <w:rFonts w:ascii="Arial" w:cs="Arial" w:eastAsia="Arial" w:hAnsi="Arial"/>
                <w:sz w:val="22"/>
                <w:szCs w:val="22"/>
                <w:color w:val="auto"/>
              </w:rPr>
              <w:t>SECTION 9.18. Certain ERISA Matters.</w:t>
            </w: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476"/>
        </w:trPr>
        <w:tc>
          <w:tcPr>
            <w:tcW w:w="1500" w:type="dxa"/>
            <w:vAlign w:val="bottom"/>
          </w:tcPr>
          <w:p>
            <w:pPr>
              <w:spacing w:after="0"/>
              <w:rPr>
                <w:sz w:val="20"/>
                <w:szCs w:val="20"/>
                <w:color w:val="auto"/>
              </w:rPr>
            </w:pPr>
            <w:r>
              <w:rPr>
                <w:rFonts w:ascii="Arial" w:cs="Arial" w:eastAsia="Arial" w:hAnsi="Arial"/>
                <w:sz w:val="22"/>
                <w:szCs w:val="22"/>
                <w:color w:val="auto"/>
              </w:rPr>
              <w:t>(a)</w:t>
            </w:r>
          </w:p>
        </w:tc>
        <w:tc>
          <w:tcPr>
            <w:tcW w:w="8160" w:type="dxa"/>
            <w:vAlign w:val="bottom"/>
            <w:gridSpan w:val="2"/>
          </w:tcPr>
          <w:p>
            <w:pPr>
              <w:jc w:val="right"/>
              <w:spacing w:after="0"/>
              <w:rPr>
                <w:sz w:val="20"/>
                <w:szCs w:val="20"/>
                <w:color w:val="auto"/>
              </w:rPr>
            </w:pPr>
            <w:r>
              <w:rPr>
                <w:rFonts w:ascii="Arial" w:cs="Arial" w:eastAsia="Arial" w:hAnsi="Arial"/>
                <w:sz w:val="22"/>
                <w:szCs w:val="22"/>
                <w:color w:val="auto"/>
              </w:rPr>
              <w:t>Each Lender (x) represents and warrants, as of the later of the date such Person</w:t>
            </w:r>
          </w:p>
        </w:tc>
      </w:tr>
    </w:tbl>
    <w:p>
      <w:pPr>
        <w:jc w:val="both"/>
        <w:spacing w:after="0" w:line="233" w:lineRule="auto"/>
        <w:rPr>
          <w:sz w:val="20"/>
          <w:szCs w:val="20"/>
          <w:color w:val="auto"/>
        </w:rPr>
      </w:pPr>
      <w:r>
        <w:rPr>
          <w:rFonts w:ascii="Arial" w:cs="Arial" w:eastAsia="Arial" w:hAnsi="Arial"/>
          <w:sz w:val="22"/>
          <w:szCs w:val="22"/>
          <w:color w:val="auto"/>
        </w:rPr>
        <w:t>became a Lender party hereto and the Sixth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88"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(i) such Lender is not using “plan assets” (within the meaning of 29 CFR § 2510.3-101, as modified by Section 3(42) of ERISA) of one or more Benefit Plans in connection with the Loans, the Letters of Credit or the Commitments,</w:t>
      </w:r>
    </w:p>
    <w:p>
      <w:pPr>
        <w:spacing w:after="0" w:line="186" w:lineRule="exact"/>
        <w:rPr>
          <w:sz w:val="20"/>
          <w:szCs w:val="20"/>
          <w:color w:val="auto"/>
        </w:rPr>
      </w:pPr>
    </w:p>
    <w:p>
      <w:pPr>
        <w:jc w:val="both"/>
        <w:ind w:left="880" w:firstLine="810"/>
        <w:spacing w:after="0" w:line="277" w:lineRule="auto"/>
        <w:rPr>
          <w:sz w:val="20"/>
          <w:szCs w:val="20"/>
          <w:color w:val="auto"/>
        </w:rPr>
      </w:pPr>
      <w:r>
        <w:rPr>
          <w:rFonts w:ascii="Arial" w:cs="Arial" w:eastAsia="Arial" w:hAnsi="Arial"/>
          <w:sz w:val="19"/>
          <w:szCs w:val="19"/>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sz w:val="20"/>
          <w:szCs w:val="20"/>
          <w:color w:val="auto"/>
        </w:rPr>
      </w:pPr>
    </w:p>
    <w:p>
      <w:pPr>
        <w:jc w:val="both"/>
        <w:ind w:left="880" w:firstLine="810"/>
        <w:spacing w:after="0" w:line="275" w:lineRule="auto"/>
        <w:rPr>
          <w:sz w:val="20"/>
          <w:szCs w:val="20"/>
          <w:color w:val="auto"/>
        </w:rPr>
      </w:pPr>
      <w:r>
        <w:rPr>
          <w:rFonts w:ascii="Arial" w:cs="Arial" w:eastAsia="Arial" w:hAnsi="Arial"/>
          <w:sz w:val="19"/>
          <w:szCs w:val="19"/>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8" w:lineRule="exact"/>
        <w:rPr>
          <w:sz w:val="20"/>
          <w:szCs w:val="20"/>
          <w:color w:val="auto"/>
        </w:rPr>
      </w:pPr>
    </w:p>
    <w:p>
      <w:pPr>
        <w:jc w:val="both"/>
        <w:ind w:left="880" w:firstLine="810"/>
        <w:spacing w:after="0" w:line="251" w:lineRule="auto"/>
        <w:rPr>
          <w:sz w:val="20"/>
          <w:szCs w:val="20"/>
          <w:color w:val="auto"/>
        </w:rPr>
      </w:pPr>
      <w:r>
        <w:rPr>
          <w:rFonts w:ascii="Arial" w:cs="Arial" w:eastAsia="Arial" w:hAnsi="Arial"/>
          <w:sz w:val="22"/>
          <w:szCs w:val="22"/>
          <w:color w:val="auto"/>
        </w:rPr>
        <w:t>(iv) such other representation, warranty and covenant as may be agreed in writing between the Administrative Agent, in its sole discretion, and such Lender with respect to the Loan Documents.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90" w:name="page291"/>
    <w:bookmarkEnd w:id="290"/>
    <w:p>
      <w:pPr>
        <w:jc w:val="both"/>
        <w:ind w:firstLine="1755"/>
        <w:spacing w:after="0" w:line="279" w:lineRule="auto"/>
        <w:rPr>
          <w:sz w:val="20"/>
          <w:szCs w:val="20"/>
          <w:color w:val="auto"/>
        </w:rPr>
      </w:pPr>
      <w:r>
        <w:rPr>
          <w:rFonts w:ascii="Arial" w:cs="Arial" w:eastAsia="Arial" w:hAnsi="Arial"/>
          <w:sz w:val="19"/>
          <w:szCs w:val="19"/>
          <w:color w:val="auto"/>
        </w:rPr>
        <w:t xml:space="preserve">(b) In addition, unless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is true with respect to a Lender or such Lender has not provided another representation, warranty and covenant as provided in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such Lender further (x) represents and warrants, as of the later of the date such Person became a Lender party hereto and the Sixth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w:t>
      </w:r>
    </w:p>
    <w:p>
      <w:pPr>
        <w:spacing w:after="0" w:line="151"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(i) none of the Administrative Agent, the Joint Lead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5" w:lineRule="exact"/>
        <w:rPr>
          <w:sz w:val="20"/>
          <w:szCs w:val="20"/>
          <w:color w:val="auto"/>
        </w:rPr>
      </w:pPr>
    </w:p>
    <w:p>
      <w:pPr>
        <w:jc w:val="both"/>
        <w:ind w:left="880" w:firstLine="810"/>
        <w:spacing w:after="0" w:line="239" w:lineRule="auto"/>
        <w:rPr>
          <w:sz w:val="20"/>
          <w:szCs w:val="20"/>
          <w:color w:val="auto"/>
        </w:rPr>
      </w:pPr>
      <w:r>
        <w:rPr>
          <w:rFonts w:ascii="Arial" w:cs="Arial" w:eastAsia="Arial" w:hAnsi="Arial"/>
          <w:sz w:val="22"/>
          <w:szCs w:val="22"/>
          <w:color w:val="auto"/>
        </w:rPr>
        <w:t>(ii) the Person making the investment decision on behalf of such Lender with respect to the entrance into, participation in, administration of and performance of the Loans, the Letters of Credit, the</w:t>
      </w:r>
    </w:p>
    <w:p>
      <w:pPr>
        <w:jc w:val="both"/>
        <w:ind w:left="880"/>
        <w:spacing w:after="0" w:line="249" w:lineRule="auto"/>
        <w:rPr>
          <w:sz w:val="20"/>
          <w:szCs w:val="20"/>
          <w:color w:val="auto"/>
        </w:rPr>
      </w:pPr>
      <w:r>
        <w:rPr>
          <w:rFonts w:ascii="Arial" w:cs="Arial" w:eastAsia="Arial" w:hAnsi="Arial"/>
          <w:sz w:val="21"/>
          <w:szCs w:val="21"/>
          <w:color w:val="auto"/>
        </w:rPr>
        <w:t>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6" w:lineRule="exact"/>
        <w:rPr>
          <w:sz w:val="20"/>
          <w:szCs w:val="20"/>
          <w:color w:val="auto"/>
        </w:rPr>
      </w:pPr>
    </w:p>
    <w:p>
      <w:pPr>
        <w:jc w:val="both"/>
        <w:ind w:left="880" w:firstLine="810"/>
        <w:spacing w:after="0" w:line="239" w:lineRule="auto"/>
        <w:rPr>
          <w:sz w:val="20"/>
          <w:szCs w:val="20"/>
          <w:color w:val="auto"/>
        </w:rPr>
      </w:pPr>
      <w:r>
        <w:rPr>
          <w:rFonts w:ascii="Arial" w:cs="Arial" w:eastAsia="Arial" w:hAnsi="Arial"/>
          <w:sz w:val="22"/>
          <w:szCs w:val="22"/>
          <w:color w:val="auto"/>
        </w:rPr>
        <w:t>(iii) the Person making the investment decision on behalf of such Lender with respect to the entrance into, participation in, administration of and performance of the Loans, the Letters of Credit, the</w:t>
      </w:r>
    </w:p>
    <w:p>
      <w:pPr>
        <w:jc w:val="both"/>
        <w:ind w:left="880"/>
        <w:spacing w:after="0" w:line="234" w:lineRule="auto"/>
        <w:rPr>
          <w:sz w:val="20"/>
          <w:szCs w:val="20"/>
          <w:color w:val="auto"/>
        </w:rPr>
      </w:pPr>
      <w:r>
        <w:rPr>
          <w:rFonts w:ascii="Arial" w:cs="Arial" w:eastAsia="Arial" w:hAnsi="Arial"/>
          <w:sz w:val="22"/>
          <w:szCs w:val="22"/>
          <w:color w:val="auto"/>
        </w:rPr>
        <w:t>Commitments and this Agreement is capable of evaluating investment risks independently, both in general and with regard to particular transactions and investment strategies (including in respect of the Secured Obligations (as defined in the Guarantee and Security Agreement)),</w:t>
      </w:r>
    </w:p>
    <w:p>
      <w:pPr>
        <w:spacing w:after="0" w:line="187"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22"/>
          <w:szCs w:val="22"/>
          <w:color w:val="auto"/>
        </w:rPr>
        <w:t>(iv) 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8"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(v) no fee or other compensation is being paid directly to the Administrative Agent, any Joint Lead Arranger or any their respective Affiliates for investment advice (as opposed to other services) in connection with the Loans, the Letters of Credit, the Commitments or this Agreement.</w:t>
      </w:r>
    </w:p>
    <w:p>
      <w:pPr>
        <w:spacing w:after="0" w:line="18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(c) 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891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91" w:name="page292"/>
    <w:bookmarkEnd w:id="291"/>
    <w:p>
      <w:pPr>
        <w:jc w:val="both"/>
        <w:spacing w:after="0" w:line="277" w:lineRule="auto"/>
        <w:rPr>
          <w:sz w:val="20"/>
          <w:szCs w:val="20"/>
          <w:color w:val="auto"/>
        </w:rPr>
      </w:pPr>
      <w:r>
        <w:rPr>
          <w:rFonts w:ascii="Arial" w:cs="Arial" w:eastAsia="Arial" w:hAnsi="Arial"/>
          <w:sz w:val="19"/>
          <w:szCs w:val="19"/>
          <w:color w:val="auto"/>
        </w:rPr>
        <w:t>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560"/>
        <w:spacing w:after="0"/>
        <w:tabs>
          <w:tab w:leader="none" w:pos="936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335"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960" w:type="dxa"/>
            <w:vAlign w:val="bottom"/>
            <w:gridSpan w:val="3"/>
          </w:tcPr>
          <w:p>
            <w:pPr>
              <w:ind w:left="106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5"/>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 Lending, LLC</w:t>
            </w: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TSL MR, LLC</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7"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8"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on Form 10-K of TPG Specialty Lending, Inc. (the “Company”) for the annual period ended December 31, 2017,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515"/>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1)"/>
      <w:numFmt w:val="decimal"/>
      <w:start w:val="1"/>
    </w:lvl>
  </w:abstractNum>
  <w:abstractNum w:abstractNumId="12">
    <w:nsid w:val="14E17E33"/>
    <w:multiLevelType w:val="hybridMultilevel"/>
    <w:lvl w:ilvl="0">
      <w:lvlJc w:val="left"/>
      <w:lvlText w:val="(%1)"/>
      <w:numFmt w:val="decimal"/>
      <w:start w:val="1"/>
    </w:lvl>
  </w:abstractNum>
  <w:abstractNum w:abstractNumId="13">
    <w:nsid w:val="3222E7CD"/>
    <w:multiLevelType w:val="hybridMultilevel"/>
    <w:lvl w:ilvl="0">
      <w:lvlJc w:val="left"/>
      <w:lvlText w:val="(%1)"/>
      <w:numFmt w:val="decimal"/>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1)"/>
      <w:numFmt w:val="lowerRoman"/>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1)"/>
      <w:numFmt w:val="decimal"/>
    </w:lvl>
    <w:lvl w:ilvl="1">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lvl w:ilvl="1">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1)"/>
      <w:numFmt w:val="decimal"/>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1)"/>
      <w:numFmt w:val="decimal"/>
      <w:start w:val="1"/>
    </w:lvl>
  </w:abstractNum>
  <w:abstractNum w:abstractNumId="45">
    <w:nsid w:val="9DAF632"/>
    <w:multiLevelType w:val="hybridMultilevel"/>
    <w:lvl w:ilvl="0">
      <w:lvlJc w:val="left"/>
      <w:lvlText w:val="(%1)"/>
      <w:numFmt w:val="decimal"/>
      <w:start w:val="1"/>
    </w:lvl>
  </w:abstractNum>
  <w:abstractNum w:abstractNumId="46">
    <w:nsid w:val="53299938"/>
    <w:multiLevelType w:val="hybridMultilevel"/>
    <w:lvl w:ilvl="0">
      <w:lvlJc w:val="left"/>
      <w:lvlText w:val="(%1)"/>
      <w:numFmt w:val="decimal"/>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1)"/>
      <w:numFmt w:val="decimal"/>
      <w:start w:val="1"/>
    </w:lvl>
  </w:abstractNum>
  <w:abstractNum w:abstractNumId="51">
    <w:nsid w:val="288F1A34"/>
    <w:multiLevelType w:val="hybridMultilevel"/>
    <w:lvl w:ilvl="0">
      <w:lvlJc w:val="left"/>
      <w:lvlText w:val="(%1)"/>
      <w:numFmt w:val="decimal"/>
      <w:start w:val="1"/>
    </w:lvl>
  </w:abstractNum>
  <w:abstractNum w:abstractNumId="52">
    <w:nsid w:val="2A155DBC"/>
    <w:multiLevelType w:val="hybridMultilevel"/>
    <w:lvl w:ilvl="0">
      <w:lvlJc w:val="left"/>
      <w:lvlText w:val="(%1)"/>
      <w:numFmt w:val="decimal"/>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1)"/>
      <w:numFmt w:val="decimal"/>
      <w:start w:val="1"/>
    </w:lvl>
  </w:abstractNum>
  <w:abstractNum w:abstractNumId="58">
    <w:nsid w:val="415E286C"/>
    <w:multiLevelType w:val="hybridMultilevel"/>
    <w:lvl w:ilvl="0">
      <w:lvlJc w:val="left"/>
      <w:lvlText w:val="(%1)"/>
      <w:numFmt w:val="decimal"/>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1)"/>
      <w:numFmt w:val="decimal"/>
      <w:start w:val="1"/>
    </w:lvl>
  </w:abstractNum>
  <w:abstractNum w:abstractNumId="61">
    <w:nsid w:val="45E6D486"/>
    <w:multiLevelType w:val="hybridMultilevel"/>
    <w:lvl w:ilvl="0">
      <w:lvlJc w:val="left"/>
      <w:lvlText w:val="(%1)"/>
      <w:numFmt w:val="decimal"/>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1"/>
      <w:numFmt w:val="decimal"/>
      <w:start w:val="1"/>
    </w:lvl>
    <w:lvl w:ilvl="1">
      <w:lvlJc w:val="left"/>
      <w:lvlText w:val="(%2)"/>
      <w:numFmt w:val="lowerLetter"/>
      <w:start w:val="1"/>
    </w:lvl>
  </w:abstractNum>
  <w:abstractNum w:abstractNumId="69">
    <w:nsid w:val="6C80EC70"/>
    <w:multiLevelType w:val="hybridMultilevel"/>
    <w:lvl w:ilvl="0">
      <w:lvlJc w:val="left"/>
      <w:lvlText w:val="(%1)"/>
      <w:numFmt w:val="decimal"/>
      <w:start w:val="1"/>
    </w:lvl>
    <w:lvl w:ilvl="1">
      <w:lvlJc w:val="left"/>
      <w:lvlText w:val="%2"/>
      <w:numFmt w:val="lowerLetter"/>
      <w:start w:val="1"/>
    </w:lvl>
  </w:abstractNum>
  <w:abstractNum w:abstractNumId="70">
    <w:nsid w:val="379E21B5"/>
    <w:multiLevelType w:val="hybridMultilevel"/>
    <w:lvl w:ilvl="0">
      <w:lvlJc w:val="left"/>
      <w:lvlText w:val="(%1)"/>
      <w:numFmt w:val="decimal"/>
      <w:start w:val="4"/>
    </w:lvl>
  </w:abstractNum>
  <w:abstractNum w:abstractNumId="71">
    <w:nsid w:val="69E373"/>
    <w:multiLevelType w:val="hybridMultilevel"/>
    <w:lvl w:ilvl="0">
      <w:lvlJc w:val="left"/>
      <w:lvlText w:val="%1"/>
      <w:numFmt w:val="decimal"/>
      <w:start w:val="1"/>
    </w:lvl>
    <w:lvl w:ilvl="1">
      <w:lvlJc w:val="left"/>
      <w:lvlText w:val="(%2)"/>
      <w:numFmt w:val="lowerLetter"/>
      <w:start w:val="1"/>
    </w:lvl>
  </w:abstractNum>
  <w:abstractNum w:abstractNumId="72">
    <w:nsid w:val="2C27173B"/>
    <w:multiLevelType w:val="hybridMultilevel"/>
    <w:lvl w:ilvl="0">
      <w:lvlJc w:val="left"/>
      <w:lvlText w:val="(%1)"/>
      <w:numFmt w:val="decimal"/>
      <w:start w:val="7"/>
    </w:lvl>
    <w:lvl w:ilvl="1">
      <w:lvlJc w:val="left"/>
      <w:lvlText w:val="%2"/>
      <w:numFmt w:val="lowerLetter"/>
      <w:start w:val="1"/>
    </w:lvl>
  </w:abstractNum>
  <w:abstractNum w:abstractNumId="73">
    <w:nsid w:val="4C9B0904"/>
    <w:multiLevelType w:val="hybridMultilevel"/>
    <w:lvl w:ilvl="0">
      <w:lvlJc w:val="left"/>
      <w:lvlText w:val="%1"/>
      <w:numFmt w:val="decimal"/>
      <w:start w:val="1"/>
    </w:lvl>
    <w:lvl w:ilvl="1">
      <w:lvlJc w:val="left"/>
      <w:lvlText w:val="(%2)"/>
      <w:numFmt w:val="lowerLetter"/>
      <w:start w:val="1"/>
    </w:lvl>
  </w:abstractNum>
  <w:abstractNum w:abstractNumId="74">
    <w:nsid w:val="6AA7B75C"/>
    <w:multiLevelType w:val="hybridMultilevel"/>
    <w:lvl w:ilvl="0">
      <w:lvlJc w:val="left"/>
      <w:lvlText w:val="(%1)"/>
      <w:numFmt w:val="decimal"/>
      <w:start w:val="1"/>
    </w:lvl>
    <w:lvl w:ilvl="1">
      <w:lvlJc w:val="left"/>
      <w:lvlText w:val="%2"/>
      <w:numFmt w:val="lowerLetter"/>
      <w:start w:val="1"/>
    </w:lvl>
  </w:abstractNum>
  <w:abstractNum w:abstractNumId="75">
    <w:nsid w:val="1DF029D3"/>
    <w:multiLevelType w:val="hybridMultilevel"/>
    <w:lvl w:ilvl="0">
      <w:lvlJc w:val="left"/>
      <w:lvlText w:val="%1"/>
      <w:numFmt w:val="decimal"/>
      <w:start w:val="1"/>
    </w:lvl>
    <w:lvl w:ilvl="1">
      <w:lvlJc w:val="left"/>
      <w:lvlText w:val="(%2)"/>
      <w:numFmt w:val="lowerLetter"/>
      <w:start w:val="1"/>
    </w:lvl>
  </w:abstractNum>
  <w:abstractNum w:abstractNumId="76">
    <w:nsid w:val="5675FF36"/>
    <w:multiLevelType w:val="hybridMultilevel"/>
    <w:lvl w:ilvl="0">
      <w:lvlJc w:val="left"/>
      <w:lvlText w:val="(%1)"/>
      <w:numFmt w:val="decimal"/>
      <w:start w:val="8"/>
    </w:lvl>
    <w:lvl w:ilvl="1">
      <w:lvlJc w:val="left"/>
      <w:lvlText w:val="%2"/>
      <w:numFmt w:val="lowerLetter"/>
      <w:start w:val="1"/>
    </w:lvl>
  </w:abstractNum>
  <w:abstractNum w:abstractNumId="77">
    <w:nsid w:val="3DD15094"/>
    <w:multiLevelType w:val="hybridMultilevel"/>
    <w:lvl w:ilvl="0">
      <w:lvlJc w:val="left"/>
      <w:lvlText w:val="(%1)"/>
      <w:numFmt w:val="decimal"/>
      <w:start w:val="10"/>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1)"/>
      <w:numFmt w:val="lowerRoman"/>
      <w:start w:val="1"/>
    </w:lvl>
  </w:abstractNum>
  <w:abstractNum w:abstractNumId="82">
    <w:nsid w:val="4F97E3E4"/>
    <w:multiLevelType w:val="hybridMultilevel"/>
    <w:lvl w:ilvl="0">
      <w:lvlJc w:val="left"/>
      <w:lvlText w:val="(%1)"/>
      <w:numFmt w:val="lowerRoman"/>
      <w:start w:val="2"/>
    </w:lvl>
  </w:abstractNum>
  <w:abstractNum w:abstractNumId="83">
    <w:nsid w:val="53B0A9E"/>
    <w:multiLevelType w:val="hybridMultilevel"/>
    <w:lvl w:ilvl="0">
      <w:lvlJc w:val="left"/>
      <w:lvlText w:val="(%1)"/>
      <w:numFmt w:val="decimal"/>
      <w:start w:val="1"/>
    </w:lvl>
  </w:abstractNum>
  <w:abstractNum w:abstractNumId="84">
    <w:nsid w:val="34FD6B4F"/>
    <w:multiLevelType w:val="hybridMultilevel"/>
    <w:lvl w:ilvl="0">
      <w:lvlJc w:val="left"/>
      <w:lvlText w:val="(%1)"/>
      <w:numFmt w:val="decimal"/>
      <w:start w:val="1"/>
    </w:lvl>
  </w:abstractNum>
  <w:abstractNum w:abstractNumId="85">
    <w:nsid w:val="5915FF32"/>
    <w:multiLevelType w:val="hybridMultilevel"/>
    <w:lvl w:ilvl="0">
      <w:lvlJc w:val="left"/>
      <w:lvlText w:val="(%1)"/>
      <w:numFmt w:val="decimal"/>
      <w:start w:val="1"/>
    </w:lvl>
  </w:abstractNum>
  <w:abstractNum w:abstractNumId="86">
    <w:nsid w:val="56438D15"/>
    <w:multiLevelType w:val="hybridMultilevel"/>
    <w:lvl w:ilvl="0">
      <w:lvlJc w:val="left"/>
      <w:lvlText w:val="(%1)"/>
      <w:numFmt w:val="decimal"/>
      <w:start w:val="1"/>
    </w:lvl>
  </w:abstractNum>
  <w:abstractNum w:abstractNumId="87">
    <w:nsid w:val="519E3149"/>
    <w:multiLevelType w:val="hybridMultilevel"/>
    <w:lvl w:ilvl="0">
      <w:lvlJc w:val="left"/>
      <w:lvlText w:val="(%1)"/>
      <w:numFmt w:val="decimal"/>
      <w:start w:val="1"/>
    </w:lvl>
  </w:abstractNum>
  <w:abstractNum w:abstractNumId="88">
    <w:nsid w:val="2C6E4AFD"/>
    <w:multiLevelType w:val="hybridMultilevel"/>
    <w:lvl w:ilvl="0">
      <w:lvlJc w:val="left"/>
      <w:lvlText w:val="(%1)"/>
      <w:numFmt w:val="decimal"/>
      <w:start w:val="1"/>
    </w:lvl>
  </w:abstractNum>
  <w:abstractNum w:abstractNumId="89">
    <w:nsid w:val="17A1B582"/>
    <w:multiLevelType w:val="hybridMultilevel"/>
    <w:lvl w:ilvl="0">
      <w:lvlJc w:val="left"/>
      <w:lvlText w:val="(%1)"/>
      <w:numFmt w:val="decimal"/>
      <w:start w:val="1"/>
    </w:lvl>
  </w:abstractNum>
  <w:abstractNum w:abstractNumId="90">
    <w:nsid w:val="4DF72E4E"/>
    <w:multiLevelType w:val="hybridMultilevel"/>
    <w:lvl w:ilvl="0">
      <w:lvlJc w:val="left"/>
      <w:lvlText w:val="(%1)"/>
      <w:numFmt w:val="decimal"/>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1)"/>
      <w:numFmt w:val="decimal"/>
      <w:start w:val="1"/>
    </w:lvl>
  </w:abstractNum>
  <w:abstractNum w:abstractNumId="94">
    <w:nsid w:val="5EC6AFD4"/>
    <w:multiLevelType w:val="hybridMultilevel"/>
    <w:lvl w:ilvl="0">
      <w:lvlJc w:val="left"/>
      <w:lvlText w:val="(%1)"/>
      <w:numFmt w:val="decimal"/>
      <w:start w:val="1"/>
    </w:lvl>
  </w:abstractNum>
  <w:abstractNum w:abstractNumId="95">
    <w:nsid w:val="19E21BB2"/>
    <w:multiLevelType w:val="hybridMultilevel"/>
    <w:lvl w:ilvl="0">
      <w:lvlJc w:val="left"/>
      <w:lvlText w:val="(%1)"/>
      <w:numFmt w:val="decimal"/>
      <w:start w:val="1"/>
    </w:lvl>
  </w:abstractNum>
  <w:abstractNum w:abstractNumId="96">
    <w:nsid w:val="75E0858A"/>
    <w:multiLevelType w:val="hybridMultilevel"/>
    <w:lvl w:ilvl="0">
      <w:lvlJc w:val="left"/>
      <w:lvlText w:val="%1."/>
      <w:numFmt w:val="decimal"/>
      <w:start w:val="10"/>
    </w:lvl>
  </w:abstractNum>
  <w:abstractNum w:abstractNumId="97">
    <w:nsid w:val="57A61A29"/>
    <w:multiLevelType w:val="hybridMultilevel"/>
    <w:lvl w:ilvl="0">
      <w:lvlJc w:val="left"/>
      <w:lvlText w:val="(%1)"/>
      <w:numFmt w:val="decimal"/>
      <w:start w:val="1"/>
    </w:lvl>
  </w:abstractNum>
  <w:abstractNum w:abstractNumId="98">
    <w:nsid w:val="5399C654"/>
    <w:multiLevelType w:val="hybridMultilevel"/>
    <w:lvl w:ilvl="0">
      <w:lvlJc w:val="left"/>
      <w:lvlText w:val="%1."/>
      <w:numFmt w:val="decimal"/>
      <w:start w:val="12"/>
    </w:lvl>
  </w:abstractNum>
  <w:abstractNum w:abstractNumId="99">
    <w:nsid w:val="20EE1348"/>
    <w:multiLevelType w:val="hybridMultilevel"/>
    <w:lvl w:ilvl="0">
      <w:lvlJc w:val="left"/>
      <w:lvlText w:val="(%1)"/>
      <w:numFmt w:val="decimal"/>
      <w:start w:val="1"/>
    </w:lvl>
  </w:abstractNum>
  <w:abstractNum w:abstractNumId="100">
    <w:nsid w:val="4427069A"/>
    <w:multiLevelType w:val="hybridMultilevel"/>
    <w:lvl w:ilvl="0">
      <w:lvlJc w:val="left"/>
      <w:lvlText w:val="(%1)"/>
      <w:numFmt w:val="decimal"/>
      <w:start w:val="1"/>
    </w:lvl>
  </w:abstractNum>
  <w:abstractNum w:abstractNumId="101">
    <w:nsid w:val="B37E80A"/>
    <w:multiLevelType w:val="hybridMultilevel"/>
    <w:lvl w:ilvl="0">
      <w:lvlJc w:val="left"/>
      <w:lvlText w:val="(%1)"/>
      <w:numFmt w:val="decimal"/>
      <w:start w:val="4"/>
    </w:lvl>
  </w:abstractNum>
  <w:abstractNum w:abstractNumId="102">
    <w:nsid w:val="2157F6BC"/>
    <w:multiLevelType w:val="hybridMultilevel"/>
    <w:lvl w:ilvl="0">
      <w:lvlJc w:val="left"/>
      <w:lvlText w:val="(%1)"/>
      <w:numFmt w:val="decimal"/>
      <w:start w:val="1"/>
    </w:lvl>
  </w:abstractNum>
  <w:abstractNum w:abstractNumId="103">
    <w:nsid w:val="704E1DD5"/>
    <w:multiLevelType w:val="hybridMultilevel"/>
    <w:lvl w:ilvl="0">
      <w:lvlJc w:val="left"/>
      <w:lvlText w:val="%1"/>
      <w:numFmt w:val="decimal"/>
      <w:start w:val="32"/>
    </w:lvl>
  </w:abstractNum>
  <w:abstractNum w:abstractNumId="104">
    <w:nsid w:val="57D2F10E"/>
    <w:multiLevelType w:val="hybridMultilevel"/>
    <w:lvl w:ilvl="0">
      <w:lvlJc w:val="left"/>
      <w:lvlText w:val="(%1)"/>
      <w:numFmt w:val="lowerLetter"/>
      <w:start w:val="2"/>
    </w:lvl>
  </w:abstractNum>
  <w:abstractNum w:abstractNumId="105">
    <w:nsid w:val="BFFAE18"/>
    <w:multiLevelType w:val="hybridMultilevel"/>
    <w:lvl w:ilvl="0">
      <w:lvlJc w:val="left"/>
      <w:lvlText w:val="(%1)"/>
      <w:numFmt w:val="lowerRoman"/>
      <w:start w:val="3"/>
    </w:lvl>
  </w:abstractNum>
  <w:abstractNum w:abstractNumId="106">
    <w:nsid w:val="E3E47A8"/>
    <w:multiLevelType w:val="hybridMultilevel"/>
    <w:lvl w:ilvl="0">
      <w:lvlJc w:val="left"/>
      <w:lvlText w:val="(%1)"/>
      <w:numFmt w:val="lowerLetter"/>
      <w:start w:val="26"/>
    </w:lvl>
  </w:abstractNum>
  <w:abstractNum w:abstractNumId="107">
    <w:nsid w:val="2E48F044"/>
    <w:multiLevelType w:val="hybridMultilevel"/>
    <w:lvl w:ilvl="0">
      <w:lvlJc w:val="left"/>
      <w:lvlText w:val="(%1)"/>
      <w:numFmt w:val="lowerRoman"/>
      <w:start w:val="2"/>
    </w:lvl>
  </w:abstractNum>
  <w:abstractNum w:abstractNumId="108">
    <w:nsid w:val="49D0FEAC"/>
    <w:multiLevelType w:val="hybridMultilevel"/>
    <w:lvl w:ilvl="0">
      <w:lvlJc w:val="left"/>
      <w:lvlText w:val="(%1)"/>
      <w:numFmt w:val="lowerRoman"/>
      <w:start w:val="1"/>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lowerLetter"/>
      <w:start w:val="1"/>
    </w:lvl>
  </w:abstractNum>
  <w:abstractNum w:abstractNumId="111">
    <w:nsid w:val="24F6AB8E"/>
    <w:multiLevelType w:val="hybridMultilevel"/>
    <w:lvl w:ilvl="0">
      <w:lvlJc w:val="left"/>
      <w:lvlText w:val="(%1)"/>
      <w:numFmt w:val="lowerLetter"/>
      <w:start w:val="2"/>
    </w:lvl>
  </w:abstractNum>
  <w:abstractNum w:abstractNumId="112">
    <w:nsid w:val="634C574C"/>
    <w:multiLevelType w:val="hybridMultilevel"/>
    <w:lvl w:ilvl="0">
      <w:lvlJc w:val="left"/>
      <w:lvlText w:val="(%1)"/>
      <w:numFmt w:val="lowerLetter"/>
      <w:start w:val="3"/>
    </w:lvl>
  </w:abstractNum>
  <w:abstractNum w:abstractNumId="113">
    <w:nsid w:val="24E99DD7"/>
    <w:multiLevelType w:val="hybridMultilevel"/>
    <w:lvl w:ilvl="0">
      <w:lvlJc w:val="left"/>
      <w:lvlText w:val="(%1)"/>
      <w:numFmt w:val="lowerLetter"/>
      <w:start w:val="2"/>
    </w:lvl>
  </w:abstractNum>
  <w:abstractNum w:abstractNumId="114">
    <w:nsid w:val="2A31B62D"/>
    <w:multiLevelType w:val="hybridMultilevel"/>
    <w:lvl w:ilvl="0">
      <w:lvlJc w:val="left"/>
      <w:lvlText w:val="(%1)"/>
      <w:numFmt w:val="lowerLetter"/>
      <w:start w:val="1"/>
    </w:lvl>
  </w:abstractNum>
  <w:abstractNum w:abstractNumId="115">
    <w:nsid w:val="1849C29B"/>
    <w:multiLevelType w:val="hybridMultilevel"/>
    <w:lvl w:ilvl="0">
      <w:lvlJc w:val="left"/>
      <w:lvlText w:val="(%1)"/>
      <w:numFmt w:val="lowerLetter"/>
      <w:start w:val="61"/>
    </w:lvl>
    <w:lvl w:ilvl="1">
      <w:lvlJc w:val="left"/>
      <w:lvlText w:val="(%2)"/>
      <w:numFmt w:val="lowerLetter"/>
      <w:start w:val="2"/>
    </w:lvl>
  </w:abstractNum>
  <w:abstractNum w:abstractNumId="116">
    <w:nsid w:val="7DFF9D09"/>
    <w:multiLevelType w:val="hybridMultilevel"/>
    <w:lvl w:ilvl="0">
      <w:lvlJc w:val="left"/>
      <w:lvlText w:val="(%1)"/>
      <w:numFmt w:val="lowerLetter"/>
      <w:start w:val="1"/>
    </w:lvl>
  </w:abstractNum>
  <w:abstractNum w:abstractNumId="117">
    <w:nsid w:val="754342"/>
    <w:multiLevelType w:val="hybridMultilevel"/>
    <w:lvl w:ilvl="0">
      <w:lvlJc w:val="left"/>
      <w:lvlText w:val="(%1)"/>
      <w:numFmt w:val="lowerLetter"/>
      <w:start w:val="2"/>
    </w:lvl>
  </w:abstractNum>
  <w:abstractNum w:abstractNumId="118">
    <w:nsid w:val="69E7F3E5"/>
    <w:multiLevelType w:val="hybridMultilevel"/>
    <w:lvl w:ilvl="0">
      <w:lvlJc w:val="left"/>
      <w:lvlText w:val="(%1)"/>
      <w:numFmt w:val="lowerLetter"/>
      <w:start w:val="4"/>
    </w:lvl>
  </w:abstractNum>
  <w:abstractNum w:abstractNumId="119">
    <w:nsid w:val="2A6DE806"/>
    <w:multiLevelType w:val="hybridMultilevel"/>
    <w:lvl w:ilvl="0">
      <w:lvlJc w:val="left"/>
      <w:lvlText w:val="(%1)"/>
      <w:numFmt w:val="lowerRoman"/>
      <w:start w:val="3"/>
    </w:lvl>
  </w:abstractNum>
  <w:abstractNum w:abstractNumId="120">
    <w:nsid w:val="1816F8C4"/>
    <w:multiLevelType w:val="hybridMultilevel"/>
    <w:lvl w:ilvl="0">
      <w:lvlJc w:val="left"/>
      <w:lvlText w:val="(%1)"/>
      <w:numFmt w:val="lowerRoman"/>
      <w:start w:val="1"/>
    </w:lvl>
  </w:abstractNum>
  <w:abstractNum w:abstractNumId="121">
    <w:nsid w:val="37DF2233"/>
    <w:multiLevelType w:val="hybridMultilevel"/>
    <w:lvl w:ilvl="0">
      <w:lvlJc w:val="left"/>
      <w:lvlText w:val="(%1)"/>
      <w:numFmt w:val="lowerRoman"/>
      <w:start w:val="2"/>
    </w:lvl>
  </w:abstractNum>
  <w:abstractNum w:abstractNumId="122">
    <w:nsid w:val="7AB49DAF"/>
    <w:multiLevelType w:val="hybridMultilevel"/>
    <w:lvl w:ilvl="0">
      <w:lvlJc w:val="left"/>
      <w:lvlText w:val="(%1)"/>
      <w:numFmt w:val="lowerLetter"/>
      <w:start w:val="6"/>
    </w:lvl>
  </w:abstractNum>
  <w:abstractNum w:abstractNumId="123">
    <w:nsid w:val="759F82CD"/>
    <w:multiLevelType w:val="hybridMultilevel"/>
    <w:lvl w:ilvl="0">
      <w:lvlJc w:val="left"/>
      <w:lvlText w:val="(%1)"/>
      <w:numFmt w:val="lowerRoman"/>
      <w:start w:val="4"/>
    </w:lvl>
  </w:abstractNum>
  <w:abstractNum w:abstractNumId="124">
    <w:nsid w:val="61E74EA3"/>
    <w:multiLevelType w:val="hybridMultilevel"/>
    <w:lvl w:ilvl="0">
      <w:lvlJc w:val="left"/>
      <w:lvlText w:val="(%1)"/>
      <w:numFmt w:val="lowerLetter"/>
      <w:start w:val="24"/>
    </w:lvl>
  </w:abstractNum>
  <w:abstractNum w:abstractNumId="125">
    <w:nsid w:val="597B4D84"/>
    <w:multiLevelType w:val="hybridMultilevel"/>
    <w:lvl w:ilvl="0">
      <w:lvlJc w:val="left"/>
      <w:lvlText w:val="(%1)"/>
      <w:numFmt w:val="lowerLetter"/>
      <w:start w:val="25"/>
    </w:lvl>
  </w:abstractNum>
  <w:abstractNum w:abstractNumId="126">
    <w:nsid w:val="F819E7F"/>
    <w:multiLevelType w:val="hybridMultilevel"/>
    <w:lvl w:ilvl="0">
      <w:lvlJc w:val="left"/>
      <w:lvlText w:val="(%1)"/>
      <w:numFmt w:val="lowerLetter"/>
      <w:start w:val="25"/>
    </w:lvl>
  </w:abstractNum>
  <w:abstractNum w:abstractNumId="127">
    <w:nsid w:val="57C7D42D"/>
    <w:multiLevelType w:val="hybridMultilevel"/>
    <w:lvl w:ilvl="0">
      <w:lvlJc w:val="left"/>
      <w:lvlText w:val="(%1)"/>
      <w:numFmt w:val="upperLetter"/>
      <w:start w:val="2"/>
    </w:lvl>
  </w:abstractNum>
  <w:abstractNum w:abstractNumId="128">
    <w:nsid w:val="312167AD"/>
    <w:multiLevelType w:val="hybridMultilevel"/>
    <w:lvl w:ilvl="0">
      <w:lvlJc w:val="left"/>
      <w:lvlText w:val="(%1)"/>
      <w:numFmt w:val="lowerLetter"/>
      <w:start w:val="3"/>
    </w:lvl>
  </w:abstractNum>
  <w:abstractNum w:abstractNumId="129">
    <w:nsid w:val="631B64D4"/>
    <w:multiLevelType w:val="hybridMultilevel"/>
    <w:lvl w:ilvl="0">
      <w:lvlJc w:val="left"/>
      <w:lvlText w:val="(%1)"/>
      <w:numFmt w:val="lowerRoman"/>
      <w:start w:val="1"/>
    </w:lvl>
  </w:abstractNum>
  <w:abstractNum w:abstractNumId="130">
    <w:nsid w:val="78B5E776"/>
    <w:multiLevelType w:val="hybridMultilevel"/>
    <w:lvl w:ilvl="0">
      <w:lvlJc w:val="left"/>
      <w:lvlText w:val="(%1)"/>
      <w:numFmt w:val="lowerRoman"/>
      <w:start w:val="1"/>
    </w:lvl>
  </w:abstractNum>
  <w:abstractNum w:abstractNumId="131">
    <w:nsid w:val="75486E47"/>
    <w:multiLevelType w:val="hybridMultilevel"/>
    <w:lvl w:ilvl="0">
      <w:lvlJc w:val="left"/>
      <w:lvlText w:val="(%1)"/>
      <w:numFmt w:val="lowerRoman"/>
      <w:start w:val="1"/>
    </w:lvl>
  </w:abstractNum>
  <w:abstractNum w:abstractNumId="132">
    <w:nsid w:val="6E534CDE"/>
    <w:multiLevelType w:val="hybridMultilevel"/>
    <w:lvl w:ilvl="0">
      <w:lvlJc w:val="left"/>
      <w:lvlText w:val="(%1)"/>
      <w:numFmt w:val="lowerLetter"/>
      <w:start w:val="23"/>
    </w:lvl>
  </w:abstractNum>
  <w:abstractNum w:abstractNumId="133">
    <w:nsid w:val="1A0DDE32"/>
    <w:multiLevelType w:val="hybridMultilevel"/>
    <w:lvl w:ilvl="0">
      <w:lvlJc w:val="left"/>
      <w:lvlText w:val="(%1)"/>
      <w:numFmt w:val="lowerLetter"/>
      <w:start w:val="24"/>
    </w:lvl>
  </w:abstractNum>
  <w:abstractNum w:abstractNumId="134">
    <w:nsid w:val="65968C1C"/>
    <w:multiLevelType w:val="hybridMultilevel"/>
    <w:lvl w:ilvl="0">
      <w:lvlJc w:val="left"/>
      <w:lvlText w:val="(%1)"/>
      <w:numFmt w:val="lowerRoman"/>
      <w:start w:val="3"/>
    </w:lvl>
  </w:abstractNum>
  <w:abstractNum w:abstractNumId="135">
    <w:nsid w:val="46263DEC"/>
    <w:multiLevelType w:val="hybridMultilevel"/>
    <w:lvl w:ilvl="0">
      <w:lvlJc w:val="left"/>
      <w:lvlText w:val="(%1)"/>
      <w:numFmt w:val="upperLetter"/>
      <w:start w:val="61"/>
    </w:lvl>
  </w:abstractNum>
  <w:abstractNum w:abstractNumId="136">
    <w:nsid w:val="260D8C4A"/>
    <w:multiLevelType w:val="hybridMultilevel"/>
    <w:lvl w:ilvl="0">
      <w:lvlJc w:val="left"/>
      <w:lvlText w:val="(%1)"/>
      <w:numFmt w:val="upperLetter"/>
      <w:start w:val="2"/>
    </w:lvl>
  </w:abstractNum>
  <w:abstractNum w:abstractNumId="137">
    <w:nsid w:val="73D4D3C4"/>
    <w:multiLevelType w:val="hybridMultilevel"/>
    <w:lvl w:ilvl="0">
      <w:lvlJc w:val="left"/>
      <w:lvlText w:val="(%1)"/>
      <w:numFmt w:val="lowerLetter"/>
      <w:start w:val="4"/>
    </w:lvl>
  </w:abstractNum>
  <w:abstractNum w:abstractNumId="138">
    <w:nsid w:val="746F2E30"/>
    <w:multiLevelType w:val="hybridMultilevel"/>
    <w:lvl w:ilvl="0">
      <w:lvlJc w:val="left"/>
      <w:lvlText w:val="(%1)"/>
      <w:numFmt w:val="lowerLetter"/>
      <w:start w:val="2"/>
    </w:lvl>
  </w:abstractNum>
  <w:abstractNum w:abstractNumId="139">
    <w:nsid w:val="6FDE8AF6"/>
    <w:multiLevelType w:val="hybridMultilevel"/>
    <w:lvl w:ilvl="0">
      <w:lvlJc w:val="left"/>
      <w:lvlText w:val="(%1)"/>
      <w:numFmt w:val="lowerRoman"/>
      <w:start w:val="4"/>
    </w:lvl>
  </w:abstractNum>
  <w:abstractNum w:abstractNumId="140">
    <w:nsid w:val="3FC32E20"/>
    <w:multiLevelType w:val="hybridMultilevel"/>
    <w:lvl w:ilvl="0">
      <w:lvlJc w:val="left"/>
      <w:lvlText w:val="(%1)"/>
      <w:numFmt w:val="lowerLetter"/>
      <w:start w:val="1"/>
    </w:lvl>
  </w:abstractNum>
  <w:abstractNum w:abstractNumId="141">
    <w:nsid w:val="49C0E823"/>
    <w:multiLevelType w:val="hybridMultilevel"/>
    <w:lvl w:ilvl="0">
      <w:lvlJc w:val="left"/>
      <w:lvlText w:val="(%1)"/>
      <w:numFmt w:val="lowerLetter"/>
      <w:start w:val="23"/>
    </w:lvl>
  </w:abstractNum>
  <w:abstractNum w:abstractNumId="142">
    <w:nsid w:val="14D53685"/>
    <w:multiLevelType w:val="hybridMultilevel"/>
    <w:lvl w:ilvl="0">
      <w:lvlJc w:val="left"/>
      <w:lvlText w:val="(%1)"/>
      <w:numFmt w:val="lowerRoman"/>
      <w:start w:val="10"/>
    </w:lvl>
  </w:abstractNum>
  <w:abstractNum w:abstractNumId="143">
    <w:nsid w:val="230F856C"/>
    <w:multiLevelType w:val="hybridMultilevel"/>
    <w:lvl w:ilvl="0">
      <w:lvlJc w:val="left"/>
      <w:lvlText w:val="(%1)"/>
      <w:numFmt w:val="lowerLetter"/>
      <w:start w:val="25"/>
    </w:lvl>
  </w:abstractNum>
  <w:abstractNum w:abstractNumId="144">
    <w:nsid w:val="6EAA85FB"/>
    <w:multiLevelType w:val="hybridMultilevel"/>
    <w:lvl w:ilvl="0">
      <w:lvlJc w:val="left"/>
      <w:lvlText w:val="(%1)"/>
      <w:numFmt w:val="lowerLetter"/>
      <w:start w:val="24"/>
    </w:lvl>
  </w:abstractNum>
  <w:abstractNum w:abstractNumId="145">
    <w:nsid w:val="3F06ECB2"/>
    <w:multiLevelType w:val="hybridMultilevel"/>
    <w:lvl w:ilvl="0">
      <w:lvlJc w:val="left"/>
      <w:lvlText w:val="(%1)"/>
      <w:numFmt w:val="lowerLetter"/>
      <w:start w:val="2"/>
    </w:lvl>
  </w:abstractNum>
  <w:abstractNum w:abstractNumId="146">
    <w:nsid w:val="3B594807"/>
    <w:multiLevelType w:val="hybridMultilevel"/>
    <w:lvl w:ilvl="0">
      <w:lvlJc w:val="left"/>
      <w:lvlText w:val="(%1)"/>
      <w:numFmt w:val="lowerRoman"/>
      <w:start w:val="1"/>
    </w:lvl>
  </w:abstractNum>
  <w:abstractNum w:abstractNumId="147">
    <w:nsid w:val="6CAA2304"/>
    <w:multiLevelType w:val="hybridMultilevel"/>
    <w:lvl w:ilvl="0">
      <w:lvlJc w:val="left"/>
      <w:lvlText w:val="(%1)"/>
      <w:numFmt w:val="lowerLetter"/>
      <w:start w:val="5"/>
    </w:lvl>
  </w:abstractNum>
  <w:abstractNum w:abstractNumId="148">
    <w:nsid w:val="3F7C2FF4"/>
    <w:multiLevelType w:val="hybridMultilevel"/>
    <w:lvl w:ilvl="0">
      <w:lvlJc w:val="left"/>
      <w:lvlText w:val="(%1)"/>
      <w:numFmt w:val="lowerLetter"/>
      <w:start w:val="5"/>
    </w:lvl>
  </w:abstractNum>
  <w:abstractNum w:abstractNumId="149">
    <w:nsid w:val="25413BEC"/>
    <w:multiLevelType w:val="hybridMultilevel"/>
    <w:lvl w:ilvl="0">
      <w:lvlJc w:val="left"/>
      <w:lvlText w:val="(%1)"/>
      <w:numFmt w:val="lowerRoman"/>
      <w:start w:val="2"/>
    </w:lvl>
  </w:abstractNum>
  <w:abstractNum w:abstractNumId="150">
    <w:nsid w:val="17180B0B"/>
    <w:multiLevelType w:val="hybridMultilevel"/>
    <w:lvl w:ilvl="0">
      <w:lvlJc w:val="left"/>
      <w:lvlText w:val="(%1)"/>
      <w:numFmt w:val="lowerLetter"/>
      <w:start w:val="1"/>
    </w:lvl>
  </w:abstractNum>
  <w:abstractNum w:abstractNumId="151">
    <w:nsid w:val="579328B9"/>
    <w:multiLevelType w:val="hybridMultilevel"/>
    <w:lvl w:ilvl="0">
      <w:lvlJc w:val="left"/>
      <w:lvlText w:val="(%1)"/>
      <w:numFmt w:val="lowerLetter"/>
      <w:start w:val="6"/>
    </w:lvl>
  </w:abstractNum>
  <w:abstractNum w:abstractNumId="152">
    <w:nsid w:val="5D205E20"/>
    <w:multiLevelType w:val="hybridMultilevel"/>
    <w:lvl w:ilvl="0">
      <w:lvlJc w:val="left"/>
      <w:lvlText w:val="(%1)"/>
      <w:numFmt w:val="lowerRoman"/>
      <w:start w:val="2"/>
    </w:lvl>
  </w:abstractNum>
  <w:abstractNum w:abstractNumId="153">
    <w:nsid w:val="11CCA8BA"/>
    <w:multiLevelType w:val="hybridMultilevel"/>
    <w:lvl w:ilvl="0">
      <w:lvlJc w:val="left"/>
      <w:lvlText w:val="(%1)"/>
      <w:numFmt w:val="lowerRoman"/>
      <w:start w:val="1"/>
    </w:lvl>
  </w:abstractNum>
  <w:abstractNum w:abstractNumId="154">
    <w:nsid w:val="4D32AB86"/>
    <w:multiLevelType w:val="hybridMultilevel"/>
    <w:lvl w:ilvl="0">
      <w:lvlJc w:val="left"/>
      <w:lvlText w:val="(%1)"/>
      <w:numFmt w:val="lowerLetter"/>
      <w:start w:val="1"/>
    </w:lvl>
  </w:abstractNum>
  <w:abstractNum w:abstractNumId="155">
    <w:nsid w:val="3F07ACC3"/>
    <w:multiLevelType w:val="hybridMultilevel"/>
    <w:lvl w:ilvl="0">
      <w:lvlJc w:val="left"/>
      <w:lvlText w:val="(%1)"/>
      <w:numFmt w:val="lowerRoman"/>
      <w:start w:val="1"/>
    </w:lvl>
  </w:abstractNum>
  <w:abstractNum w:abstractNumId="156">
    <w:nsid w:val="6B47F63E"/>
    <w:multiLevelType w:val="hybridMultilevel"/>
    <w:lvl w:ilvl="0">
      <w:lvlJc w:val="left"/>
      <w:lvlText w:val="(%1)"/>
      <w:numFmt w:val="lowerRoman"/>
      <w:start w:val="10"/>
    </w:lvl>
  </w:abstractNum>
  <w:abstractNum w:abstractNumId="157">
    <w:nsid w:val="5CB44A05"/>
    <w:multiLevelType w:val="hybridMultilevel"/>
    <w:lvl w:ilvl="0">
      <w:lvlJc w:val="left"/>
      <w:lvlText w:val="(%1)"/>
      <w:numFmt w:val="lowerLetter"/>
      <w:start w:val="2"/>
    </w:lvl>
  </w:abstractNum>
  <w:abstractNum w:abstractNumId="158">
    <w:nsid w:val="16CF80F1"/>
    <w:multiLevelType w:val="hybridMultilevel"/>
    <w:lvl w:ilvl="0">
      <w:lvlJc w:val="left"/>
      <w:lvlText w:val="(%1)"/>
      <w:numFmt w:val="lowerRoman"/>
      <w:start w:val="2"/>
    </w:lvl>
  </w:abstractNum>
  <w:abstractNum w:abstractNumId="159">
    <w:nsid w:val="1C695DEC"/>
    <w:multiLevelType w:val="hybridMultilevel"/>
    <w:lvl w:ilvl="0">
      <w:lvlJc w:val="left"/>
      <w:lvlText w:val="(%1)"/>
      <w:numFmt w:val="upperLetter"/>
      <w:start w:val="2"/>
    </w:lvl>
  </w:abstractNum>
  <w:abstractNum w:abstractNumId="160">
    <w:nsid w:val="3FCFAED9"/>
    <w:multiLevelType w:val="hybridMultilevel"/>
    <w:lvl w:ilvl="0">
      <w:lvlJc w:val="left"/>
      <w:lvlText w:val="(%1)"/>
      <w:numFmt w:val="lowerLetter"/>
      <w:start w:val="1"/>
    </w:lvl>
  </w:abstractNum>
  <w:abstractNum w:abstractNumId="161">
    <w:nsid w:val="F856867"/>
    <w:multiLevelType w:val="hybridMultilevel"/>
    <w:lvl w:ilvl="0">
      <w:lvlJc w:val="left"/>
      <w:lvlText w:val="(%1)"/>
      <w:numFmt w:val="decimal"/>
      <w:start w:val="1"/>
    </w:lvl>
    <w:lvl w:ilvl="1">
      <w:lvlJc w:val="left"/>
      <w:lvlText w:val="(%2)"/>
      <w:numFmt w:val="lowerLetter"/>
      <w:start w:val="1"/>
    </w:lvl>
  </w:abstractNum>
  <w:abstractNum w:abstractNumId="162">
    <w:nsid w:val="11B1CC33"/>
    <w:multiLevelType w:val="hybridMultilevel"/>
    <w:lvl w:ilvl="0">
      <w:lvlJc w:val="left"/>
      <w:lvlText w:val="(%1)"/>
      <w:numFmt w:val="decimal"/>
      <w:start w:val="1"/>
    </w:lvl>
    <w:lvl w:ilvl="1">
      <w:lvlJc w:val="left"/>
      <w:lvlText w:val="(%2)"/>
      <w:numFmt w:val="lowerLetter"/>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157" Type="http://schemas.openxmlformats.org/officeDocument/2006/relationships/hyperlink" Target="http://www.sec.gov/Archives/edgar/data/1508655/000095012311025019/y90239exv3w1.htm" TargetMode="External"/><Relationship Id="rId158" Type="http://schemas.openxmlformats.org/officeDocument/2006/relationships/hyperlink" Target="http://www.sec.gov/Archives/edgar/data/1508655/000119312514095223/d691342dex31.htm" TargetMode="External"/><Relationship Id="rId159" Type="http://schemas.openxmlformats.org/officeDocument/2006/relationships/hyperlink" Target="http://www.sec.gov/Archives/edgar/data/0001508655/000156459016027941/tslx-ex31_210.htm" TargetMode="External"/><Relationship Id="rId160" Type="http://schemas.openxmlformats.org/officeDocument/2006/relationships/hyperlink" Target="http://www.sec.gov/Archives/edgar/data/0001508655/000156459016027941/tslx-ex32_139.htm" TargetMode="External"/><Relationship Id="rId161" Type="http://schemas.openxmlformats.org/officeDocument/2006/relationships/hyperlink" Target="http://www.sec.gov/Archives/edgar/data/1508655/000119312512127485/d318388dex42.htm" TargetMode="External"/><Relationship Id="rId162" Type="http://schemas.openxmlformats.org/officeDocument/2006/relationships/hyperlink" Target="http://www.sec.gov/Archives/edgar/data/1508655/000119312514232207/d738714dex41.htm" TargetMode="External"/><Relationship Id="rId163" Type="http://schemas.openxmlformats.org/officeDocument/2006/relationships/hyperlink" Target="http://www.sec.gov/Archives/edgar/data/0001508655/000119312517027505/d341977dex41.htm" TargetMode="External"/><Relationship Id="rId164" Type="http://schemas.openxmlformats.org/officeDocument/2006/relationships/hyperlink" Target="http://www.sec.gov/Archives/edgar/data/0001508655/000119312518016134/d428064dex41.htm" TargetMode="External"/><Relationship Id="rId165" Type="http://schemas.openxmlformats.org/officeDocument/2006/relationships/hyperlink" Target="http://www.sec.gov/Archives/edgar/data/0001508655/000119312518016134/d428064dex42.htm" TargetMode="External"/><Relationship Id="rId166" Type="http://schemas.openxmlformats.org/officeDocument/2006/relationships/hyperlink" Target="http://www.sec.gov/Archives/edgar/data/1508655/000095012311025019/y90239exv10w3.htm" TargetMode="External"/><Relationship Id="rId167" Type="http://schemas.openxmlformats.org/officeDocument/2006/relationships/hyperlink" Target="http://www.sec.gov/Archives/edgar/data/1508655/000119312511339263/d269504dex101.htm" TargetMode="External"/><Relationship Id="rId170" Type="http://schemas.openxmlformats.org/officeDocument/2006/relationships/hyperlink" Target="http://www.sec.gov/Archives/edgar/data/1508655/000119312512490609/d446947dex101.htm" TargetMode="External"/><Relationship Id="rId171" Type="http://schemas.openxmlformats.org/officeDocument/2006/relationships/hyperlink" Target="http://www.sec.gov/Archives/edgar/data/1508655/000119312514082476/d673597dex1018.htm" TargetMode="External"/><Relationship Id="rId172" Type="http://schemas.openxmlformats.org/officeDocument/2006/relationships/hyperlink" Target="http://www.sec.gov/Archives/edgar/data/1508655/000119312514082476/d673597dex1019.htm" TargetMode="External"/><Relationship Id="rId173" Type="http://schemas.openxmlformats.org/officeDocument/2006/relationships/hyperlink" Target="http://www.sec.gov/Archives/edgar/data/1508655/000119312514082476/d673597dex1020.htm" TargetMode="External"/><Relationship Id="rId174" Type="http://schemas.openxmlformats.org/officeDocument/2006/relationships/hyperlink" Target="http://www.sec.gov/Archives/edgar/data/1508655/000119312514102674/d630521dex99e.htm" TargetMode="External"/><Relationship Id="rId175" Type="http://schemas.openxmlformats.org/officeDocument/2006/relationships/hyperlink" Target="http://www.sec.gov/Archives/edgar/data/1508655/000119312514293593/d769019dex103.htm" TargetMode="External"/><Relationship Id="rId176" Type="http://schemas.openxmlformats.org/officeDocument/2006/relationships/hyperlink" Target="http://www.sec.gov/Archives/edgar/data/1508655/000119312514293593/d769019dex104.htm" TargetMode="External"/><Relationship Id="rId177" Type="http://schemas.openxmlformats.org/officeDocument/2006/relationships/hyperlink" Target="http://www.sec.gov/Archives/edgar/data/1508655/000119312514293593/d769019dex105.htm" TargetMode="External"/><Relationship Id="rId178" Type="http://schemas.openxmlformats.org/officeDocument/2006/relationships/hyperlink" Target="http://www.sec.gov/Archives/edgar/data/0001508655/000119312514394267/d813731dex101.htm" TargetMode="External"/><Relationship Id="rId179" Type="http://schemas.openxmlformats.org/officeDocument/2006/relationships/hyperlink" Target="http://www.sec.gov/Archives/edgar/data/0001508655/000119312515111830/d899694dex101.htm" TargetMode="External"/><Relationship Id="rId180" Type="http://schemas.openxmlformats.org/officeDocument/2006/relationships/hyperlink" Target="http://www.sec.gov/Archives/edgar/data/0001508655/000156459015009165/tslx-ex101_394.htm" TargetMode="External"/><Relationship Id="rId181" Type="http://schemas.openxmlformats.org/officeDocument/2006/relationships/hyperlink" Target="http://www.sec.gov/Archives/edgar/data/0001508655/000156459017002010/tslx-ex1015_196.htm" TargetMode="External"/><Relationship Id="rId184" Type="http://schemas.openxmlformats.org/officeDocument/2006/relationships/hyperlink" Target="http://www.sec.gov/Archives/edgar/data/0001508655/000156459017002010/tslx-ex1016_2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2019-12-29T01:39:28Z</dcterms:created>
  <dcterms:modified xsi:type="dcterms:W3CDTF">2019-12-29T01:39:28Z</dcterms:modified>
</cp:coreProperties>
</file>