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158750</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November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3"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68580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41"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6"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2, 2021, the registrant issued a press release announcing its financial results for the quarter ended September 30, 2021.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November 2, 2021, the registrant issued a press release, included herewith as Exhibit 99.1, announcing the declaration of a fourth quarter 2021 base dividend per share of $0.41 to shareholders of record as of December 15, 2021, payable on January 14, 2022, a third quarter 2021 supplemental dividend per share of $0.07 to shareholders of record as of November 30, 2021, payable on December 31, 2021, and a special dividend per share of $0.50 to shareholders of record as of December 7, 2021, payable on December 20, 2021.</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20"/>
        <w:spacing w:after="0"/>
        <w:tabs>
          <w:tab w:leader="none" w:pos="12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00" w:type="dxa"/>
            <w:vAlign w:val="bottom"/>
          </w:tcPr>
          <w:p>
            <w:pPr>
              <w:spacing w:after="0"/>
              <w:rPr>
                <w:sz w:val="20"/>
                <w:szCs w:val="20"/>
                <w:color w:val="auto"/>
              </w:rPr>
            </w:pPr>
          </w:p>
        </w:tc>
        <w:tc>
          <w:tcPr>
            <w:tcW w:w="7540" w:type="dxa"/>
            <w:vAlign w:val="bottom"/>
            <w:gridSpan w:val="2"/>
          </w:tcPr>
          <w:p>
            <w:pPr>
              <w:ind w:left="192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00" w:type="dxa"/>
            <w:vAlign w:val="bottom"/>
          </w:tcPr>
          <w:p>
            <w:pPr>
              <w:ind w:left="580"/>
              <w:spacing w:after="0"/>
              <w:rPr>
                <w:sz w:val="20"/>
                <w:szCs w:val="20"/>
                <w:color w:val="auto"/>
              </w:rPr>
            </w:pPr>
            <w:r>
              <w:rPr>
                <w:rFonts w:ascii="Arial" w:cs="Arial" w:eastAsia="Arial" w:hAnsi="Arial"/>
                <w:sz w:val="18"/>
                <w:szCs w:val="18"/>
                <w:color w:val="auto"/>
              </w:rPr>
              <w:t>(Registrant)</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2, 2021</w:t>
            </w:r>
          </w:p>
        </w:tc>
        <w:tc>
          <w:tcPr>
            <w:tcW w:w="7540" w:type="dxa"/>
            <w:vAlign w:val="bottom"/>
            <w:gridSpan w:val="2"/>
          </w:tcPr>
          <w:p>
            <w:pPr>
              <w:ind w:left="1920"/>
              <w:spacing w:after="0"/>
              <w:rPr>
                <w:sz w:val="20"/>
                <w:szCs w:val="20"/>
                <w:color w:val="auto"/>
              </w:rPr>
            </w:pPr>
            <w:r>
              <w:rPr>
                <w:rFonts w:ascii="Arial" w:cs="Arial" w:eastAsia="Arial" w:hAnsi="Arial"/>
                <w:sz w:val="18"/>
                <w:szCs w:val="18"/>
                <w:color w:val="auto"/>
              </w:rPr>
              <w:t>By: /s/ Ian Simmonds</w:t>
            </w:r>
          </w:p>
        </w:tc>
      </w:tr>
      <w:tr>
        <w:trPr>
          <w:trHeight w:val="195"/>
        </w:trPr>
        <w:tc>
          <w:tcPr>
            <w:tcW w:w="3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THIRD QUARTER 2021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Sixth Street Specialty Lending, Inc. Reports Third Quarter Adjusted Net Investment Income Per Share of $0.55 and NAV Per Share of $17.18; Declares a Fourth Quarter Base Dividend Per Share of $0.41, a Third Quarter Supplemental Dividend Per Share of $0.07, and a Special Dividend Per Share of $0.50</w:t>
      </w:r>
    </w:p>
    <w:p>
      <w:pPr>
        <w:sectPr>
          <w:pgSz w:w="11900" w:h="16838" w:orient="portrait"/>
          <w:cols w:equalWidth="0" w:num="1">
            <w:col w:w="11240"/>
          </w:cols>
          <w:pgMar w:left="320" w:top="121" w:right="339" w:bottom="1440" w:gutter="0" w:footer="0" w:header="0"/>
        </w:sectPr>
      </w:pP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YORK—November 2, 2021— Sixth Street Specialty Lending, Inc. (NYSE: TSLX, or the “Company”) today reported adjusted net investment income of $0.55 per share and adjusted net income of $0.80 per share for the third quarter ended September 30, 2021. These results correspond to an annualized return on equity (ROE) on adjusted net investment income and adjusted net income of 13.0% and 19.0%, respectively.</w:t>
      </w:r>
    </w:p>
    <w:p>
      <w:pPr>
        <w:spacing w:after="0" w:line="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Both adjusted net investment income per share and adjusted net income per share exclude approximately $0.05 per share of capital gains incentive fee expenses that were accrued, but not paid or payable, related to cumulative gains in excess of cumulative losses less capital gains incentive fees paid inception-to-date. Including the impact of the accrued capital gains incentive fee expenses, the Company’s net investment income and net income for the quarter ended September 30, 2021 were $36.5 million, or $0.50 per share, and $55.0 million, or $0.75 per share, respectively. The Company’s net investment income in the third quarter was driven by higher fees from elevated repayment activity, as well as a robust level of interest income from the strength in the core earnings power of the portfolio. The difference between this quarter’s net investment income and net income was due to net unrealized and realized gains from portfolio company-specific events.</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Reported net asset value (NAV) per share was $17.18 at September 30, 2021 as compared to $16.85 at June 30, 2021. The primary drivers of this quarter’s NAV per share growth were the net realized and unrealized gains related to portfolio-company specific events, overearning of the base dividend, and net unrealized gains from the impact of credit spread tightening on the valuation of the Company’s investments.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announced that its Board of Directors has declared a fourth quarter 2021 base dividend of $0.41 per share to shareholders of record as of December 15, 2021, payable on January 14, 2022, a third quarter supplemental dividend of $0.07 per share to shareholders of record as of November 30, 2021, payable on December 31, 2021, and a special dividend of $0.50 per share to shareholders of record as of December 7, 2021, payable on December 20, 2021. Adjusted for the impact of the supplemental and special dividends, the Company’s third quarter pro forma NAV per share was $16.61.</w:t>
      </w:r>
    </w:p>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extended and amended its existing $50 million stock repurchase program to begin purchasing shares automatically when its stock trades at prices starting at $0.01 below 1.05x its most recently reported pro forma net asset value per share, instead of below 1.0x. The Company believes that given the strength in the earnings power of its portfolio, the ongoing cadence of supplemental and special dividends, and expectations for operating in its targeted debt-to-equity range, reinvesting in its existing portfolio at prices starting below 1.05x book would be highly ROE-accretive with a short payback period compared to any dilution in net asset value per share.</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8865" cy="25717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$0.55</w:t>
            </w:r>
          </w:p>
        </w:tc>
      </w:tr>
      <w:tr>
        <w:trPr>
          <w:trHeight w:val="81"/>
        </w:trPr>
        <w:tc>
          <w:tcPr>
            <w:tcW w:w="320" w:type="dxa"/>
            <w:vAlign w:val="bottom"/>
            <w:tcBorders>
              <w:bottom w:val="single" w:sz="8" w:color="D9DDE1"/>
            </w:tcBorders>
          </w:tcPr>
          <w:p>
            <w:pPr>
              <w:spacing w:after="0"/>
              <w:rPr>
                <w:sz w:val="7"/>
                <w:szCs w:val="7"/>
                <w:color w:val="auto"/>
              </w:rPr>
            </w:pPr>
          </w:p>
        </w:tc>
        <w:tc>
          <w:tcPr>
            <w:tcW w:w="2520" w:type="dxa"/>
            <w:vAlign w:val="bottom"/>
            <w:tcBorders>
              <w:bottom w:val="single" w:sz="8" w:color="D9DDE1"/>
            </w:tcBorders>
            <w:gridSpan w:val="2"/>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$0.50</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1"/>
              </w:rPr>
              <w:t>Net Income Per Share</w:t>
            </w:r>
          </w:p>
        </w:tc>
        <w:tc>
          <w:tcPr>
            <w:tcW w:w="860" w:type="dxa"/>
            <w:vAlign w:val="bottom"/>
            <w:shd w:val="clear" w:color="auto" w:fill="0F2F50"/>
          </w:tcPr>
          <w:p>
            <w:pPr>
              <w:spacing w:after="0"/>
              <w:rPr>
                <w:sz w:val="24"/>
                <w:szCs w:val="24"/>
                <w:color w:val="auto"/>
              </w:rPr>
            </w:pPr>
          </w:p>
        </w:tc>
      </w:tr>
      <w:tr>
        <w:trPr>
          <w:trHeight w:val="108"/>
        </w:trPr>
        <w:tc>
          <w:tcPr>
            <w:tcW w:w="320" w:type="dxa"/>
            <w:vAlign w:val="bottom"/>
            <w:shd w:val="clear" w:color="auto" w:fill="0F2F50"/>
          </w:tcPr>
          <w:p>
            <w:pPr>
              <w:spacing w:after="0"/>
              <w:rPr>
                <w:sz w:val="9"/>
                <w:szCs w:val="9"/>
                <w:color w:val="auto"/>
              </w:rPr>
            </w:pPr>
          </w:p>
        </w:tc>
        <w:tc>
          <w:tcPr>
            <w:tcW w:w="400" w:type="dxa"/>
            <w:vAlign w:val="bottom"/>
            <w:shd w:val="clear" w:color="auto" w:fill="0F2F50"/>
          </w:tcPr>
          <w:p>
            <w:pPr>
              <w:spacing w:after="0"/>
              <w:rPr>
                <w:sz w:val="9"/>
                <w:szCs w:val="9"/>
                <w:color w:val="auto"/>
              </w:rPr>
            </w:pPr>
          </w:p>
        </w:tc>
        <w:tc>
          <w:tcPr>
            <w:tcW w:w="2120" w:type="dxa"/>
            <w:vAlign w:val="bottom"/>
            <w:shd w:val="clear" w:color="auto" w:fill="0F2F50"/>
          </w:tcPr>
          <w:p>
            <w:pPr>
              <w:spacing w:after="0"/>
              <w:rPr>
                <w:sz w:val="9"/>
                <w:szCs w:val="9"/>
                <w:color w:val="auto"/>
              </w:rPr>
            </w:pPr>
          </w:p>
        </w:tc>
        <w:tc>
          <w:tcPr>
            <w:tcW w:w="860" w:type="dxa"/>
            <w:vAlign w:val="bottom"/>
            <w:shd w:val="clear" w:color="auto" w:fill="0F2F50"/>
          </w:tcPr>
          <w:p>
            <w:pPr>
              <w:spacing w:after="0"/>
              <w:rPr>
                <w:sz w:val="9"/>
                <w:szCs w:val="9"/>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(adjusted):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$0.80</w:t>
            </w:r>
          </w:p>
        </w:tc>
      </w:tr>
      <w:tr>
        <w:trPr>
          <w:trHeight w:val="81"/>
        </w:trPr>
        <w:tc>
          <w:tcPr>
            <w:tcW w:w="320" w:type="dxa"/>
            <w:vAlign w:val="bottom"/>
            <w:tcBorders>
              <w:bottom w:val="single" w:sz="8" w:color="D9DDE1"/>
            </w:tcBorders>
          </w:tcPr>
          <w:p>
            <w:pPr>
              <w:spacing w:after="0"/>
              <w:rPr>
                <w:sz w:val="7"/>
                <w:szCs w:val="7"/>
                <w:color w:val="auto"/>
              </w:rPr>
            </w:pPr>
          </w:p>
        </w:tc>
        <w:tc>
          <w:tcPr>
            <w:tcW w:w="2520" w:type="dxa"/>
            <w:vAlign w:val="bottom"/>
            <w:tcBorders>
              <w:bottom w:val="single" w:sz="8" w:color="D9DDE1"/>
            </w:tcBorders>
            <w:gridSpan w:val="2"/>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$0.75</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30"/>
              <w:spacing w:after="0"/>
              <w:rPr>
                <w:sz w:val="20"/>
                <w:szCs w:val="20"/>
                <w:color w:val="auto"/>
              </w:rPr>
            </w:pPr>
            <w:r>
              <w:rPr>
                <w:rFonts w:ascii="Arial" w:cs="Arial" w:eastAsia="Arial" w:hAnsi="Arial"/>
                <w:sz w:val="18"/>
                <w:szCs w:val="18"/>
                <w:b w:val="1"/>
                <w:bCs w:val="1"/>
                <w:color w:val="FFFFFF"/>
                <w:w w:val="94"/>
              </w:rPr>
              <w:t>Annualized ROE</w:t>
            </w:r>
          </w:p>
        </w:tc>
        <w:tc>
          <w:tcPr>
            <w:tcW w:w="86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32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 NII):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13.0%</w:t>
            </w:r>
          </w:p>
        </w:tc>
      </w:tr>
      <w:tr>
        <w:trPr>
          <w:trHeight w:val="108"/>
        </w:trPr>
        <w:tc>
          <w:tcPr>
            <w:tcW w:w="320" w:type="dxa"/>
            <w:vAlign w:val="bottom"/>
            <w:tcBorders>
              <w:bottom w:val="single" w:sz="8" w:color="D9DDE1"/>
            </w:tcBorders>
          </w:tcPr>
          <w:p>
            <w:pPr>
              <w:spacing w:after="0"/>
              <w:rPr>
                <w:sz w:val="9"/>
                <w:szCs w:val="9"/>
                <w:color w:val="auto"/>
              </w:rPr>
            </w:pPr>
          </w:p>
        </w:tc>
        <w:tc>
          <w:tcPr>
            <w:tcW w:w="400" w:type="dxa"/>
            <w:vAlign w:val="bottom"/>
            <w:tcBorders>
              <w:bottom w:val="single" w:sz="8" w:color="D9DDE1"/>
            </w:tcBorders>
          </w:tcPr>
          <w:p>
            <w:pPr>
              <w:spacing w:after="0"/>
              <w:rPr>
                <w:sz w:val="9"/>
                <w:szCs w:val="9"/>
                <w:color w:val="auto"/>
              </w:rPr>
            </w:pPr>
          </w:p>
        </w:tc>
        <w:tc>
          <w:tcPr>
            <w:tcW w:w="2120" w:type="dxa"/>
            <w:vAlign w:val="bottom"/>
            <w:tcBorders>
              <w:bottom w:val="single" w:sz="8" w:color="D9DDE1"/>
            </w:tcBorders>
          </w:tcPr>
          <w:p>
            <w:pPr>
              <w:spacing w:after="0"/>
              <w:rPr>
                <w:sz w:val="9"/>
                <w:szCs w:val="9"/>
                <w:color w:val="auto"/>
              </w:rPr>
            </w:pPr>
          </w:p>
        </w:tc>
        <w:tc>
          <w:tcPr>
            <w:tcW w:w="860" w:type="dxa"/>
            <w:vAlign w:val="bottom"/>
            <w:tcBorders>
              <w:bottom w:val="single" w:sz="8" w:color="D9DDE1"/>
            </w:tcBorders>
          </w:tcPr>
          <w:p>
            <w:pPr>
              <w:spacing w:after="0"/>
              <w:rPr>
                <w:sz w:val="9"/>
                <w:szCs w:val="9"/>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(Adj NI):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19.0%</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(NII):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(NI):</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17.9%</w:t>
            </w:r>
          </w:p>
        </w:tc>
      </w:tr>
      <w:tr>
        <w:trPr>
          <w:trHeight w:val="324"/>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9"/>
              </w:rPr>
              <w:t>NAV</w:t>
            </w:r>
          </w:p>
        </w:tc>
        <w:tc>
          <w:tcPr>
            <w:tcW w:w="860" w:type="dxa"/>
            <w:vAlign w:val="bottom"/>
            <w:shd w:val="clear" w:color="auto" w:fill="0F2F50"/>
          </w:tcPr>
          <w:p>
            <w:pPr>
              <w:spacing w:after="0"/>
              <w:rPr>
                <w:sz w:val="24"/>
                <w:szCs w:val="24"/>
                <w:color w:val="auto"/>
              </w:rPr>
            </w:pP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31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$1,251.8</w:t>
            </w:r>
          </w:p>
        </w:tc>
      </w:tr>
      <w:tr>
        <w:trPr>
          <w:trHeight w:val="95"/>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2120" w:type="dxa"/>
            <w:vAlign w:val="bottom"/>
            <w:tcBorders>
              <w:bottom w:val="single" w:sz="8" w:color="D9DDE1"/>
            </w:tcBorders>
          </w:tcPr>
          <w:p>
            <w:pPr>
              <w:spacing w:after="0"/>
              <w:rPr>
                <w:sz w:val="8"/>
                <w:szCs w:val="8"/>
                <w:color w:val="auto"/>
              </w:rPr>
            </w:pPr>
          </w:p>
        </w:tc>
        <w:tc>
          <w:tcPr>
            <w:tcW w:w="860" w:type="dxa"/>
            <w:vAlign w:val="bottom"/>
            <w:tcBorders>
              <w:bottom w:val="single" w:sz="8" w:color="D9DDE1"/>
            </w:tcBorders>
          </w:tcPr>
          <w:p>
            <w:pPr>
              <w:spacing w:after="0"/>
              <w:rPr>
                <w:sz w:val="8"/>
                <w:szCs w:val="8"/>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$17.18</w:t>
            </w:r>
          </w:p>
        </w:tc>
      </w:tr>
      <w:tr>
        <w:trPr>
          <w:trHeight w:val="81"/>
        </w:trPr>
        <w:tc>
          <w:tcPr>
            <w:tcW w:w="320" w:type="dxa"/>
            <w:vAlign w:val="bottom"/>
            <w:tcBorders>
              <w:bottom w:val="single" w:sz="8" w:color="D9DDE1"/>
            </w:tcBorders>
          </w:tcPr>
          <w:p>
            <w:pPr>
              <w:spacing w:after="0"/>
              <w:rPr>
                <w:sz w:val="7"/>
                <w:szCs w:val="7"/>
                <w:color w:val="auto"/>
              </w:rPr>
            </w:pPr>
          </w:p>
        </w:tc>
        <w:tc>
          <w:tcPr>
            <w:tcW w:w="400" w:type="dxa"/>
            <w:vAlign w:val="bottom"/>
            <w:tcBorders>
              <w:bottom w:val="single" w:sz="8" w:color="D9DDE1"/>
            </w:tcBorders>
          </w:tcPr>
          <w:p>
            <w:pPr>
              <w:spacing w:after="0"/>
              <w:rPr>
                <w:sz w:val="7"/>
                <w:szCs w:val="7"/>
                <w:color w:val="auto"/>
              </w:rPr>
            </w:pPr>
          </w:p>
        </w:tc>
        <w:tc>
          <w:tcPr>
            <w:tcW w:w="2120" w:type="dxa"/>
            <w:vAlign w:val="bottom"/>
            <w:tcBorders>
              <w:bottom w:val="single" w:sz="8" w:color="D9DDE1"/>
            </w:tcBorders>
          </w:tcPr>
          <w:p>
            <w:pPr>
              <w:spacing w:after="0"/>
              <w:rPr>
                <w:sz w:val="7"/>
                <w:szCs w:val="7"/>
                <w:color w:val="auto"/>
              </w:rPr>
            </w:pPr>
          </w:p>
        </w:tc>
        <w:tc>
          <w:tcPr>
            <w:tcW w:w="860" w:type="dxa"/>
            <w:vAlign w:val="bottom"/>
            <w:tcBorders>
              <w:bottom w:val="single" w:sz="8" w:color="D9DDE1"/>
            </w:tcBorders>
          </w:tcPr>
          <w:p>
            <w:pPr>
              <w:spacing w:after="0"/>
              <w:rPr>
                <w:sz w:val="7"/>
                <w:szCs w:val="7"/>
                <w:color w:val="auto"/>
              </w:rPr>
            </w:pPr>
          </w:p>
        </w:tc>
      </w:tr>
      <w:tr>
        <w:trPr>
          <w:trHeight w:val="25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(per share, PF):</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$16.61</w:t>
            </w:r>
          </w:p>
        </w:tc>
      </w:tr>
      <w:tr>
        <w:trPr>
          <w:trHeight w:val="283"/>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2120" w:type="dxa"/>
            <w:vAlign w:val="bottom"/>
            <w:shd w:val="clear" w:color="auto" w:fill="0F2F50"/>
          </w:tcPr>
          <w:p>
            <w:pPr>
              <w:jc w:val="center"/>
              <w:ind w:left="50"/>
              <w:spacing w:after="0"/>
              <w:rPr>
                <w:sz w:val="20"/>
                <w:szCs w:val="20"/>
                <w:color w:val="auto"/>
              </w:rPr>
            </w:pPr>
            <w:r>
              <w:rPr>
                <w:rFonts w:ascii="Arial" w:cs="Arial" w:eastAsia="Arial" w:hAnsi="Arial"/>
                <w:sz w:val="18"/>
                <w:szCs w:val="18"/>
                <w:b w:val="1"/>
                <w:bCs w:val="1"/>
                <w:color w:val="FFFFFF"/>
                <w:w w:val="90"/>
              </w:rPr>
              <w:t>Dividends (per share)</w:t>
            </w:r>
          </w:p>
        </w:tc>
        <w:tc>
          <w:tcPr>
            <w:tcW w:w="86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2120" w:type="dxa"/>
            <w:vAlign w:val="bottom"/>
            <w:shd w:val="clear" w:color="auto" w:fill="0F2F50"/>
          </w:tcPr>
          <w:p>
            <w:pPr>
              <w:spacing w:after="0"/>
              <w:rPr>
                <w:sz w:val="8"/>
                <w:szCs w:val="8"/>
                <w:color w:val="auto"/>
              </w:rPr>
            </w:pPr>
          </w:p>
        </w:tc>
        <w:tc>
          <w:tcPr>
            <w:tcW w:w="860" w:type="dxa"/>
            <w:vAlign w:val="bottom"/>
            <w:shd w:val="clear" w:color="auto" w:fill="0F2F50"/>
          </w:tcPr>
          <w:p>
            <w:pPr>
              <w:spacing w:after="0"/>
              <w:rPr>
                <w:sz w:val="8"/>
                <w:szCs w:val="8"/>
                <w:color w:val="auto"/>
              </w:rPr>
            </w:pPr>
          </w:p>
        </w:tc>
      </w:tr>
      <w:tr>
        <w:trPr>
          <w:trHeight w:val="25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89"/>
              </w:rPr>
              <w:t>2021</w:t>
            </w:r>
          </w:p>
        </w:tc>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(Base):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$0.41</w:t>
            </w:r>
          </w:p>
        </w:tc>
      </w:tr>
      <w:tr>
        <w:trPr>
          <w:trHeight w:val="54"/>
        </w:trPr>
        <w:tc>
          <w:tcPr>
            <w:tcW w:w="2840" w:type="dxa"/>
            <w:vAlign w:val="bottom"/>
            <w:tcBorders>
              <w:bottom w:val="single" w:sz="8" w:color="D9DDE1"/>
            </w:tcBorders>
            <w:gridSpan w:val="3"/>
          </w:tcPr>
          <w:p>
            <w:pPr>
              <w:spacing w:after="0"/>
              <w:rPr>
                <w:sz w:val="4"/>
                <w:szCs w:val="4"/>
                <w:color w:val="auto"/>
              </w:rPr>
            </w:pPr>
          </w:p>
        </w:tc>
        <w:tc>
          <w:tcPr>
            <w:tcW w:w="860" w:type="dxa"/>
            <w:vAlign w:val="bottom"/>
            <w:tcBorders>
              <w:bottom w:val="single" w:sz="8" w:color="D9DDE1"/>
            </w:tcBorders>
          </w:tcPr>
          <w:p>
            <w:pPr>
              <w:spacing w:after="0"/>
              <w:rPr>
                <w:sz w:val="4"/>
                <w:szCs w:val="4"/>
                <w:color w:val="auto"/>
              </w:rPr>
            </w:pPr>
          </w:p>
        </w:tc>
      </w:tr>
      <w:tr>
        <w:trPr>
          <w:trHeight w:val="250"/>
        </w:trPr>
        <w:tc>
          <w:tcPr>
            <w:tcW w:w="28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Q3’21 (Base):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$1.64</w:t>
            </w:r>
          </w:p>
        </w:tc>
      </w:tr>
      <w:tr>
        <w:trPr>
          <w:trHeight w:val="54"/>
        </w:trPr>
        <w:tc>
          <w:tcPr>
            <w:tcW w:w="2840" w:type="dxa"/>
            <w:vAlign w:val="bottom"/>
            <w:tcBorders>
              <w:bottom w:val="single" w:sz="8" w:color="D9DDE1"/>
            </w:tcBorders>
            <w:gridSpan w:val="3"/>
          </w:tcPr>
          <w:p>
            <w:pPr>
              <w:spacing w:after="0"/>
              <w:rPr>
                <w:sz w:val="4"/>
                <w:szCs w:val="4"/>
                <w:color w:val="auto"/>
              </w:rPr>
            </w:pPr>
          </w:p>
        </w:tc>
        <w:tc>
          <w:tcPr>
            <w:tcW w:w="860" w:type="dxa"/>
            <w:vAlign w:val="bottom"/>
            <w:tcBorders>
              <w:bottom w:val="single" w:sz="8" w:color="D9DDE1"/>
            </w:tcBorders>
          </w:tcPr>
          <w:p>
            <w:pPr>
              <w:spacing w:after="0"/>
              <w:rPr>
                <w:sz w:val="4"/>
                <w:szCs w:val="4"/>
                <w:color w:val="auto"/>
              </w:rPr>
            </w:pPr>
          </w:p>
        </w:tc>
      </w:tr>
      <w:tr>
        <w:trPr>
          <w:trHeight w:val="250"/>
        </w:trPr>
        <w:tc>
          <w:tcPr>
            <w:tcW w:w="28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Q3’21 (Supp/Special):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$1.95</w:t>
            </w:r>
          </w:p>
        </w:tc>
      </w:tr>
      <w:tr>
        <w:trPr>
          <w:trHeight w:val="40"/>
        </w:trPr>
        <w:tc>
          <w:tcPr>
            <w:tcW w:w="2840" w:type="dxa"/>
            <w:vAlign w:val="bottom"/>
            <w:tcBorders>
              <w:bottom w:val="single" w:sz="8" w:color="D9DDE1"/>
            </w:tcBorders>
            <w:gridSpan w:val="3"/>
          </w:tcPr>
          <w:p>
            <w:pPr>
              <w:spacing w:after="0"/>
              <w:rPr>
                <w:sz w:val="3"/>
                <w:szCs w:val="3"/>
                <w:color w:val="auto"/>
              </w:rPr>
            </w:pPr>
          </w:p>
        </w:tc>
        <w:tc>
          <w:tcPr>
            <w:tcW w:w="860" w:type="dxa"/>
            <w:vAlign w:val="bottom"/>
            <w:tcBorders>
              <w:bottom w:val="single" w:sz="8" w:color="D9DDE1"/>
            </w:tcBorders>
          </w:tcPr>
          <w:p>
            <w:pPr>
              <w:spacing w:after="0"/>
              <w:rPr>
                <w:sz w:val="3"/>
                <w:szCs w:val="3"/>
                <w:color w:val="auto"/>
              </w:rPr>
            </w:pPr>
          </w:p>
        </w:tc>
      </w:tr>
      <w:tr>
        <w:trPr>
          <w:trHeight w:val="237"/>
        </w:trPr>
        <w:tc>
          <w:tcPr>
            <w:tcW w:w="28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Q3’21 (Total):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$3.59</w:t>
            </w:r>
          </w:p>
        </w:tc>
      </w:tr>
    </w:tbl>
    <w:p>
      <w:pPr>
        <w:spacing w:after="0" w:line="200" w:lineRule="exact"/>
        <w:rPr>
          <w:sz w:val="20"/>
          <w:szCs w:val="20"/>
          <w:color w:val="auto"/>
        </w:rPr>
      </w:pPr>
    </w:p>
    <w:p>
      <w:pPr>
        <w:sectPr>
          <w:pgSz w:w="11900" w:h="16838" w:orient="portrait"/>
          <w:cols w:equalWidth="0" w:num="2">
            <w:col w:w="7200" w:space="340"/>
            <w:col w:w="3700"/>
          </w:cols>
          <w:pgMar w:left="320" w:top="121" w:right="339" w:bottom="1440" w:gutter="0" w:footer="0" w:header="0"/>
          <w:type w:val="continuous"/>
        </w:sectPr>
      </w:pPr>
    </w:p>
    <w:p>
      <w:pPr>
        <w:spacing w:after="0" w:line="272"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ended September 30, 2021, new investment commitments totaled $105.4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compares to $303.1 million for the quarter ended June 30, 2021.</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September 30, 2021, the principal amount of new investments funded was $65.4 million across five portfolio companies. For this period, the Company had $283.7 million aggregate principal amount in exits and repayments. For the quarter ended June 30, 2021, the principal amount of new investments funded was $265.2 million across 15 portfolio companies. For this period, the Company had $107.8 million aggregate principal amount in exits and repayments.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2021 and June 30, 2021, the Company had investments in 67 and 72 portfolio companies, respectively, with an aggregate fair value of $2,406.5 million and $2,570.0 million, respectively. As of September 30, 2021, the average investment size in each portfolio company was $35.9 million based on fair value.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2021, the Company’s portfolio based on fair value consisted of 92.5% first-lien debt investments, 0.7% mezzanine debt investments, and 6.8% equity and other investments. As of June 30, 2021, the Company’s portfolio based on fair value consisted of 93.6% first-lien debt investments, 0.2% second-lien debt investments, 0.7% mezzanine investments, and 5.5% equity and other investments.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2021, 98.9% of debt investments based on fair value in the portfolio bore interest at floating rates (when including investment specific hedges), with 99.4% of these subject to LIBOR floors. The Company’s credit facilities also bear interest at floating rates. In connection with the Company’s Convertible Notes and other Notes, which bear interest at fixed rates, the Company has entered into fixed-to-floating interest rate swaps in order to align the nature of the interest rates of its liabilities with its investment portfolio.</w:t>
      </w:r>
    </w:p>
    <w:p>
      <w:pPr>
        <w:spacing w:after="0" w:line="8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For the period ended September 30, 2021 and June 30, 2021, the weighted average total yield of debt and income-producing securities at fair value (which includes interest income and amortization of fees and discounts) was 9.9% and 9.8%, respectively, and the weighted average total yield of debt and income-producing securities at amortized cost (which includes interest income and amortization of fees and discounts) was 10.2% and 10.1%, respectively.</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100.0% of the portfolio at fair value was meeting all payment and covenant requirements.</w:t>
      </w:r>
    </w:p>
    <w:p>
      <w:pPr>
        <w:spacing w:after="0" w:line="395"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Calculation includes income earning debt investments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4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ind w:left="60"/>
              <w:spacing w:after="0"/>
              <w:rPr>
                <w:sz w:val="20"/>
                <w:szCs w:val="20"/>
                <w:color w:val="auto"/>
              </w:rPr>
            </w:pPr>
            <w:r>
              <w:rPr>
                <w:rFonts w:ascii="Arial" w:cs="Arial" w:eastAsia="Arial" w:hAnsi="Arial"/>
                <w:sz w:val="18"/>
                <w:szCs w:val="18"/>
                <w:b w:val="1"/>
                <w:bCs w:val="1"/>
                <w:color w:val="auto"/>
              </w:rPr>
              <w:t>Commitments: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$105.4MM</w:t>
            </w:r>
          </w:p>
        </w:tc>
      </w:tr>
      <w:tr>
        <w:trPr>
          <w:trHeight w:val="27"/>
        </w:trPr>
        <w:tc>
          <w:tcPr>
            <w:tcW w:w="2320" w:type="dxa"/>
            <w:vAlign w:val="bottom"/>
            <w:tcBorders>
              <w:bottom w:val="single" w:sz="8" w:color="E7E6E6"/>
            </w:tcBorders>
          </w:tcPr>
          <w:p>
            <w:pPr>
              <w:spacing w:after="0"/>
              <w:rPr>
                <w:sz w:val="2"/>
                <w:szCs w:val="2"/>
                <w:color w:val="auto"/>
              </w:rPr>
            </w:pPr>
          </w:p>
        </w:tc>
        <w:tc>
          <w:tcPr>
            <w:tcW w:w="1380" w:type="dxa"/>
            <w:vAlign w:val="bottom"/>
            <w:tcBorders>
              <w:bottom w:val="single" w:sz="8" w:color="E7E6E6"/>
            </w:tcBorders>
          </w:tcPr>
          <w:p>
            <w:pPr>
              <w:spacing w:after="0"/>
              <w:rPr>
                <w:sz w:val="2"/>
                <w:szCs w:val="2"/>
                <w:color w:val="auto"/>
              </w:rPr>
            </w:pPr>
          </w:p>
        </w:tc>
      </w:tr>
      <w:tr>
        <w:trPr>
          <w:trHeight w:val="237"/>
        </w:trPr>
        <w:tc>
          <w:tcPr>
            <w:tcW w:w="2320" w:type="dxa"/>
            <w:vAlign w:val="bottom"/>
          </w:tcPr>
          <w:p>
            <w:pPr>
              <w:ind w:left="60"/>
              <w:spacing w:after="0"/>
              <w:rPr>
                <w:sz w:val="20"/>
                <w:szCs w:val="20"/>
                <w:color w:val="auto"/>
              </w:rPr>
            </w:pPr>
            <w:r>
              <w:rPr>
                <w:rFonts w:ascii="Arial" w:cs="Arial" w:eastAsia="Arial" w:hAnsi="Arial"/>
                <w:sz w:val="18"/>
                <w:szCs w:val="18"/>
                <w:b w:val="1"/>
                <w:bCs w:val="1"/>
                <w:color w:val="auto"/>
              </w:rPr>
              <w:t>Fundings: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$65.4MM</w:t>
            </w:r>
          </w:p>
        </w:tc>
      </w:tr>
      <w:tr>
        <w:trPr>
          <w:trHeight w:val="27"/>
        </w:trPr>
        <w:tc>
          <w:tcPr>
            <w:tcW w:w="2320" w:type="dxa"/>
            <w:vAlign w:val="bottom"/>
            <w:tcBorders>
              <w:bottom w:val="single" w:sz="8" w:color="E7E6E6"/>
            </w:tcBorders>
          </w:tcPr>
          <w:p>
            <w:pPr>
              <w:spacing w:after="0"/>
              <w:rPr>
                <w:sz w:val="2"/>
                <w:szCs w:val="2"/>
                <w:color w:val="auto"/>
              </w:rPr>
            </w:pPr>
          </w:p>
        </w:tc>
        <w:tc>
          <w:tcPr>
            <w:tcW w:w="1380" w:type="dxa"/>
            <w:vAlign w:val="bottom"/>
            <w:tcBorders>
              <w:bottom w:val="single" w:sz="8" w:color="E7E6E6"/>
            </w:tcBorders>
          </w:tcPr>
          <w:p>
            <w:pPr>
              <w:spacing w:after="0"/>
              <w:rPr>
                <w:sz w:val="2"/>
                <w:szCs w:val="2"/>
                <w:color w:val="auto"/>
              </w:rPr>
            </w:pPr>
          </w:p>
        </w:tc>
      </w:tr>
      <w:tr>
        <w:trPr>
          <w:trHeight w:val="237"/>
        </w:trPr>
        <w:tc>
          <w:tcPr>
            <w:tcW w:w="2320" w:type="dxa"/>
            <w:vAlign w:val="bottom"/>
          </w:tcPr>
          <w:p>
            <w:pPr>
              <w:ind w:left="60"/>
              <w:spacing w:after="0"/>
              <w:rPr>
                <w:sz w:val="20"/>
                <w:szCs w:val="20"/>
                <w:color w:val="auto"/>
              </w:rPr>
            </w:pPr>
            <w:r>
              <w:rPr>
                <w:rFonts w:ascii="Arial" w:cs="Arial" w:eastAsia="Arial" w:hAnsi="Arial"/>
                <w:sz w:val="18"/>
                <w:szCs w:val="18"/>
                <w:b w:val="1"/>
                <w:bCs w:val="1"/>
                <w:color w:val="auto"/>
              </w:rPr>
              <w:t>Net Fundings/(Payoffs):</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$(218.3)MM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788670</wp:posOffset>
            </wp:positionV>
            <wp:extent cx="234886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$35.9MM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(1.5%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177165</wp:posOffset>
            </wp:positionV>
            <wp:extent cx="2348865"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18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386080</wp:posOffset>
            </wp:positionV>
            <wp:extent cx="234886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Floating Rate Debt Investments</w:t>
      </w:r>
      <w:r>
        <w:rPr>
          <w:rFonts w:ascii="Arial" w:cs="Arial" w:eastAsia="Arial" w:hAnsi="Arial"/>
          <w:sz w:val="15"/>
          <w:szCs w:val="15"/>
          <w:b w:val="1"/>
          <w:bCs w:val="1"/>
          <w:color w:val="FFFFFF"/>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 FV)</w:t>
      </w:r>
    </w:p>
    <w:p>
      <w:pPr>
        <w:spacing w:after="0" w:line="99"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231775</wp:posOffset>
            </wp:positionV>
            <wp:extent cx="234886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8865" cy="30861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Incoming-Producing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Yield at Fair Value: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r>
        <w:trPr>
          <w:trHeight w:val="81"/>
        </w:trPr>
        <w:tc>
          <w:tcPr>
            <w:tcW w:w="2560" w:type="dxa"/>
            <w:vAlign w:val="bottom"/>
            <w:tcBorders>
              <w:bottom w:val="single" w:sz="8" w:color="D9DDE1"/>
            </w:tcBorders>
          </w:tcPr>
          <w:p>
            <w:pPr>
              <w:spacing w:after="0"/>
              <w:rPr>
                <w:sz w:val="7"/>
                <w:szCs w:val="7"/>
                <w:color w:val="auto"/>
              </w:rPr>
            </w:pPr>
          </w:p>
        </w:tc>
        <w:tc>
          <w:tcPr>
            <w:tcW w:w="1140" w:type="dxa"/>
            <w:vAlign w:val="bottom"/>
            <w:tcBorders>
              <w:bottom w:val="single" w:sz="8" w:color="D9DDE1"/>
            </w:tcBorders>
          </w:tcPr>
          <w:p>
            <w:pPr>
              <w:spacing w:after="0"/>
              <w:rPr>
                <w:sz w:val="7"/>
                <w:szCs w:val="7"/>
                <w:color w:val="auto"/>
              </w:rPr>
            </w:pPr>
          </w:p>
        </w:tc>
      </w:tr>
      <w:tr>
        <w:trPr>
          <w:trHeight w:val="290"/>
        </w:trPr>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Yield at Amortized Cost: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200" w:space="340"/>
            <w:col w:w="3700"/>
          </w:cols>
          <w:pgMar w:left="320" w:top="1435"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THREE MONTHS ENDED SEPTEMBER 30, 2021</w:t>
      </w:r>
    </w:p>
    <w:p>
      <w:pPr>
        <w:sectPr>
          <w:pgSz w:w="11900" w:h="16838" w:orient="portrait"/>
          <w:cols w:equalWidth="0" w:num="1">
            <w:col w:w="11240"/>
          </w:cols>
          <w:pgMar w:left="320" w:top="1435" w:right="339" w:bottom="1440" w:gutter="0" w:footer="0" w:header="0"/>
        </w:sect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Income</w:t>
      </w:r>
    </w:p>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September 30, 2021 and 2020, total investment income was $71.2 million and $71.3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Expenses</w:t>
      </w:r>
    </w:p>
    <w:p>
      <w:pPr>
        <w:spacing w:after="0" w:line="6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Net expenses totaled $34.6 million and $28.2 million for the three months ended September 30, 2021 and 2020, respectively. The increase in expenses was primarily driven by accrued capital gains incentive fees related to the Company’s cumulative gains in excess of cumulative losses less capital gains incentive fees paid inception</w:t>
      </w:r>
      <w:r>
        <w:rPr>
          <w:rFonts w:ascii="MS PGothic" w:cs="MS PGothic" w:eastAsia="MS PGothic" w:hAnsi="MS PGothic"/>
          <w:sz w:val="18"/>
          <w:szCs w:val="18"/>
          <w:color w:val="auto"/>
        </w:rPr>
        <w:t>‐</w:t>
      </w:r>
      <w:r>
        <w:rPr>
          <w:rFonts w:ascii="Arial" w:cs="Arial" w:eastAsia="Arial" w:hAnsi="Arial"/>
          <w:sz w:val="18"/>
          <w:szCs w:val="18"/>
          <w:color w:val="auto"/>
        </w:rPr>
        <w:t>to-date. It was also driven by higher interest expense primarily due to an increase in the average debt outstanding and higher management fees due to an increase in average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September 30, 2021, the Company had $18.3 million in cash and cash equivalents (including $12.8 million of restricted cash), total principal value of debt outstanding of $1,124.5 million, and $1,325.8 million of undrawn capacity on its revolving credit facility, subject to borrowing base and other limitations. During the quarter, aggregate commitments under the Company’s revolving credit facility were increased to $1.51 billion, in accordance with the accordion feature.</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weighted average interest rate on debt outstanding was 2.3% for both the three-month periods ended September 30, 2021 and June 30, 2021. At September 30, 2021, the Company’s debt to equity ratio was 0.90x, compared to 1.08x at June 30, 2021. Average debt to equity was 1.01x for the three-month period ended September 30, 2021, compared to 1.07x for the three-month period ended June 30, 2021.</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30, 2021, the Company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the Company elected combination settlement that will be in nearly all stock. The settlement of the converted notes is expected to occur after the 40 day observation period described in the notes indenture.</w:t>
      </w:r>
    </w:p>
    <w:p>
      <w:pPr>
        <w:spacing w:after="0" w:line="200" w:lineRule="exact"/>
        <w:rPr>
          <w:sz w:val="20"/>
          <w:szCs w:val="20"/>
          <w:color w:val="auto"/>
        </w:rPr>
      </w:pPr>
    </w:p>
    <w:p>
      <w:pPr>
        <w:spacing w:after="0" w:line="314" w:lineRule="exact"/>
        <w:rPr>
          <w:sz w:val="20"/>
          <w:szCs w:val="20"/>
          <w:color w:val="auto"/>
        </w:rPr>
      </w:pPr>
    </w:p>
    <w:p>
      <w:pPr>
        <w:jc w:val="both"/>
        <w:ind w:left="260" w:right="20" w:hanging="252"/>
        <w:spacing w:after="0" w:line="238"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348865"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5"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$71.2MM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2348865" cy="248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8865" cy="2482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Net Expenses</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$34.6MM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831850</wp:posOffset>
            </wp:positionV>
            <wp:extent cx="234886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$1,124.5MM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386080</wp:posOffset>
            </wp:positionV>
            <wp:extent cx="2348865" cy="24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Debt-to-Equity Ratio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2021 Quarter End:</w:t>
            </w:r>
          </w:p>
        </w:tc>
        <w:tc>
          <w:tcPr>
            <w:tcW w:w="1180" w:type="dxa"/>
            <w:vAlign w:val="bottom"/>
          </w:tcPr>
          <w:p>
            <w:pPr>
              <w:ind w:left="700"/>
              <w:spacing w:after="0"/>
              <w:rPr>
                <w:sz w:val="20"/>
                <w:szCs w:val="20"/>
                <w:color w:val="auto"/>
              </w:rPr>
            </w:pPr>
            <w:r>
              <w:rPr>
                <w:rFonts w:ascii="Arial" w:cs="Arial" w:eastAsia="Arial" w:hAnsi="Arial"/>
                <w:sz w:val="18"/>
                <w:szCs w:val="18"/>
                <w:b w:val="1"/>
                <w:bCs w:val="1"/>
                <w:color w:val="auto"/>
              </w:rPr>
              <w:t>0.90x</w:t>
            </w:r>
          </w:p>
        </w:tc>
      </w:tr>
      <w:tr>
        <w:trPr>
          <w:trHeight w:val="40"/>
        </w:trPr>
        <w:tc>
          <w:tcPr>
            <w:tcW w:w="320" w:type="dxa"/>
            <w:vAlign w:val="bottom"/>
            <w:tcBorders>
              <w:bottom w:val="single" w:sz="8" w:color="D9DDE1"/>
            </w:tcBorders>
          </w:tcPr>
          <w:p>
            <w:pPr>
              <w:spacing w:after="0"/>
              <w:rPr>
                <w:sz w:val="3"/>
                <w:szCs w:val="3"/>
                <w:color w:val="auto"/>
              </w:rPr>
            </w:pPr>
          </w:p>
        </w:tc>
        <w:tc>
          <w:tcPr>
            <w:tcW w:w="2200" w:type="dxa"/>
            <w:vAlign w:val="bottom"/>
            <w:tcBorders>
              <w:bottom w:val="single" w:sz="8" w:color="D9DDE1"/>
            </w:tcBorders>
          </w:tcPr>
          <w:p>
            <w:pPr>
              <w:spacing w:after="0"/>
              <w:rPr>
                <w:sz w:val="3"/>
                <w:szCs w:val="3"/>
                <w:color w:val="auto"/>
              </w:rPr>
            </w:pPr>
          </w:p>
        </w:tc>
        <w:tc>
          <w:tcPr>
            <w:tcW w:w="1180" w:type="dxa"/>
            <w:vAlign w:val="bottom"/>
            <w:tcBorders>
              <w:bottom w:val="single" w:sz="8" w:color="D9DDE1"/>
            </w:tcBorders>
          </w:tcPr>
          <w:p>
            <w:pPr>
              <w:spacing w:after="0"/>
              <w:rPr>
                <w:sz w:val="3"/>
                <w:szCs w:val="3"/>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Q3</w:t>
            </w:r>
          </w:p>
        </w:tc>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2021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180" w:type="dxa"/>
            <w:vAlign w:val="bottom"/>
          </w:tcPr>
          <w:p>
            <w:pPr>
              <w:ind w:left="700"/>
              <w:spacing w:after="0"/>
              <w:rPr>
                <w:sz w:val="20"/>
                <w:szCs w:val="20"/>
                <w:color w:val="auto"/>
              </w:rPr>
            </w:pPr>
            <w:r>
              <w:rPr>
                <w:rFonts w:ascii="Arial" w:cs="Arial" w:eastAsia="Arial" w:hAnsi="Arial"/>
                <w:sz w:val="18"/>
                <w:szCs w:val="18"/>
                <w:b w:val="1"/>
                <w:bCs w:val="1"/>
                <w:color w:val="auto"/>
              </w:rPr>
              <w:t>1.01x</w:t>
            </w:r>
          </w:p>
        </w:tc>
      </w:tr>
    </w:tbl>
    <w:p>
      <w:pPr>
        <w:spacing w:after="0" w:line="2914" w:lineRule="exact"/>
        <w:rPr>
          <w:sz w:val="20"/>
          <w:szCs w:val="20"/>
          <w:color w:val="auto"/>
        </w:rPr>
      </w:pPr>
    </w:p>
    <w:p>
      <w:pPr>
        <w:sectPr>
          <w:pgSz w:w="11900" w:h="16838" w:orient="portrait"/>
          <w:cols w:equalWidth="0" w:num="2">
            <w:col w:w="7200" w:space="340"/>
            <w:col w:w="3700"/>
          </w:cols>
          <w:pgMar w:left="320" w:top="1435" w:right="339" w:bottom="1440" w:gutter="0" w:footer="0" w:header="0"/>
          <w:type w:val="continuous"/>
        </w:sectPr>
      </w:pPr>
    </w:p>
    <w:p>
      <w:pPr>
        <w:spacing w:after="0" w:line="257"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liquidity at September 30, 2021 and changes to unfunded commitments since June 30,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00" w:type="dxa"/>
            <w:vAlign w:val="bottom"/>
          </w:tcPr>
          <w:p>
            <w:pPr>
              <w:spacing w:after="0"/>
              <w:rPr>
                <w:sz w:val="20"/>
                <w:szCs w:val="20"/>
                <w:color w:val="auto"/>
              </w:rPr>
            </w:pPr>
            <w:r>
              <w:rPr>
                <w:rFonts w:ascii="Arial" w:cs="Arial" w:eastAsia="Arial" w:hAnsi="Arial"/>
                <w:sz w:val="14"/>
                <w:szCs w:val="14"/>
                <w:color w:val="auto"/>
              </w:rPr>
              <w:t>$ Millions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4500" w:type="dxa"/>
            <w:vAlign w:val="bottom"/>
            <w:tcBorders>
              <w:bottom w:val="single" w:sz="8" w:color="0F2F50"/>
            </w:tcBorders>
            <w:shd w:val="clear" w:color="auto" w:fill="0F2F50"/>
          </w:tcPr>
          <w:p>
            <w:pPr>
              <w:ind w:left="1820"/>
              <w:spacing w:after="0"/>
              <w:rPr>
                <w:sz w:val="20"/>
                <w:szCs w:val="20"/>
                <w:color w:val="auto"/>
              </w:rPr>
            </w:pPr>
            <w:r>
              <w:rPr>
                <w:rFonts w:ascii="Arial" w:cs="Arial" w:eastAsia="Arial" w:hAnsi="Arial"/>
                <w:sz w:val="18"/>
                <w:szCs w:val="18"/>
                <w:b w:val="1"/>
                <w:bCs w:val="1"/>
                <w:color w:val="FFFFFF"/>
              </w:rPr>
              <w:t>Revolving Credit Facility</w:t>
            </w:r>
          </w:p>
        </w:tc>
        <w:tc>
          <w:tcPr>
            <w:tcW w:w="1060" w:type="dxa"/>
            <w:vAlign w:val="bottom"/>
            <w:tcBorders>
              <w:bottom w:val="single" w:sz="8" w:color="0F2F50"/>
            </w:tcBorders>
            <w:shd w:val="clear" w:color="auto" w:fill="0F2F50"/>
          </w:tcPr>
          <w:p>
            <w:pPr>
              <w:spacing w:after="0"/>
              <w:rPr>
                <w:sz w:val="21"/>
                <w:szCs w:val="21"/>
                <w:color w:val="auto"/>
              </w:rPr>
            </w:pPr>
          </w:p>
        </w:tc>
        <w:tc>
          <w:tcPr>
            <w:tcW w:w="220" w:type="dxa"/>
            <w:vAlign w:val="bottom"/>
          </w:tcPr>
          <w:p>
            <w:pPr>
              <w:spacing w:after="0"/>
              <w:rPr>
                <w:sz w:val="21"/>
                <w:szCs w:val="21"/>
                <w:color w:val="auto"/>
              </w:rPr>
            </w:pPr>
          </w:p>
        </w:tc>
        <w:tc>
          <w:tcPr>
            <w:tcW w:w="4540" w:type="dxa"/>
            <w:vAlign w:val="bottom"/>
            <w:tcBorders>
              <w:bottom w:val="single" w:sz="8" w:color="0F2F50"/>
            </w:tcBorders>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20" w:type="dxa"/>
            <w:vAlign w:val="bottom"/>
            <w:tcBorders>
              <w:bottom w:val="single" w:sz="8" w:color="0F2F50"/>
            </w:tcBorders>
            <w:shd w:val="clear" w:color="auto" w:fill="0F2F50"/>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Revolver Capacity</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$1,510</w:t>
            </w:r>
          </w:p>
        </w:tc>
        <w:tc>
          <w:tcPr>
            <w:tcW w:w="220" w:type="dxa"/>
            <w:vAlign w:val="bottom"/>
          </w:tcPr>
          <w:p>
            <w:pPr>
              <w:spacing w:after="0"/>
              <w:rPr>
                <w:sz w:val="17"/>
                <w:szCs w:val="17"/>
                <w:color w:val="auto"/>
              </w:rPr>
            </w:pPr>
          </w:p>
        </w:tc>
        <w:tc>
          <w:tcPr>
            <w:tcW w:w="454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Unfunded Commitments (See Note 8 in 6/30/21 10-Q)</w:t>
            </w:r>
          </w:p>
        </w:tc>
        <w:tc>
          <w:tcPr>
            <w:tcW w:w="92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$191</w:t>
            </w:r>
          </w:p>
        </w:tc>
        <w:tc>
          <w:tcPr>
            <w:tcW w:w="20" w:type="dxa"/>
            <w:vAlign w:val="bottom"/>
            <w:tcBorders>
              <w:bottom w:val="single" w:sz="8" w:color="ECEEF0"/>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7"/>
                <w:szCs w:val="17"/>
                <w:color w:val="auto"/>
              </w:rPr>
            </w:pPr>
          </w:p>
        </w:tc>
        <w:tc>
          <w:tcPr>
            <w:tcW w:w="454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940" w:type="dxa"/>
            <w:vAlign w:val="bottom"/>
            <w:tcBorders>
              <w:bottom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454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940" w:type="dxa"/>
            <w:vAlign w:val="bottom"/>
            <w:tcBorders>
              <w:bottom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$1,332</w:t>
            </w:r>
          </w:p>
        </w:tc>
        <w:tc>
          <w:tcPr>
            <w:tcW w:w="220" w:type="dxa"/>
            <w:vAlign w:val="bottom"/>
          </w:tcPr>
          <w:p>
            <w:pPr>
              <w:spacing w:after="0"/>
              <w:rPr>
                <w:sz w:val="17"/>
                <w:szCs w:val="17"/>
                <w:color w:val="auto"/>
              </w:rPr>
            </w:pPr>
          </w:p>
        </w:tc>
        <w:tc>
          <w:tcPr>
            <w:tcW w:w="454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940" w:type="dxa"/>
            <w:vAlign w:val="bottom"/>
            <w:tcBorders>
              <w:bottom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7"/>
                <w:szCs w:val="17"/>
                <w:color w:val="auto"/>
              </w:rPr>
            </w:pPr>
          </w:p>
        </w:tc>
      </w:tr>
      <w:tr>
        <w:trPr>
          <w:trHeight w:val="196"/>
        </w:trPr>
        <w:tc>
          <w:tcPr>
            <w:tcW w:w="4500" w:type="dxa"/>
            <w:vAlign w:val="bottom"/>
            <w:tcBorders>
              <w:bottom w:val="single" w:sz="8" w:color="ECEEF0"/>
            </w:tcBorders>
          </w:tcPr>
          <w:p>
            <w:pPr>
              <w:ind w:left="20"/>
              <w:spacing w:after="0" w:line="195" w:lineRule="exact"/>
              <w:rPr>
                <w:sz w:val="20"/>
                <w:szCs w:val="20"/>
                <w:color w:val="auto"/>
              </w:rPr>
            </w:pPr>
            <w:r>
              <w:rPr>
                <w:rFonts w:ascii="Arial" w:cs="Arial" w:eastAsia="Arial" w:hAnsi="Arial"/>
                <w:sz w:val="14"/>
                <w:szCs w:val="14"/>
                <w:color w:val="auto"/>
              </w:rPr>
              <w:t>Available Unfunded Commitments</w:t>
            </w:r>
            <w:r>
              <w:rPr>
                <w:rFonts w:ascii="Arial" w:cs="Arial" w:eastAsia="Arial" w:hAnsi="Arial"/>
                <w:sz w:val="22"/>
                <w:szCs w:val="22"/>
                <w:color w:val="auto"/>
                <w:vertAlign w:val="superscript"/>
              </w:rPr>
              <w:t>1</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17"/>
                <w:szCs w:val="17"/>
                <w:color w:val="auto"/>
              </w:rPr>
            </w:pPr>
          </w:p>
        </w:tc>
        <w:tc>
          <w:tcPr>
            <w:tcW w:w="454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940" w:type="dxa"/>
            <w:vAlign w:val="bottom"/>
            <w:tcBorders>
              <w:bottom w:val="single" w:sz="8" w:color="ECEEF0"/>
            </w:tcBorders>
            <w:gridSpan w:val="2"/>
          </w:tcPr>
          <w:p>
            <w:pPr>
              <w:jc w:val="right"/>
              <w:ind w:right="20"/>
              <w:spacing w:after="0"/>
              <w:rPr>
                <w:sz w:val="20"/>
                <w:szCs w:val="20"/>
                <w:color w:val="auto"/>
              </w:rPr>
            </w:pPr>
            <w:r>
              <w:rPr>
                <w:rFonts w:ascii="Arial" w:cs="Arial" w:eastAsia="Arial" w:hAnsi="Arial"/>
                <w:sz w:val="16"/>
                <w:szCs w:val="16"/>
                <w:b w:val="1"/>
                <w:bCs w:val="1"/>
                <w:color w:val="auto"/>
              </w:rPr>
              <w:t>$191</w:t>
            </w:r>
          </w:p>
        </w:tc>
        <w:tc>
          <w:tcPr>
            <w:tcW w:w="20" w:type="dxa"/>
            <w:vAlign w:val="bottom"/>
          </w:tcPr>
          <w:p>
            <w:pPr>
              <w:spacing w:after="0"/>
              <w:rPr>
                <w:sz w:val="17"/>
                <w:szCs w:val="17"/>
                <w:color w:val="auto"/>
              </w:rPr>
            </w:pP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$1,210</w:t>
            </w:r>
          </w:p>
        </w:tc>
        <w:tc>
          <w:tcPr>
            <w:tcW w:w="220" w:type="dxa"/>
            <w:vAlign w:val="bottom"/>
          </w:tcPr>
          <w:p>
            <w:pPr>
              <w:spacing w:after="0"/>
              <w:rPr>
                <w:sz w:val="17"/>
                <w:szCs w:val="17"/>
                <w:color w:val="auto"/>
              </w:rPr>
            </w:pPr>
          </w:p>
        </w:tc>
        <w:tc>
          <w:tcPr>
            <w:tcW w:w="454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1</w:t>
            </w:r>
          </w:p>
        </w:tc>
        <w:tc>
          <w:tcPr>
            <w:tcW w:w="940" w:type="dxa"/>
            <w:vAlign w:val="bottom"/>
            <w:tcBorders>
              <w:bottom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tcPr>
          <w:p>
            <w:pPr>
              <w:spacing w:after="0" w:line="203" w:lineRule="exact"/>
              <w:rPr>
                <w:sz w:val="20"/>
                <w:szCs w:val="20"/>
                <w:color w:val="auto"/>
              </w:rPr>
            </w:pPr>
            <w:r>
              <w:rPr>
                <w:rFonts w:ascii="Arial" w:cs="Arial" w:eastAsia="Arial" w:hAnsi="Arial"/>
                <w:sz w:val="14"/>
                <w:szCs w:val="14"/>
                <w:b w:val="1"/>
                <w:bCs w:val="1"/>
                <w:color w:val="auto"/>
              </w:rPr>
              <w:t>Available Unfunded Commitments</w:t>
            </w:r>
            <w:r>
              <w:rPr>
                <w:rFonts w:ascii="Arial" w:cs="Arial" w:eastAsia="Arial" w:hAnsi="Arial"/>
                <w:sz w:val="23"/>
                <w:szCs w:val="23"/>
                <w:color w:val="auto"/>
                <w:vertAlign w:val="superscript"/>
              </w:rPr>
              <w:t>1</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$122</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-3810</wp:posOffset>
            </wp:positionV>
            <wp:extent cx="34632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ind w:left="400" w:hanging="392"/>
        <w:spacing w:after="0" w:line="221" w:lineRule="auto"/>
        <w:tabs>
          <w:tab w:leader="none" w:pos="4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Note: May not sum due to rounding.</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2021, the Company’s funding mix was comprised of 58% unsecured and 42% secured debt. As illustrated below, the Company’s nearest debt maturity is in August 2022 at $143 million, and the weighted average remaining life of investments funded with debt was ~2.1 years, compared to a weighted average remaining maturity on debt of ~3.8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74295</wp:posOffset>
            </wp:positionV>
            <wp:extent cx="5760720" cy="2863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*Includes $25 million of non-extending commitments with a maturity of January 31, 2025 and a revolving period ending January 31, 2024.</w:t>
      </w:r>
    </w:p>
    <w:p>
      <w:pPr>
        <w:spacing w:after="0" w:line="136" w:lineRule="exact"/>
        <w:rPr>
          <w:sz w:val="20"/>
          <w:szCs w:val="20"/>
          <w:color w:val="auto"/>
        </w:rPr>
      </w:pPr>
    </w:p>
    <w:p>
      <w:pPr>
        <w:jc w:val="both"/>
        <w:ind w:left="400" w:hanging="392"/>
        <w:spacing w:after="0" w:line="227"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Deferred Financing Costs and Interest Rate Fair Value Hedging. Deferred Financing Costs total $18.4M at 9/30/20, $17.2M at 12/31/20, $23.7M at 3/31/21, $22.3M at 6/30/21 and $20.8M at 9/30/21. Fair value hedge on interest rate swaps related to the 2024 and 2026 notes total $18.1M at 9/30/20, $16.8M at 12/31/20, $2.2M at 3/31/21 and $4.5M at 6/30/21 and $2.5M at 9/30/21.</w:t>
      </w:r>
    </w:p>
    <w:p>
      <w:pPr>
        <w:jc w:val="both"/>
        <w:ind w:left="400" w:hanging="392"/>
        <w:spacing w:after="0" w:line="221"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Weighted by amortized cost of debt investments. Investments are financed by debt and equity capital. This analysis assumes longer-dated investments are currently funded by equity capital (54% of investments) and the remaining (shorter-dated) investments (46% of investments) are currently funded by debt financing. Investments for purposes of this analysis exclude unfunded commitments, and equity capital is defined as 9/30/21 net assets.</w:t>
      </w:r>
    </w:p>
    <w:p>
      <w:pPr>
        <w:ind w:left="400" w:hanging="392"/>
        <w:spacing w:after="0" w:line="221" w:lineRule="auto"/>
        <w:tabs>
          <w:tab w:leader="none" w:pos="4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Weighted by gross commitment amount.</w:t>
      </w:r>
    </w:p>
    <w:p>
      <w:pPr>
        <w:spacing w:after="0"/>
        <w:rPr>
          <w:sz w:val="20"/>
          <w:szCs w:val="20"/>
          <w:color w:val="auto"/>
        </w:rPr>
      </w:pPr>
      <w:r>
        <w:rPr>
          <w:rFonts w:ascii="Arial" w:cs="Arial" w:eastAsia="Arial" w:hAnsi="Arial"/>
          <w:sz w:val="14"/>
          <w:szCs w:val="14"/>
          <w:color w:val="auto"/>
        </w:rPr>
        <w:t>Note: Numbers may not sum due to rounding.</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conference call to discuss the Company’s financial results will be held live at 8:30 a.m. Eastern Time on November 3, 2021. Please visit TSLX’s webcast link located on the Events &amp; Presentations page of the Investor Resources section of TSLX’s website http://www.sixthstreetspecialtylending.com for a slide presentation that complements the Earnings Conference Call. Please visit the website to test your connection before the webcast.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8554469</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callers will need to enter the Conference ID followed by the # sign and reference “Sixth Street Specialty Lending” once connected with the operator.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callers are asked to dial in 10-15 minutes prior to the call so that name and company information can be collected.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An archived replay will be available from approximately 12:00 p.m. Eastern Time on November 3 through November 10 via a webcast link located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8554469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8"/>
        </w:trPr>
        <w:tc>
          <w:tcPr>
            <w:tcW w:w="4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September 30, 2021</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June 30, 2021</w:t>
            </w:r>
          </w:p>
        </w:tc>
        <w:tc>
          <w:tcPr>
            <w:tcW w:w="160" w:type="dxa"/>
            <w:vAlign w:val="bottom"/>
          </w:tcPr>
          <w:p>
            <w:pPr>
              <w:spacing w:after="0"/>
              <w:rPr>
                <w:sz w:val="14"/>
                <w:szCs w:val="14"/>
                <w:color w:val="auto"/>
              </w:rPr>
            </w:pPr>
          </w:p>
        </w:tc>
        <w:tc>
          <w:tcPr>
            <w:tcW w:w="18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r>
      <w:tr>
        <w:trPr>
          <w:trHeight w:val="156"/>
        </w:trPr>
        <w:tc>
          <w:tcPr>
            <w:tcW w:w="47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2,406.5</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2,100.8</w:t>
            </w:r>
          </w:p>
        </w:tc>
        <w:tc>
          <w:tcPr>
            <w:tcW w:w="36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2,438.5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2,608.4</w:t>
            </w:r>
          </w:p>
        </w:tc>
        <w:tc>
          <w:tcPr>
            <w:tcW w:w="6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2,136.6</w:t>
            </w:r>
          </w:p>
        </w:tc>
        <w:tc>
          <w:tcPr>
            <w:tcW w:w="36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Share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36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0.02</w:t>
            </w:r>
          </w:p>
        </w:tc>
        <w:tc>
          <w:tcPr>
            <w:tcW w:w="6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0.10</w:t>
            </w:r>
          </w:p>
        </w:tc>
        <w:tc>
          <w:tcPr>
            <w:tcW w:w="360" w:type="dxa"/>
            <w:vAlign w:val="bottom"/>
          </w:tcPr>
          <w:p>
            <w:pPr>
              <w:spacing w:after="0"/>
              <w:rPr>
                <w:sz w:val="19"/>
                <w:szCs w:val="19"/>
                <w:color w:val="auto"/>
              </w:rPr>
            </w:pPr>
          </w:p>
        </w:tc>
      </w:tr>
      <w:tr>
        <w:trPr>
          <w:trHeight w:val="257"/>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Special Dividend Per Share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FF0FC"/>
          </w:tcPr>
          <w:p>
            <w:pPr>
              <w:spacing w:after="0"/>
              <w:rPr>
                <w:sz w:val="22"/>
                <w:szCs w:val="22"/>
                <w:color w:val="auto"/>
              </w:rPr>
            </w:pPr>
          </w:p>
        </w:tc>
      </w:tr>
      <w:tr>
        <w:trPr>
          <w:trHeight w:val="250"/>
        </w:trPr>
        <w:tc>
          <w:tcPr>
            <w:tcW w:w="4700" w:type="dxa"/>
            <w:vAlign w:val="bottom"/>
          </w:tcPr>
          <w:p>
            <w:pPr>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16.61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16.83</w:t>
            </w:r>
          </w:p>
        </w:tc>
        <w:tc>
          <w:tcPr>
            <w:tcW w:w="60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16.77</w:t>
            </w:r>
          </w:p>
        </w:tc>
        <w:tc>
          <w:tcPr>
            <w:tcW w:w="360" w:type="dxa"/>
            <w:vAlign w:val="bottom"/>
          </w:tcPr>
          <w:p>
            <w:pPr>
              <w:spacing w:after="0"/>
              <w:rPr>
                <w:sz w:val="21"/>
                <w:szCs w:val="21"/>
                <w:color w:val="auto"/>
              </w:rPr>
            </w:pPr>
          </w:p>
        </w:tc>
      </w:tr>
      <w:tr>
        <w:trPr>
          <w:trHeight w:val="263"/>
        </w:trPr>
        <w:tc>
          <w:tcPr>
            <w:tcW w:w="47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Investment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71.2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62.8</w:t>
            </w:r>
          </w:p>
        </w:tc>
        <w:tc>
          <w:tcPr>
            <w:tcW w:w="6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71.3</w:t>
            </w:r>
          </w:p>
        </w:tc>
        <w:tc>
          <w:tcPr>
            <w:tcW w:w="360" w:type="dxa"/>
            <w:vAlign w:val="bottom"/>
          </w:tcPr>
          <w:p>
            <w:pPr>
              <w:spacing w:after="0"/>
              <w:rPr>
                <w:sz w:val="19"/>
                <w:szCs w:val="19"/>
                <w:color w:val="auto"/>
              </w:rPr>
            </w:pPr>
          </w:p>
        </w:tc>
      </w:tr>
      <w:tr>
        <w:trPr>
          <w:trHeight w:val="257"/>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Adjusted Net Investment Income</w:t>
            </w:r>
            <w:r>
              <w:rPr>
                <w:rFonts w:ascii="Arial" w:cs="Arial" w:eastAsia="Arial" w:hAnsi="Arial"/>
                <w:sz w:val="15"/>
                <w:szCs w:val="15"/>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360" w:type="dxa"/>
            <w:vAlign w:val="bottom"/>
            <w:shd w:val="clear" w:color="auto" w:fill="CFF0FC"/>
          </w:tcPr>
          <w:p>
            <w:pPr>
              <w:spacing w:after="0"/>
              <w:rPr>
                <w:sz w:val="22"/>
                <w:szCs w:val="22"/>
                <w:color w:val="auto"/>
              </w:rPr>
            </w:pPr>
          </w:p>
        </w:tc>
      </w:tr>
      <w:tr>
        <w:trPr>
          <w:trHeight w:val="250"/>
        </w:trPr>
        <w:tc>
          <w:tcPr>
            <w:tcW w:w="4700" w:type="dxa"/>
            <w:vAlign w:val="bottom"/>
          </w:tcPr>
          <w:p>
            <w:pPr>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5"/>
                <w:szCs w:val="15"/>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64.0</w:t>
            </w:r>
          </w:p>
        </w:tc>
        <w:tc>
          <w:tcPr>
            <w:tcW w:w="60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81.9</w:t>
            </w:r>
          </w:p>
        </w:tc>
        <w:tc>
          <w:tcPr>
            <w:tcW w:w="360" w:type="dxa"/>
            <w:vAlign w:val="bottom"/>
          </w:tcPr>
          <w:p>
            <w:pPr>
              <w:spacing w:after="0"/>
              <w:rPr>
                <w:sz w:val="21"/>
                <w:szCs w:val="21"/>
                <w:color w:val="auto"/>
              </w:rPr>
            </w:pPr>
          </w:p>
        </w:tc>
      </w:tr>
      <w:tr>
        <w:trPr>
          <w:trHeight w:val="26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Gains Incentive Fee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FF0FC"/>
          </w:tcPr>
          <w:p>
            <w:pPr>
              <w:spacing w:after="0"/>
              <w:rPr>
                <w:sz w:val="22"/>
                <w:szCs w:val="22"/>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27.4</w:t>
            </w:r>
          </w:p>
        </w:tc>
        <w:tc>
          <w:tcPr>
            <w:tcW w:w="6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41.1</w:t>
            </w:r>
          </w:p>
        </w:tc>
        <w:tc>
          <w:tcPr>
            <w:tcW w:w="360" w:type="dxa"/>
            <w:vAlign w:val="bottom"/>
          </w:tcPr>
          <w:p>
            <w:pPr>
              <w:spacing w:after="0"/>
              <w:rPr>
                <w:sz w:val="19"/>
                <w:szCs w:val="19"/>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360" w:type="dxa"/>
            <w:vAlign w:val="bottom"/>
            <w:shd w:val="clear" w:color="auto" w:fill="CFF0FC"/>
          </w:tcPr>
          <w:p>
            <w:pPr>
              <w:spacing w:after="0"/>
              <w:rPr>
                <w:sz w:val="19"/>
                <w:szCs w:val="19"/>
                <w:color w:val="auto"/>
              </w:rPr>
            </w:pPr>
          </w:p>
        </w:tc>
      </w:tr>
      <w:tr>
        <w:trPr>
          <w:trHeight w:val="257"/>
        </w:trPr>
        <w:tc>
          <w:tcPr>
            <w:tcW w:w="4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Adjusted Net Investment Income Per Share</w:t>
            </w:r>
            <w:r>
              <w:rPr>
                <w:rFonts w:ascii="Arial" w:cs="Arial" w:eastAsia="Arial" w:hAnsi="Arial"/>
                <w:sz w:val="15"/>
                <w:szCs w:val="15"/>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36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Adjusted Net Income Per Share</w:t>
            </w:r>
            <w:r>
              <w:rPr>
                <w:rFonts w:ascii="Arial" w:cs="Arial" w:eastAsia="Arial" w:hAnsi="Arial"/>
                <w:sz w:val="15"/>
                <w:szCs w:val="15"/>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0.80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0.88</w:t>
            </w:r>
          </w:p>
        </w:tc>
        <w:tc>
          <w:tcPr>
            <w:tcW w:w="6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9"/>
                <w:szCs w:val="19"/>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Gains Incentive Fee Expense Per Share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FF0FC"/>
          </w:tcPr>
          <w:p>
            <w:pPr>
              <w:spacing w:after="0"/>
              <w:rPr>
                <w:sz w:val="19"/>
                <w:szCs w:val="19"/>
                <w:color w:val="auto"/>
              </w:rPr>
            </w:pPr>
          </w:p>
        </w:tc>
      </w:tr>
      <w:tr>
        <w:trPr>
          <w:trHeight w:val="250"/>
        </w:trPr>
        <w:tc>
          <w:tcPr>
            <w:tcW w:w="470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0.50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0.38</w:t>
            </w:r>
          </w:p>
        </w:tc>
        <w:tc>
          <w:tcPr>
            <w:tcW w:w="60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0.61</w:t>
            </w:r>
          </w:p>
        </w:tc>
        <w:tc>
          <w:tcPr>
            <w:tcW w:w="360" w:type="dxa"/>
            <w:vAlign w:val="bottom"/>
          </w:tcPr>
          <w:p>
            <w:pPr>
              <w:spacing w:after="0"/>
              <w:rPr>
                <w:sz w:val="21"/>
                <w:szCs w:val="21"/>
                <w:color w:val="auto"/>
              </w:rPr>
            </w:pPr>
          </w:p>
        </w:tc>
      </w:tr>
      <w:tr>
        <w:trPr>
          <w:trHeight w:val="26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600" w:type="dxa"/>
            <w:vAlign w:val="bottom"/>
            <w:shd w:val="clear" w:color="auto" w:fill="CFF0FC"/>
          </w:tcPr>
          <w:p>
            <w:pPr>
              <w:spacing w:after="0"/>
              <w:rPr>
                <w:sz w:val="22"/>
                <w:szCs w:val="22"/>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360" w:type="dxa"/>
            <w:vAlign w:val="bottom"/>
            <w:shd w:val="clear" w:color="auto" w:fill="CFF0FC"/>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92" w:right="339" w:bottom="1440" w:gutter="0" w:footer="0" w:header="0"/>
        </w:sectPr>
      </w:pPr>
    </w:p>
    <w:p>
      <w:pPr>
        <w:spacing w:after="0" w:line="56" w:lineRule="exact"/>
        <w:rPr>
          <w:sz w:val="20"/>
          <w:szCs w:val="20"/>
          <w:color w:val="auto"/>
        </w:rPr>
      </w:pPr>
    </w:p>
    <w:p>
      <w:pPr>
        <w:ind w:right="1240"/>
        <w:spacing w:after="0" w:line="258" w:lineRule="auto"/>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15"/>
          <w:szCs w:val="15"/>
          <w:color w:val="auto"/>
        </w:rPr>
        <w:t>(2) (3)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Annualized Return on Equity (Adjusted Net Income) </w:t>
      </w:r>
      <w:r>
        <w:rPr>
          <w:rFonts w:ascii="Arial" w:cs="Arial" w:eastAsia="Arial" w:hAnsi="Arial"/>
          <w:sz w:val="13"/>
          <w:szCs w:val="13"/>
          <w:color w:val="auto"/>
        </w:rPr>
        <w:t>(2)</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5"/>
              </w:rPr>
              <w:t>13.0</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0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380" w:type="dxa"/>
            <w:vAlign w:val="bottom"/>
          </w:tcPr>
          <w:p>
            <w:pPr>
              <w:jc w:val="right"/>
              <w:spacing w:after="0"/>
              <w:rPr>
                <w:sz w:val="20"/>
                <w:szCs w:val="20"/>
                <w:color w:val="auto"/>
              </w:rPr>
            </w:pPr>
            <w:r>
              <w:rPr>
                <w:rFonts w:ascii="Arial" w:cs="Arial" w:eastAsia="Arial" w:hAnsi="Arial"/>
                <w:sz w:val="18"/>
                <w:szCs w:val="18"/>
                <w:color w:val="auto"/>
                <w:w w:val="85"/>
              </w:rPr>
              <w:t>19.0</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c>
          <w:tcPr>
            <w:tcW w:w="10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-479425</wp:posOffset>
            </wp:positionV>
            <wp:extent cx="7132320"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60325</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260" w:space="720"/>
            <w:col w:w="5260"/>
          </w:cols>
          <w:pgMar w:left="320" w:top="1192" w:right="339" w:bottom="1440" w:gutter="0" w:footer="0" w:header="0"/>
          <w:type w:val="continuous"/>
        </w:sectPr>
      </w:pPr>
    </w:p>
    <w:p>
      <w:pPr>
        <w:spacing w:after="0"/>
        <w:rPr>
          <w:sz w:val="20"/>
          <w:szCs w:val="20"/>
          <w:color w:val="auto"/>
        </w:rPr>
      </w:pPr>
      <w:r>
        <w:rPr>
          <w:rFonts w:ascii="Arial" w:cs="Arial" w:eastAsia="Arial" w:hAnsi="Arial"/>
          <w:sz w:val="16"/>
          <w:szCs w:val="16"/>
          <w:color w:val="auto"/>
        </w:rPr>
        <w:t>Annualized Return on Equity (Net Investment Income)</w:t>
      </w:r>
      <w:r>
        <w:rPr>
          <w:rFonts w:ascii="Arial" w:cs="Arial" w:eastAsia="Arial" w:hAnsi="Arial"/>
          <w:sz w:val="13"/>
          <w:szCs w:val="13"/>
          <w:color w:val="auto"/>
        </w:rPr>
        <w:t>(3)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Annualized Return on Equity (Net Income)</w:t>
      </w:r>
      <w:r>
        <w:rPr>
          <w:rFonts w:ascii="Arial" w:cs="Arial" w:eastAsia="Arial" w:hAnsi="Arial"/>
          <w:sz w:val="15"/>
          <w:szCs w:val="15"/>
          <w:color w:val="auto"/>
        </w:rPr>
        <w:t>(3)</w:t>
      </w:r>
    </w:p>
    <w:p>
      <w:pPr>
        <w:spacing w:after="0" w:line="360" w:lineRule="exact"/>
        <w:rPr>
          <w:sz w:val="20"/>
          <w:szCs w:val="20"/>
          <w:color w:val="auto"/>
        </w:rPr>
      </w:pPr>
    </w:p>
    <w:p>
      <w:pPr>
        <w:ind w:right="1220"/>
        <w:spacing w:after="0" w:line="258" w:lineRule="auto"/>
        <w:rPr>
          <w:sz w:val="20"/>
          <w:szCs w:val="20"/>
          <w:color w:val="auto"/>
        </w:rPr>
      </w:pPr>
      <w:r>
        <w:rPr>
          <w:rFonts w:ascii="Arial" w:cs="Arial" w:eastAsia="Arial" w:hAnsi="Arial"/>
          <w:sz w:val="18"/>
          <w:szCs w:val="18"/>
          <w:color w:val="auto"/>
        </w:rPr>
        <w:t>Weighted Average Yield of Debt and Income Producing Securities at Fair Value</w:t>
      </w:r>
    </w:p>
    <w:p>
      <w:pPr>
        <w:spacing w:after="0" w:line="1" w:lineRule="exact"/>
        <w:rPr>
          <w:sz w:val="20"/>
          <w:szCs w:val="20"/>
          <w:color w:val="auto"/>
        </w:rPr>
      </w:pPr>
    </w:p>
    <w:p>
      <w:pPr>
        <w:ind w:right="1220"/>
        <w:spacing w:after="0" w:line="258" w:lineRule="auto"/>
        <w:rPr>
          <w:sz w:val="20"/>
          <w:szCs w:val="20"/>
          <w:color w:val="auto"/>
        </w:rPr>
      </w:pPr>
      <w:r>
        <w:rPr>
          <w:rFonts w:ascii="Arial" w:cs="Arial" w:eastAsia="Arial" w:hAnsi="Arial"/>
          <w:sz w:val="18"/>
          <w:szCs w:val="18"/>
          <w:color w:val="auto"/>
        </w:rPr>
        <w:t>Weighted Average Yield of Debt and Income Producing Securities at Amortized Cost</w:t>
      </w:r>
    </w:p>
    <w:p>
      <w:pPr>
        <w:ind w:right="1140"/>
        <w:spacing w:after="0" w:line="276" w:lineRule="auto"/>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5"/>
              </w:rPr>
              <w:t>11.9</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10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380" w:type="dxa"/>
            <w:vAlign w:val="bottom"/>
          </w:tcPr>
          <w:p>
            <w:pPr>
              <w:jc w:val="right"/>
              <w:spacing w:after="0"/>
              <w:rPr>
                <w:sz w:val="20"/>
                <w:szCs w:val="20"/>
                <w:color w:val="auto"/>
              </w:rPr>
            </w:pPr>
            <w:r>
              <w:rPr>
                <w:rFonts w:ascii="Arial" w:cs="Arial" w:eastAsia="Arial" w:hAnsi="Arial"/>
                <w:sz w:val="18"/>
                <w:szCs w:val="18"/>
                <w:color w:val="auto"/>
                <w:w w:val="85"/>
              </w:rPr>
              <w:t>17.9</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10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75"/>
        </w:trPr>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w:t>
            </w:r>
          </w:p>
        </w:tc>
        <w:tc>
          <w:tcPr>
            <w:tcW w:w="10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38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c>
          <w:tcPr>
            <w:tcW w:w="10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5"/>
        </w:trPr>
        <w:tc>
          <w:tcPr>
            <w:tcW w:w="380" w:type="dxa"/>
            <w:vAlign w:val="bottom"/>
          </w:tcPr>
          <w:p>
            <w:pPr>
              <w:jc w:val="right"/>
              <w:spacing w:after="0"/>
              <w:rPr>
                <w:sz w:val="20"/>
                <w:szCs w:val="20"/>
                <w:color w:val="auto"/>
              </w:rPr>
            </w:pPr>
            <w:r>
              <w:rPr>
                <w:rFonts w:ascii="Arial" w:cs="Arial" w:eastAsia="Arial" w:hAnsi="Arial"/>
                <w:sz w:val="18"/>
                <w:szCs w:val="18"/>
                <w:color w:val="auto"/>
                <w:w w:val="85"/>
              </w:rPr>
              <w:t>98.9</w:t>
            </w:r>
          </w:p>
        </w:tc>
        <w:tc>
          <w:tcPr>
            <w:tcW w:w="108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98.9</w:t>
            </w:r>
          </w:p>
        </w:tc>
        <w:tc>
          <w:tcPr>
            <w:tcW w:w="10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-942340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282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18" w:lineRule="exact"/>
        <w:rPr>
          <w:sz w:val="20"/>
          <w:szCs w:val="20"/>
          <w:color w:val="auto"/>
        </w:rPr>
      </w:pPr>
    </w:p>
    <w:p>
      <w:pPr>
        <w:sectPr>
          <w:pgSz w:w="11900" w:h="16838" w:orient="portrait"/>
          <w:cols w:equalWidth="0" w:num="2">
            <w:col w:w="5260" w:space="720"/>
            <w:col w:w="5260"/>
          </w:cols>
          <w:pgMar w:left="320" w:top="1192" w:right="339" w:bottom="1440" w:gutter="0" w:footer="0" w:header="0"/>
          <w:type w:val="continuous"/>
        </w:sectPr>
      </w:pPr>
    </w:p>
    <w:p>
      <w:pPr>
        <w:ind w:left="400" w:hanging="392"/>
        <w:spacing w:after="0"/>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or special dividend in the applicable period.</w:t>
      </w:r>
    </w:p>
    <w:p>
      <w:pPr>
        <w:ind w:left="400" w:hanging="392"/>
        <w:spacing w:after="0" w:line="221"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400" w:hanging="392"/>
        <w:spacing w:after="0" w:line="221"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ind w:left="400" w:right="20" w:hanging="392"/>
        <w:spacing w:after="0" w:line="237" w:lineRule="auto"/>
        <w:tabs>
          <w:tab w:leader="none" w:pos="4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$2,222,335 and $2,187,427,</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2,327,321</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2,249,302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w w:val="96"/>
              </w:rPr>
              <w:t>Non-controlled, affiliated investments (amortized cost of $12,723 and $12,892, respectively)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$63,332 and $58,709, respectively)</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$2,298,390 and $2,259,028, respectively)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2,406,465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2,298,870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$12,815 and $10,815, respectively)</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2,438,474</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$20,813 and $17,246, respectively)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1,103,114</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1,110,363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29,863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1,186,629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1,177,278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2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w w:val="98"/>
              </w:rPr>
              <w:t>Common stock, $0.01 par value; 400,000,000 shares authorized, 73,145,021 and 67,980,253</w:t>
            </w: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w w:val="98"/>
              </w:rPr>
              <w:t>shares issued, respectively; and 72,848,977 and 67,684,209 shares outstanding, respectively</w:t>
            </w:r>
          </w:p>
        </w:tc>
        <w:tc>
          <w:tcPr>
            <w:tcW w:w="2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1,134,015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1,025,676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296,044 and 296,044 shares held, respectively</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139,250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1,251,845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1,161,315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2,438,474</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655"/>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345"/>
        </w:trPr>
        <w:tc>
          <w:tcPr>
            <w:tcW w:w="7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92" w:right="319" w:bottom="1440" w:gutter="0" w:footer="0" w:header="0"/>
        </w:sectPr>
      </w:pPr>
    </w:p>
    <w:bookmarkStart w:id="10" w:name="page11"/>
    <w:bookmarkEnd w:id="10"/>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Sixth Street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4"/>
                <w:szCs w:val="14"/>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1"/>
              </w:rPr>
              <w:t>September 30, 2020</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September 30, 2021</w:t>
            </w:r>
          </w:p>
        </w:tc>
        <w:tc>
          <w:tcPr>
            <w:tcW w:w="10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156"/>
        </w:trPr>
        <w:tc>
          <w:tcPr>
            <w:tcW w:w="5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3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640" w:type="dxa"/>
            <w:vAlign w:val="bottom"/>
            <w:gridSpan w:val="2"/>
            <w:shd w:val="clear" w:color="auto" w:fill="CFF0FC"/>
          </w:tcPr>
          <w:p>
            <w:pPr>
              <w:jc w:val="right"/>
              <w:ind w:right="203"/>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67,369</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59,786</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188,852</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4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181,667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8,080</w:t>
            </w:r>
          </w:p>
        </w:tc>
        <w:tc>
          <w:tcPr>
            <w:tcW w:w="2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5,191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17,306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69,950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68,329</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196,124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200,312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3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2,091</w:t>
            </w:r>
          </w:p>
        </w:tc>
        <w:tc>
          <w:tcPr>
            <w:tcW w:w="26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4,610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895</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income</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1,040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896</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2,970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2,897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71,200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71,316</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200,269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207,819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Interest</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8,399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28,999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9,545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7,839</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27,701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Incentive fees on net investment income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8,719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24,232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on net capital gains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13,548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Professional fees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4,688</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34,686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28,212</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103,563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89,575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Management fees waived</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34,626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28,212</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103,373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89,575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36,574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43,104</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96,896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118,244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32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2,000</w:t>
            </w:r>
          </w:p>
        </w:tc>
        <w:tc>
          <w:tcPr>
            <w:tcW w:w="26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36,470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41,104</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96,167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114,234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39,106</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43,111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(3,607)</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15,048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(14,392)</w:t>
            </w: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(4,557)</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(1,502)</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(1,498)</w:t>
            </w:r>
          </w:p>
        </w:tc>
        <w:tc>
          <w:tcPr>
            <w:tcW w:w="3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(4,775)</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3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29,046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29,775</w:t>
            </w:r>
          </w:p>
        </w:tc>
        <w:tc>
          <w:tcPr>
            <w:tcW w:w="2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67,747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(10,512)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(265)</w:t>
            </w:r>
          </w:p>
        </w:tc>
        <w:tc>
          <w:tcPr>
            <w:tcW w:w="3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affiliated investments</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11,819</w:t>
            </w:r>
          </w:p>
        </w:tc>
        <w:tc>
          <w:tcPr>
            <w:tcW w:w="2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(498)</w:t>
            </w:r>
          </w:p>
        </w:tc>
        <w:tc>
          <w:tcPr>
            <w:tcW w:w="3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(4,133)</w:t>
            </w:r>
          </w:p>
        </w:tc>
        <w:tc>
          <w:tcPr>
            <w:tcW w:w="0" w:type="dxa"/>
            <w:vAlign w:val="bottom"/>
          </w:tcPr>
          <w:p>
            <w:pPr>
              <w:spacing w:after="0"/>
              <w:rPr>
                <w:sz w:val="1"/>
                <w:szCs w:val="1"/>
                <w:color w:val="auto"/>
              </w:rPr>
            </w:pPr>
          </w:p>
        </w:tc>
      </w:tr>
      <w:tr>
        <w:trPr>
          <w:trHeight w:val="162"/>
        </w:trPr>
        <w:tc>
          <w:tcPr>
            <w:tcW w:w="5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Extinguishment of debt</w:t>
            </w: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55"/>
        </w:trPr>
        <w:tc>
          <w:tcPr>
            <w:tcW w:w="500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3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(10,560)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10,978</w:t>
            </w:r>
          </w:p>
        </w:tc>
        <w:tc>
          <w:tcPr>
            <w:tcW w:w="26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6,048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8,065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18,486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40,753</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73,795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10,394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0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32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203"/>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54,956</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81,857</w:t>
            </w:r>
          </w:p>
        </w:tc>
        <w:tc>
          <w:tcPr>
            <w:tcW w:w="26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169,962</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124,628</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4"/>
                <w:szCs w:val="14"/>
                <w:color w:val="auto"/>
              </w:rPr>
              <w:t>Earnings per common share—basic</w:t>
            </w:r>
          </w:p>
        </w:tc>
        <w:tc>
          <w:tcPr>
            <w:tcW w:w="6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tcBorders>
              <w:bottom w:val="single" w:sz="8" w:color="CFF0FC"/>
            </w:tcBorders>
            <w:vMerge w:val="continue"/>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0.75</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428"/>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1.21</w:t>
            </w:r>
          </w:p>
        </w:tc>
        <w:tc>
          <w:tcPr>
            <w:tcW w:w="260" w:type="dxa"/>
            <w:vAlign w:val="bottom"/>
            <w:tcBorders>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2.37</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40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1.86</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72,808,730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67,584,660</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71,696,874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67,068,166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per common share—diluted</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80,515,411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67,584,660</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79,403,555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67,068,166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Company’s investment activity for quarter ended September 30, 2021 and 2020 is presented below (information presented herein is at par value unless otherwise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2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568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w w:val="93"/>
              </w:rPr>
              <w:t>September 30, 2021</w:t>
            </w: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3"/>
              </w:rPr>
              <w:t>September 30, 2020</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572.4</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1,385.3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949.8</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105.4</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435.5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65.1</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65.4</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277.6</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75.0</w:t>
            </w: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6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fully sold or paid down</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56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45"/>
        </w:trPr>
        <w:tc>
          <w:tcPr>
            <w:tcW w:w="56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$50 billion of assets under management. For more information, visit the Company’s website at www.sixthstreetspecialtylending.com.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Sixth Street is a global investment firm with over $50 billion in assets under management and committed capital. Sixth Street uses its long-term flexible capital, cross-platform approach, and data-enabled capabilities to develop themes and offer solutions to companies across all stages of growth. Sixth Street operates nine diversified, collaborative investment platforms: TAO, Growth, Direct Lending, Fundamental Strategies, Infrastructure, Opportunities, Insurance, Agriculture, and Credit Market Strategies. Founded in 2009, Sixth Street has more than 320 team members including over 145 investment professionals operating from nine locations around the world. For more information, visit www.sixthstreet.com.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including expectations with respect to the Company’s portfolio companies.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2021-11-02T15:19:40Z</dcterms:created>
  <dcterms:modified xsi:type="dcterms:W3CDTF">2021-11-02T15:19:40Z</dcterms:modified>
</cp:coreProperties>
</file>