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250825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4180" w:type="dxa"/>
            <w:vAlign w:val="bottom"/>
          </w:tcPr>
          <w:p>
            <w:pPr>
              <w:jc w:val="center"/>
              <w:ind w:right="23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8"/>
        </w:trPr>
        <w:tc>
          <w:tcPr>
            <w:tcW w:w="4180" w:type="dxa"/>
            <w:vAlign w:val="bottom"/>
          </w:tcPr>
          <w:p>
            <w:pPr>
              <w:jc w:val="center"/>
              <w:ind w:right="23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tcPr>
          <w:p>
            <w:pPr>
              <w:jc w:val="center"/>
              <w:ind w:right="23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7"/>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280" w:type="dxa"/>
            <w:vAlign w:val="bottom"/>
          </w:tcPr>
          <w:p>
            <w:pPr>
              <w:spacing w:after="0"/>
              <w:rPr>
                <w:sz w:val="19"/>
                <w:szCs w:val="19"/>
                <w:color w:val="auto"/>
              </w:rPr>
            </w:pPr>
          </w:p>
        </w:tc>
        <w:tc>
          <w:tcPr>
            <w:tcW w:w="2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180" w:type="dxa"/>
            <w:vAlign w:val="bottom"/>
          </w:tcPr>
          <w:p>
            <w:pPr>
              <w:jc w:val="center"/>
              <w:ind w:left="1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251460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40" w:type="dxa"/>
            <w:vAlign w:val="bottom"/>
            <w:gridSpan w:val="2"/>
            <w:vMerge w:val="continue"/>
          </w:tcPr>
          <w:p>
            <w:pPr>
              <w:spacing w:after="0"/>
              <w:rPr>
                <w:sz w:val="16"/>
                <w:szCs w:val="16"/>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TSLX</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8.01 – 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27, 2021, Sixth Street Specialty Lending, Inc. (the “Company”) entered into an underwriting agreement (the “Underwriting Agreement”) by and among the Company, Sixth Street Specialty Lending Advisers, LLC (the “Adviser”) and BofA Securities, Inc., as representative of the several underwriters named in Schedule 1 thereto (the “Underwriters”), in connection with the issuance and sale of $300,000,000 aggregate principal amount of the Company’s 2.500% Notes due 2026 (the “Offering”).</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Offering was made pursuant to the Company’s effective shelf registration statement on Form N-2 (Registration No. 333-231271) previously filed with the Securities and Exchange Commission, as supplemented by a preliminary prospectus supplement dated January 27, 2021 and a final prospectus supplement dated January 27, 2021.</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10080" w:type="dxa"/>
            <w:vAlign w:val="bottom"/>
            <w:vMerge w:val="restart"/>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5"/>
                <w:szCs w:val="15"/>
                <w:color w:val="auto"/>
              </w:rPr>
            </w:pPr>
          </w:p>
        </w:tc>
        <w:tc>
          <w:tcPr>
            <w:tcW w:w="10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720" w:type="dxa"/>
            <w:vAlign w:val="bottom"/>
            <w:gridSpan w:val="2"/>
          </w:tcPr>
          <w:p>
            <w:pPr>
              <w:ind w:left="64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u w:val="single" w:color="auto"/>
                  <w:color w:val="0000EE"/>
                </w:rPr>
                <w:t>Underwriting Agreement, dated January 27, 2021, by and among the Company, the Adviser and the Underwriters</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6420" w:val="left"/>
          <w:tab w:leader="none" w:pos="6840" w:val="left"/>
        </w:tabs>
        <w:rPr>
          <w:sz w:val="20"/>
          <w:szCs w:val="20"/>
          <w:color w:val="auto"/>
        </w:rPr>
      </w:pPr>
      <w:r>
        <w:rPr>
          <w:rFonts w:ascii="Times New Roman" w:cs="Times New Roman" w:eastAsia="Times New Roman" w:hAnsi="Times New Roman"/>
          <w:sz w:val="18"/>
          <w:szCs w:val="18"/>
          <w:color w:val="auto"/>
        </w:rPr>
        <w:t>Date: January 29,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0"/>
          </w:cols>
          <w:pgMar w:left="320" w:top="270"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 Notes due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27,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auto"/>
        </w:rPr>
        <w:t>Sixth Street Specialty Lending, Inc., a Delaware corporation (the “Company”), proposes, subject to the terms and conditions stated herein, to issue and sell to the several Underwriters listed in Schedule 1 hereto (the “Underwriters”), for whom you are acting as representative (in such capacity, the “Representative”), $300,000,000 aggregate principal amount of 2.500% Notes due 2026 of the Company (the “Securities”).</w:t>
      </w:r>
    </w:p>
    <w:p>
      <w:pPr>
        <w:spacing w:after="0" w:line="176"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The Securities will be issued under an indenture, dated as of January 22, 2018 (the “Base Indenture”), as supplemented by the Third Supplemental Indenture, dated as of February 3, 2021 (the “Third Supplemental Indenture” and, together with the Base Indenture, the “Indenture”), between the Company and Wells Fargo Bank, National Association, as trustee (the “Trustee”). The Securities will be issued in book-entry form to Cede &amp; Co. as nominee of the Depository Trust Company (“DTC”) pursuant to a blanket letter of representations, dated as of March 24, 2014, between the Company and DTC.</w:t>
      </w:r>
    </w:p>
    <w:p>
      <w:pPr>
        <w:spacing w:after="0" w:line="183"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 deems advisable after this Agreement has been executed and delivered.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Securities, as follows:</w:t>
      </w:r>
    </w:p>
    <w:p>
      <w:pPr>
        <w:spacing w:after="0" w:line="117" w:lineRule="exact"/>
        <w:rPr>
          <w:sz w:val="20"/>
          <w:szCs w:val="20"/>
          <w:color w:val="auto"/>
        </w:rPr>
      </w:pPr>
    </w:p>
    <w:p>
      <w:pPr>
        <w:ind w:right="340" w:firstLine="457"/>
        <w:spacing w:after="0" w:line="266" w:lineRule="auto"/>
        <w:tabs>
          <w:tab w:leader="none" w:pos="6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333-231271), relating to the Securities and</w:t>
      </w:r>
    </w:p>
    <w:p>
      <w:pPr>
        <w:sectPr>
          <w:pgSz w:w="11900" w:h="16838" w:orient="portrait"/>
          <w:cols w:equalWidth="0" w:num="1">
            <w:col w:w="11240"/>
          </w:cols>
          <w:pgMar w:left="320" w:top="117" w:right="33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of the Company’s other securities, which registration statement became effective upon filing with the Commission on May 7, 2019. The Company has also prepared and filed with the Commission a preliminary prospectus supplement, dated January 27, 2021, as such prospectus may be amended (the “Preliminary Prospectus Supplement”), which contains a base prospectus, dated May 7, 2019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497 (“Rule 497”).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497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497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Small Business Credit Availability Act (the “SBCAA”) or the rules of the Commission promulgated under the Securities Act, as of any specified date. All references in this Agreement to amendments or supplements to the Registration Statement or the Prospectus, including those made pursuant to Rule 497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SBCAA or the rules of the Commission promulgated thereunder or otherwise to be a part of or included in the Registration Statement or the Prospectus, as the case may be, as of any specified date.</w:t>
      </w:r>
    </w:p>
    <w:p>
      <w:pPr>
        <w:spacing w:after="0" w:line="206"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70" w:right="339" w:bottom="1440" w:gutter="0" w:footer="0" w:header="0"/>
        </w:sectPr>
      </w:pPr>
    </w:p>
    <w:bookmarkStart w:id="5" w:name="page6"/>
    <w:bookmarkEnd w:id="5"/>
    <w:p>
      <w:pPr>
        <w:ind w:right="80" w:firstLine="44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entered into an Amended and Restated Investment Advisory and Management Agreement, dated as of December 12, 2011 (the “Investment Management Agreement”), with Sixth Street Specialty Lending Advisers, LLC, a Delaware limited liability company registered as an investment adviser (the “Adviser”) under the Investment Advisers Act of 1940, as amended, and the rules and regulations thereunder (the “Advisers Act”).</w:t>
      </w:r>
    </w:p>
    <w:p>
      <w:pPr>
        <w:spacing w:after="0" w:line="176"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an Amended and Restated Administration Agreement, dated as of February 22, 2017 (the “Administration Agreement”) with the Adviser.</w:t>
      </w:r>
    </w:p>
    <w:p>
      <w:pPr>
        <w:spacing w:after="0" w:line="16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the Company had prepared the Preliminary Prospectus, which together with the information set forth on Schedule 2 hereto, comprises the “Pricing Disclosure Package.”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“Applicable Time” means 1:00 P.M., New York City time, on January 27, 2021.</w:t>
      </w:r>
    </w:p>
    <w:p>
      <w:pPr>
        <w:spacing w:after="0" w:line="117" w:lineRule="exact"/>
        <w:rPr>
          <w:sz w:val="20"/>
          <w:szCs w:val="20"/>
          <w:color w:val="auto"/>
        </w:rPr>
      </w:pPr>
    </w:p>
    <w:p>
      <w:pPr>
        <w:ind w:left="640" w:hanging="18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57"/>
        <w:spacing w:after="0" w:line="261" w:lineRule="auto"/>
        <w:tabs>
          <w:tab w:leader="none" w:pos="6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w:t>
      </w:r>
    </w:p>
    <w:p>
      <w:pPr>
        <w:spacing w:after="0" w:line="71" w:lineRule="exact"/>
        <w:rPr>
          <w:rFonts w:ascii="Times New Roman" w:cs="Times New Roman" w:eastAsia="Times New Roman" w:hAnsi="Times New Roman"/>
          <w:sz w:val="18"/>
          <w:szCs w:val="18"/>
          <w:color w:val="auto"/>
        </w:rPr>
      </w:pPr>
    </w:p>
    <w:p>
      <w:pPr>
        <w:ind w:right="100" w:firstLine="457"/>
        <w:spacing w:after="0" w:line="266" w:lineRule="auto"/>
        <w:tabs>
          <w:tab w:leader="none" w:pos="7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offer the Securities for resale on the terms set forth in the Pricing Disclosure Package and the Prospectus, as in the judgment of the Representative is advisable. The Company acknowledges and agrees that the Underwriters may offer and sell Securities to or through any affiliate of an Underwriter.</w:t>
      </w:r>
    </w:p>
    <w:p>
      <w:pPr>
        <w:spacing w:after="0" w:line="67" w:lineRule="exact"/>
        <w:rPr>
          <w:rFonts w:ascii="Times New Roman" w:cs="Times New Roman" w:eastAsia="Times New Roman" w:hAnsi="Times New Roman"/>
          <w:sz w:val="18"/>
          <w:szCs w:val="18"/>
          <w:color w:val="auto"/>
        </w:rPr>
      </w:pPr>
    </w:p>
    <w:p>
      <w:pPr>
        <w:jc w:val="both"/>
        <w:ind w:right="40" w:firstLine="457"/>
        <w:spacing w:after="0" w:line="261" w:lineRule="auto"/>
        <w:tabs>
          <w:tab w:leader="none" w:pos="6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 specified by the Company to the Representative, at the offices of Ropes &amp; Gray LLP, 1211 Avenue of the Americas, New York, NY 10036, at 10:00 A.M., New York City time, on February 3, 2021, or at such other time or place on the same or such other date, not later than the fifth business day thereafter, as the Representative and the Company may agree upon in writing. The time and date of such payment for the Securities is referred to herein as the “Closing Date.”</w:t>
      </w:r>
    </w:p>
    <w:p>
      <w:pPr>
        <w:spacing w:after="0" w:line="72"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auto"/>
        </w:rPr>
        <w:t>Payment for the Securities shall be made against delivery to the Representative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 shall otherwise instruct.</w:t>
      </w:r>
    </w:p>
    <w:p>
      <w:pPr>
        <w:spacing w:after="0" w:line="68" w:lineRule="exact"/>
        <w:rPr>
          <w:sz w:val="20"/>
          <w:szCs w:val="20"/>
          <w:color w:val="auto"/>
        </w:rPr>
      </w:pPr>
    </w:p>
    <w:p>
      <w:pPr>
        <w:ind w:right="120" w:firstLine="457"/>
        <w:spacing w:after="0" w:line="266" w:lineRule="auto"/>
        <w:tabs>
          <w:tab w:leader="none" w:pos="7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70" w:right="339" w:bottom="1440" w:gutter="0" w:footer="0" w:header="0"/>
        </w:sectPr>
      </w:pPr>
    </w:p>
    <w:bookmarkStart w:id="6" w:name="page7"/>
    <w:bookmarkEnd w:id="6"/>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Underwriter that:</w:t>
      </w:r>
    </w:p>
    <w:p>
      <w:pPr>
        <w:spacing w:after="0" w:line="115" w:lineRule="exact"/>
        <w:rPr>
          <w:sz w:val="20"/>
          <w:szCs w:val="20"/>
          <w:color w:val="auto"/>
        </w:rPr>
      </w:pPr>
    </w:p>
    <w:p>
      <w:pPr>
        <w:ind w:right="20" w:firstLine="457"/>
        <w:spacing w:after="0" w:line="256" w:lineRule="auto"/>
        <w:tabs>
          <w:tab w:leader="none" w:pos="6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the Preliminary Prospectus has been issued by the Commission,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74" w:lineRule="exact"/>
        <w:rPr>
          <w:rFonts w:ascii="Times New Roman" w:cs="Times New Roman" w:eastAsia="Times New Roman" w:hAnsi="Times New Roman"/>
          <w:sz w:val="18"/>
          <w:szCs w:val="18"/>
          <w:color w:val="auto"/>
        </w:rPr>
      </w:pPr>
    </w:p>
    <w:p>
      <w:pPr>
        <w:ind w:firstLine="457"/>
        <w:spacing w:after="0" w:line="253" w:lineRule="auto"/>
        <w:tabs>
          <w:tab w:leader="none" w:pos="7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 and Marketing Materials</w:t>
      </w:r>
      <w:r>
        <w:rPr>
          <w:rFonts w:ascii="Times New Roman" w:cs="Times New Roman" w:eastAsia="Times New Roman" w:hAnsi="Times New Roman"/>
          <w:sz w:val="18"/>
          <w:szCs w:val="18"/>
          <w:color w:val="auto"/>
        </w:rPr>
        <w:t>. The Pricing Disclosure Package and any Marketing Materials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70" w:right="339" w:bottom="1440" w:gutter="0" w:footer="0" w:header="0"/>
        </w:sectPr>
      </w:pPr>
    </w:p>
    <w:bookmarkStart w:id="7" w:name="page8"/>
    <w:bookmarkEnd w:id="7"/>
    <w:p>
      <w:pPr>
        <w:ind w:left="-20" w:firstLine="457"/>
        <w:spacing w:after="0" w:line="252" w:lineRule="auto"/>
        <w:tabs>
          <w:tab w:leader="none" w:pos="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Issuer Free Writing Prospectus</w:t>
      </w:r>
      <w:r>
        <w:rPr>
          <w:rFonts w:ascii="Times New Roman" w:cs="Times New Roman" w:eastAsia="Times New Roman" w:hAnsi="Times New Roman"/>
          <w:sz w:val="18"/>
          <w:szCs w:val="18"/>
          <w:color w:val="auto"/>
        </w:rPr>
        <w:t>. The Company (including its agents and representatives, other than the Underwriters in their capacity as such)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a Pricing Term Sheet substantially in the form of Annex A hereto and (vi) any electronic road show or other written communications, in each case approved in writing in advance by the Representative, such approval not to be unreasonably withheld.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w:t>
      </w:r>
    </w:p>
    <w:p>
      <w:pPr>
        <w:spacing w:after="0" w:line="86" w:lineRule="exact"/>
        <w:rPr>
          <w:rFonts w:ascii="Times New Roman" w:cs="Times New Roman" w:eastAsia="Times New Roman" w:hAnsi="Times New Roman"/>
          <w:sz w:val="18"/>
          <w:szCs w:val="18"/>
          <w:color w:val="auto"/>
        </w:rPr>
      </w:pPr>
    </w:p>
    <w:p>
      <w:pPr>
        <w:ind w:left="-20" w:right="260" w:firstLine="457"/>
        <w:spacing w:after="0" w:line="267" w:lineRule="auto"/>
        <w:tabs>
          <w:tab w:leader="none" w:pos="6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Prospectus, when they became effective or were filed with the Commission, as the case may be, conformed or will conform in all material respects to the requirements of the Exchange Act.</w:t>
      </w:r>
    </w:p>
    <w:p>
      <w:pPr>
        <w:spacing w:after="0" w:line="65" w:lineRule="exact"/>
        <w:rPr>
          <w:rFonts w:ascii="Times New Roman" w:cs="Times New Roman" w:eastAsia="Times New Roman" w:hAnsi="Times New Roman"/>
          <w:sz w:val="18"/>
          <w:szCs w:val="18"/>
          <w:color w:val="auto"/>
        </w:rPr>
      </w:pPr>
    </w:p>
    <w:p>
      <w:pPr>
        <w:ind w:left="-20" w:right="40" w:firstLine="457"/>
        <w:spacing w:after="0" w:line="254" w:lineRule="auto"/>
        <w:tabs>
          <w:tab w:leader="none" w:pos="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Company is eligible to use Form N-2. The Registration Statement became effective upon filing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40" w:top="268" w:right="339" w:bottom="1440" w:gutter="0" w:footer="0" w:header="0"/>
        </w:sectPr>
      </w:pPr>
    </w:p>
    <w:bookmarkStart w:id="8" w:name="page9"/>
    <w:bookmarkEnd w:id="8"/>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73" w:lineRule="exact"/>
        <w:rPr>
          <w:sz w:val="20"/>
          <w:szCs w:val="20"/>
          <w:color w:val="auto"/>
        </w:rPr>
      </w:pPr>
    </w:p>
    <w:p>
      <w:pPr>
        <w:ind w:firstLine="457"/>
        <w:spacing w:after="0" w:line="254" w:lineRule="auto"/>
        <w:tabs>
          <w:tab w:leader="none" w:pos="6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80" w:lineRule="exact"/>
        <w:rPr>
          <w:rFonts w:ascii="Times New Roman" w:cs="Times New Roman" w:eastAsia="Times New Roman" w:hAnsi="Times New Roman"/>
          <w:sz w:val="18"/>
          <w:szCs w:val="18"/>
          <w:color w:val="auto"/>
        </w:rPr>
      </w:pPr>
    </w:p>
    <w:p>
      <w:pPr>
        <w:ind w:right="80" w:firstLine="457"/>
        <w:spacing w:after="0" w:line="253" w:lineRule="auto"/>
        <w:tabs>
          <w:tab w:leader="none" w:pos="7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disclosed in the Registration Statement, the Pricing Disclosure Package and the Prospectus,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56,069 shares of common stock of the Company issued on December 31, 2020 and 211,904 shares of common stock of the Company issued on January 15, 2021, all of which were issued pursuant to the Company’s dividend reinvestment plan),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70" w:right="339" w:bottom="1440" w:gutter="0" w:footer="0" w:header="0"/>
        </w:sectPr>
      </w:pPr>
    </w:p>
    <w:bookmarkStart w:id="9" w:name="page10"/>
    <w:bookmarkEnd w:id="9"/>
    <w:p>
      <w:pPr>
        <w:ind w:firstLine="457"/>
        <w:spacing w:after="0" w:line="254" w:lineRule="auto"/>
        <w:tabs>
          <w:tab w:leader="none" w:pos="7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w:t>
      </w:r>
    </w:p>
    <w:p>
      <w:pPr>
        <w:spacing w:after="0" w:line="80" w:lineRule="exact"/>
        <w:rPr>
          <w:rFonts w:ascii="Times New Roman" w:cs="Times New Roman" w:eastAsia="Times New Roman" w:hAnsi="Times New Roman"/>
          <w:sz w:val="18"/>
          <w:szCs w:val="18"/>
          <w:color w:val="auto"/>
        </w:rPr>
      </w:pPr>
    </w:p>
    <w:p>
      <w:pPr>
        <w:ind w:firstLine="457"/>
        <w:spacing w:after="0" w:line="253" w:lineRule="auto"/>
        <w:tabs>
          <w:tab w:leader="none" w:pos="6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As of September 30, 2020, the Company had authorized and outstanding capital stock and material indebtedness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79" w:lineRule="exact"/>
        <w:rPr>
          <w:rFonts w:ascii="Times New Roman" w:cs="Times New Roman" w:eastAsia="Times New Roman" w:hAnsi="Times New Roman"/>
          <w:sz w:val="18"/>
          <w:szCs w:val="18"/>
          <w:color w:val="auto"/>
        </w:rPr>
      </w:pPr>
    </w:p>
    <w:p>
      <w:pPr>
        <w:ind w:left="680" w:hanging="223"/>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Company has not granted, and has no policy or expectation of granting stock options.</w:t>
      </w:r>
    </w:p>
    <w:p>
      <w:pPr>
        <w:spacing w:after="0" w:line="117" w:lineRule="exact"/>
        <w:rPr>
          <w:rFonts w:ascii="Times New Roman" w:cs="Times New Roman" w:eastAsia="Times New Roman" w:hAnsi="Times New Roman"/>
          <w:sz w:val="18"/>
          <w:szCs w:val="18"/>
          <w:color w:val="auto"/>
        </w:rPr>
      </w:pPr>
    </w:p>
    <w:p>
      <w:pPr>
        <w:jc w:val="both"/>
        <w:ind w:right="160" w:firstLine="457"/>
        <w:spacing w:after="0" w:line="257" w:lineRule="auto"/>
        <w:tabs>
          <w:tab w:leader="none" w:pos="7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corporate power and authority to execute and deliver this Agreement, the Third Supplemental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Securities, and at the applicable time had corporate power and authority to execute and deliver the Base Indenture, the Investment Management Agreement and the Administration Agreement and to perform its obligations hereunder and thereunder; and all action required to be taken for the due and proper authorization, execution and delivery by it of this Agreement, the Third Supplemental Indenture, the Base Indenture, the Securities and each of the Investment Management Agreement and the Administration Agreement and the consummation by it of the transactions contemplated hereby and thereby has been duly and validly taken.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8" w:right="339" w:bottom="1440" w:gutter="0" w:footer="0" w:header="0"/>
        </w:sectPr>
      </w:pPr>
    </w:p>
    <w:bookmarkStart w:id="10" w:name="page11"/>
    <w:bookmarkEnd w:id="10"/>
    <w:p>
      <w:pPr>
        <w:ind w:left="620" w:hanging="223"/>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60" w:firstLine="457"/>
        <w:spacing w:after="0" w:line="261" w:lineRule="auto"/>
        <w:tabs>
          <w:tab w:leader="none" w:pos="6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Administration Agreement. </w:t>
      </w:r>
      <w:r>
        <w:rPr>
          <w:rFonts w:ascii="Times New Roman" w:cs="Times New Roman" w:eastAsia="Times New Roman" w:hAnsi="Times New Roman"/>
          <w:sz w:val="18"/>
          <w:szCs w:val="18"/>
          <w:color w:val="auto"/>
        </w:rPr>
        <w:t>The Investment Management Agreement and the Administration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71" w:lineRule="exact"/>
        <w:rPr>
          <w:rFonts w:ascii="Times New Roman" w:cs="Times New Roman" w:eastAsia="Times New Roman" w:hAnsi="Times New Roman"/>
          <w:sz w:val="18"/>
          <w:szCs w:val="18"/>
          <w:color w:val="auto"/>
        </w:rPr>
      </w:pPr>
    </w:p>
    <w:p>
      <w:pPr>
        <w:ind w:left="-60" w:right="540" w:firstLine="457"/>
        <w:spacing w:after="0" w:line="267"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Base Indenture. </w:t>
      </w:r>
      <w:r>
        <w:rPr>
          <w:rFonts w:ascii="Times New Roman" w:cs="Times New Roman" w:eastAsia="Times New Roman" w:hAnsi="Times New Roman"/>
          <w:sz w:val="18"/>
          <w:szCs w:val="18"/>
          <w:color w:val="auto"/>
        </w:rPr>
        <w:t>The Base Indenture has been duly authorized, executed and delivered by the Company and constitutes a valid and 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65" w:lineRule="exact"/>
        <w:rPr>
          <w:rFonts w:ascii="Times New Roman" w:cs="Times New Roman" w:eastAsia="Times New Roman" w:hAnsi="Times New Roman"/>
          <w:sz w:val="18"/>
          <w:szCs w:val="18"/>
          <w:color w:val="auto"/>
        </w:rPr>
      </w:pPr>
    </w:p>
    <w:p>
      <w:pPr>
        <w:ind w:left="-60" w:right="100" w:firstLine="457"/>
        <w:spacing w:after="0" w:line="261"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Supplemental Indenture</w:t>
      </w:r>
      <w:r>
        <w:rPr>
          <w:rFonts w:ascii="Times New Roman" w:cs="Times New Roman" w:eastAsia="Times New Roman" w:hAnsi="Times New Roman"/>
          <w:sz w:val="18"/>
          <w:szCs w:val="18"/>
          <w:color w:val="auto"/>
        </w:rPr>
        <w:t>. The Third Supplemental Indenture has been duly authorized, and, on the Closing Date, will be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71" w:lineRule="exact"/>
        <w:rPr>
          <w:rFonts w:ascii="Times New Roman" w:cs="Times New Roman" w:eastAsia="Times New Roman" w:hAnsi="Times New Roman"/>
          <w:sz w:val="18"/>
          <w:szCs w:val="18"/>
          <w:color w:val="auto"/>
        </w:rPr>
      </w:pPr>
    </w:p>
    <w:p>
      <w:pPr>
        <w:ind w:left="660" w:hanging="26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Indenture has been qualified under the TIA.</w:t>
      </w:r>
    </w:p>
    <w:p>
      <w:pPr>
        <w:spacing w:after="0" w:line="117" w:lineRule="exact"/>
        <w:rPr>
          <w:rFonts w:ascii="Times New Roman" w:cs="Times New Roman" w:eastAsia="Times New Roman" w:hAnsi="Times New Roman"/>
          <w:sz w:val="18"/>
          <w:szCs w:val="18"/>
          <w:color w:val="auto"/>
        </w:rPr>
      </w:pPr>
    </w:p>
    <w:p>
      <w:pPr>
        <w:ind w:left="-60" w:right="60" w:firstLine="457"/>
        <w:spacing w:after="0" w:line="257"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The Securities to be issued and sold by the Company hereunder have been duly authorized and, when issued, authenticated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w:t>
      </w:r>
    </w:p>
    <w:p>
      <w:pPr>
        <w:spacing w:after="0" w:line="74" w:lineRule="exact"/>
        <w:rPr>
          <w:rFonts w:ascii="Times New Roman" w:cs="Times New Roman" w:eastAsia="Times New Roman" w:hAnsi="Times New Roman"/>
          <w:sz w:val="18"/>
          <w:szCs w:val="18"/>
          <w:color w:val="auto"/>
        </w:rPr>
      </w:pPr>
    </w:p>
    <w:p>
      <w:pPr>
        <w:ind w:left="-60" w:right="440" w:firstLine="457"/>
        <w:spacing w:after="0" w:line="267" w:lineRule="auto"/>
        <w:tabs>
          <w:tab w:leader="none" w:pos="6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 conform in all material respects to the descriptions thereof contained in the Registration Statement, the Pricing Disclosure Package and the Prospectus.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80" w:top="268" w:right="379" w:bottom="1440" w:gutter="0" w:footer="0" w:header="0"/>
        </w:sectPr>
      </w:pPr>
    </w:p>
    <w:bookmarkStart w:id="11" w:name="page12"/>
    <w:bookmarkEnd w:id="11"/>
    <w:p>
      <w:pPr>
        <w:ind w:left="-20" w:right="120" w:firstLine="457"/>
        <w:spacing w:after="0" w:line="255" w:lineRule="auto"/>
        <w:tabs>
          <w:tab w:leader="none" w:pos="6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6" w:lineRule="exact"/>
        <w:rPr>
          <w:rFonts w:ascii="Times New Roman" w:cs="Times New Roman" w:eastAsia="Times New Roman" w:hAnsi="Times New Roman"/>
          <w:sz w:val="18"/>
          <w:szCs w:val="18"/>
          <w:color w:val="auto"/>
        </w:rPr>
      </w:pPr>
    </w:p>
    <w:p>
      <w:pPr>
        <w:ind w:left="-20" w:right="180" w:firstLine="457"/>
        <w:spacing w:after="0" w:line="253"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and the Indenture, the issuance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83" w:lineRule="exact"/>
        <w:rPr>
          <w:rFonts w:ascii="Times New Roman" w:cs="Times New Roman" w:eastAsia="Times New Roman" w:hAnsi="Times New Roman"/>
          <w:sz w:val="18"/>
          <w:szCs w:val="18"/>
          <w:color w:val="auto"/>
        </w:rPr>
      </w:pPr>
    </w:p>
    <w:p>
      <w:pPr>
        <w:ind w:left="-20" w:firstLine="457"/>
        <w:spacing w:after="0" w:line="254" w:lineRule="auto"/>
        <w:tabs>
          <w:tab w:leader="none" w:pos="6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40" w:top="268" w:right="339" w:bottom="1440" w:gutter="0" w:footer="0" w:header="0"/>
        </w:sectPr>
      </w:pPr>
    </w:p>
    <w:bookmarkStart w:id="12" w:name="page13"/>
    <w:bookmarkEnd w:id="12"/>
    <w:p>
      <w:pPr>
        <w:ind w:left="-20" w:firstLine="457"/>
        <w:spacing w:after="0" w:line="253" w:lineRule="auto"/>
        <w:tabs>
          <w:tab w:leader="none" w:pos="6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83" w:lineRule="exact"/>
        <w:rPr>
          <w:rFonts w:ascii="Times New Roman" w:cs="Times New Roman" w:eastAsia="Times New Roman" w:hAnsi="Times New Roman"/>
          <w:sz w:val="18"/>
          <w:szCs w:val="18"/>
          <w:color w:val="auto"/>
        </w:rPr>
      </w:pPr>
    </w:p>
    <w:p>
      <w:pPr>
        <w:ind w:left="-20" w:firstLine="457"/>
        <w:spacing w:after="0" w:line="261" w:lineRule="auto"/>
        <w:tabs>
          <w:tab w:leader="none" w:pos="7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left="-20" w:right="60" w:firstLine="457"/>
        <w:spacing w:after="0" w:line="255" w:lineRule="auto"/>
        <w:tabs>
          <w:tab w:leader="none" w:pos="6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the operations of the Company are in compliance in all material respects with the provisions of the Investment Company Act applicable to business development companies.</w:t>
      </w:r>
    </w:p>
    <w:p>
      <w:pPr>
        <w:spacing w:after="0" w:line="76" w:lineRule="exact"/>
        <w:rPr>
          <w:rFonts w:ascii="Times New Roman" w:cs="Times New Roman" w:eastAsia="Times New Roman" w:hAnsi="Times New Roman"/>
          <w:sz w:val="18"/>
          <w:szCs w:val="18"/>
          <w:color w:val="auto"/>
        </w:rPr>
      </w:pPr>
    </w:p>
    <w:p>
      <w:pPr>
        <w:ind w:left="-20" w:right="140" w:firstLine="457"/>
        <w:spacing w:after="0" w:line="267" w:lineRule="auto"/>
        <w:tabs>
          <w:tab w:leader="none" w:pos="6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40" w:top="268" w:right="359" w:bottom="1440" w:gutter="0" w:footer="0" w:header="0"/>
        </w:sectPr>
      </w:pPr>
    </w:p>
    <w:bookmarkStart w:id="13" w:name="page14"/>
    <w:bookmarkEnd w:id="13"/>
    <w:p>
      <w:pPr>
        <w:ind w:left="-8" w:right="60" w:firstLine="457"/>
        <w:spacing w:after="0" w:line="257" w:lineRule="auto"/>
        <w:tabs>
          <w:tab w:leader="none" w:pos="6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3(aa))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74" w:lineRule="exact"/>
        <w:rPr>
          <w:sz w:val="20"/>
          <w:szCs w:val="20"/>
          <w:color w:val="auto"/>
        </w:rPr>
      </w:pPr>
    </w:p>
    <w:p>
      <w:pPr>
        <w:ind w:left="772" w:hanging="323"/>
        <w:spacing w:after="0"/>
        <w:tabs>
          <w:tab w:leader="none" w:pos="7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Intellectual Property</w:t>
      </w:r>
      <w:r>
        <w:rPr>
          <w:rFonts w:ascii="Times New Roman" w:cs="Times New Roman" w:eastAsia="Times New Roman" w:hAnsi="Times New Roman"/>
          <w:sz w:val="18"/>
          <w:szCs w:val="18"/>
          <w:color w:val="auto"/>
        </w:rPr>
        <w:t>. Except as would not reasonably be expected, individually or in the aggregate, to have a Material Adverse Effect,</w:t>
      </w:r>
    </w:p>
    <w:p>
      <w:pPr>
        <w:spacing w:after="0" w:line="29" w:lineRule="exact"/>
        <w:rPr>
          <w:rFonts w:ascii="Times New Roman" w:cs="Times New Roman" w:eastAsia="Times New Roman" w:hAnsi="Times New Roman"/>
          <w:sz w:val="18"/>
          <w:szCs w:val="18"/>
          <w:color w:val="auto"/>
        </w:rPr>
      </w:pPr>
    </w:p>
    <w:p>
      <w:pPr>
        <w:ind w:left="-8" w:right="20" w:firstLine="8"/>
        <w:spacing w:after="0" w:line="252" w:lineRule="auto"/>
        <w:tabs>
          <w:tab w:leader="none" w:pos="2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78" w:lineRule="exact"/>
        <w:rPr>
          <w:rFonts w:ascii="Times New Roman" w:cs="Times New Roman" w:eastAsia="Times New Roman" w:hAnsi="Times New Roman"/>
          <w:sz w:val="18"/>
          <w:szCs w:val="18"/>
          <w:color w:val="auto"/>
        </w:rPr>
      </w:pPr>
    </w:p>
    <w:p>
      <w:pPr>
        <w:ind w:left="-8" w:right="40" w:firstLine="457"/>
        <w:spacing w:after="0" w:line="261" w:lineRule="auto"/>
        <w:tabs>
          <w:tab w:leader="none" w:pos="7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1" w:lineRule="exact"/>
        <w:rPr>
          <w:rFonts w:ascii="Times New Roman" w:cs="Times New Roman" w:eastAsia="Times New Roman" w:hAnsi="Times New Roman"/>
          <w:sz w:val="18"/>
          <w:szCs w:val="18"/>
          <w:color w:val="auto"/>
        </w:rPr>
      </w:pPr>
    </w:p>
    <w:p>
      <w:pPr>
        <w:ind w:left="-8" w:firstLine="457"/>
        <w:spacing w:after="0" w:line="258" w:lineRule="auto"/>
        <w:tabs>
          <w:tab w:leader="none" w:pos="7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75" w:lineRule="exact"/>
        <w:rPr>
          <w:rFonts w:ascii="Times New Roman" w:cs="Times New Roman" w:eastAsia="Times New Roman" w:hAnsi="Times New Roman"/>
          <w:sz w:val="18"/>
          <w:szCs w:val="18"/>
          <w:color w:val="auto"/>
        </w:rPr>
      </w:pPr>
    </w:p>
    <w:p>
      <w:pPr>
        <w:ind w:left="-8" w:right="60" w:firstLine="457"/>
        <w:spacing w:after="0" w:line="257" w:lineRule="auto"/>
        <w:tabs>
          <w:tab w:leader="none" w:pos="7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(or caused to be paid) all federal, state, local and foreign taxes required by law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32"/>
          </w:cols>
          <w:pgMar w:left="328" w:top="268" w:right="339" w:bottom="1440" w:gutter="0" w:footer="0" w:header="0"/>
        </w:sectPr>
      </w:pPr>
    </w:p>
    <w:bookmarkStart w:id="14" w:name="page15"/>
    <w:bookmarkEnd w:id="14"/>
    <w:p>
      <w:pPr>
        <w:ind w:left="-8" w:firstLine="457"/>
        <w:spacing w:after="0" w:line="254" w:lineRule="auto"/>
        <w:tabs>
          <w:tab w:leader="none" w:pos="76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Licenses and Permits. </w:t>
      </w:r>
      <w:r>
        <w:rPr>
          <w:rFonts w:ascii="Times New Roman" w:cs="Times New Roman" w:eastAsia="Times New Roman" w:hAnsi="Times New Roman"/>
          <w:sz w:val="18"/>
          <w:szCs w:val="18"/>
          <w:color w:val="auto"/>
        </w:rPr>
        <w:t>The Company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80" w:lineRule="exact"/>
        <w:rPr>
          <w:rFonts w:ascii="Times New Roman" w:cs="Times New Roman" w:eastAsia="Times New Roman" w:hAnsi="Times New Roman"/>
          <w:sz w:val="18"/>
          <w:szCs w:val="18"/>
          <w:color w:val="auto"/>
        </w:rPr>
      </w:pPr>
    </w:p>
    <w:p>
      <w:pPr>
        <w:ind w:left="-8" w:right="100" w:firstLine="457"/>
        <w:spacing w:after="0" w:line="257" w:lineRule="auto"/>
        <w:tabs>
          <w:tab w:leader="none" w:pos="7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left="-8" w:right="60" w:firstLine="457"/>
        <w:spacing w:after="0" w:line="255" w:lineRule="auto"/>
        <w:tabs>
          <w:tab w:leader="none" w:pos="7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w:t>
      </w:r>
    </w:p>
    <w:p>
      <w:pPr>
        <w:ind w:left="-8" w:right="80" w:firstLine="8"/>
        <w:spacing w:after="0" w:line="251" w:lineRule="auto"/>
        <w:tabs>
          <w:tab w:leader="none" w:pos="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w:t>
      </w:r>
    </w:p>
    <w:p>
      <w:pPr>
        <w:spacing w:after="0" w:line="1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32"/>
          </w:cols>
          <w:pgMar w:left="328" w:top="268" w:right="339" w:bottom="1440" w:gutter="0" w:footer="0" w:header="0"/>
        </w:sectPr>
      </w:pPr>
    </w:p>
    <w:bookmarkStart w:id="15" w:name="page16"/>
    <w:bookmarkEnd w:id="15"/>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6" w:lineRule="exact"/>
        <w:rPr>
          <w:sz w:val="20"/>
          <w:szCs w:val="20"/>
          <w:color w:val="auto"/>
        </w:rPr>
      </w:pPr>
    </w:p>
    <w:p>
      <w:pPr>
        <w:ind w:right="40" w:firstLine="457"/>
        <w:spacing w:after="0" w:line="256" w:lineRule="auto"/>
        <w:tabs>
          <w:tab w:leader="none" w:pos="79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74" w:lineRule="exact"/>
        <w:rPr>
          <w:rFonts w:ascii="Times New Roman" w:cs="Times New Roman" w:eastAsia="Times New Roman" w:hAnsi="Times New Roman"/>
          <w:sz w:val="18"/>
          <w:szCs w:val="18"/>
          <w:color w:val="auto"/>
        </w:rPr>
      </w:pPr>
    </w:p>
    <w:p>
      <w:pPr>
        <w:ind w:right="280" w:firstLine="457"/>
        <w:spacing w:after="0" w:line="254" w:lineRule="auto"/>
        <w:tabs>
          <w:tab w:leader="none" w:pos="7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right="20" w:firstLine="8"/>
        <w:spacing w:after="0" w:line="265" w:lineRule="auto"/>
        <w:tabs>
          <w:tab w:leader="none" w:pos="3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w:t>
      </w:r>
    </w:p>
    <w:p>
      <w:pPr>
        <w:ind w:firstLine="8"/>
        <w:spacing w:after="0" w:line="255"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75" w:lineRule="exact"/>
        <w:rPr>
          <w:rFonts w:ascii="Times New Roman" w:cs="Times New Roman" w:eastAsia="Times New Roman" w:hAnsi="Times New Roman"/>
          <w:sz w:val="18"/>
          <w:szCs w:val="18"/>
          <w:color w:val="auto"/>
        </w:rPr>
      </w:pPr>
    </w:p>
    <w:p>
      <w:pPr>
        <w:ind w:firstLine="457"/>
        <w:spacing w:after="0" w:line="258" w:lineRule="auto"/>
        <w:tabs>
          <w:tab w:leader="none" w:pos="7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270" w:right="359" w:bottom="1440" w:gutter="0" w:footer="0" w:header="0"/>
        </w:sectPr>
      </w:pPr>
    </w:p>
    <w:bookmarkStart w:id="16" w:name="page17"/>
    <w:bookmarkEnd w:id="16"/>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66" w:lineRule="exact"/>
        <w:rPr>
          <w:sz w:val="20"/>
          <w:szCs w:val="20"/>
          <w:color w:val="auto"/>
        </w:rPr>
      </w:pPr>
    </w:p>
    <w:p>
      <w:pPr>
        <w:ind w:firstLine="457"/>
        <w:spacing w:after="0" w:line="253" w:lineRule="auto"/>
        <w:tabs>
          <w:tab w:leader="none" w:pos="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77" w:lineRule="exact"/>
        <w:rPr>
          <w:rFonts w:ascii="Times New Roman" w:cs="Times New Roman" w:eastAsia="Times New Roman" w:hAnsi="Times New Roman"/>
          <w:sz w:val="18"/>
          <w:szCs w:val="18"/>
          <w:color w:val="auto"/>
        </w:rPr>
      </w:pPr>
    </w:p>
    <w:p>
      <w:pPr>
        <w:ind w:right="400" w:firstLine="457"/>
        <w:spacing w:after="0" w:line="267" w:lineRule="auto"/>
        <w:tabs>
          <w:tab w:leader="none" w:pos="7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Not Ineligible Issuer and is a Well-Known Seasoned Issuer</w:t>
      </w:r>
      <w:r>
        <w:rPr>
          <w:rFonts w:ascii="Times New Roman" w:cs="Times New Roman" w:eastAsia="Times New Roman" w:hAnsi="Times New Roman"/>
          <w:sz w:val="18"/>
          <w:szCs w:val="18"/>
          <w:color w:val="auto"/>
        </w:rPr>
        <w:t>. The Company is not an ineligible issuer and is a well-known seasoned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in each case as defined under the Securities Act, in each case at the times specified in the Securities Act in connection with the offering of the Securities.</w:t>
      </w:r>
    </w:p>
    <w:p>
      <w:pPr>
        <w:spacing w:after="0" w:line="65" w:lineRule="exact"/>
        <w:rPr>
          <w:rFonts w:ascii="Times New Roman" w:cs="Times New Roman" w:eastAsia="Times New Roman" w:hAnsi="Times New Roman"/>
          <w:sz w:val="18"/>
          <w:szCs w:val="18"/>
          <w:color w:val="auto"/>
        </w:rPr>
      </w:pPr>
    </w:p>
    <w:p>
      <w:pPr>
        <w:ind w:right="20" w:firstLine="457"/>
        <w:spacing w:after="0" w:line="258" w:lineRule="auto"/>
        <w:tabs>
          <w:tab w:leader="none" w:pos="8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right="80" w:firstLine="457"/>
        <w:spacing w:after="0" w:line="267" w:lineRule="auto"/>
        <w:tabs>
          <w:tab w:leader="none" w:pos="7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this Agreement) that would give rise to a valid claim against the Company or any of its subsidiaries or any Underwriter for a brokerage commission, finder’s fee or like payment in connection with the offering and sale of the Securities.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270" w:right="339" w:bottom="1440" w:gutter="0" w:footer="0" w:header="0"/>
        </w:sectPr>
      </w:pPr>
    </w:p>
    <w:bookmarkStart w:id="17" w:name="page18"/>
    <w:bookmarkEnd w:id="17"/>
    <w:p>
      <w:pPr>
        <w:ind w:left="-8" w:right="40" w:firstLine="457"/>
        <w:spacing w:after="0" w:line="315" w:lineRule="auto"/>
        <w:tabs>
          <w:tab w:leader="none" w:pos="78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Stabilization or Manipulation. </w:t>
      </w:r>
      <w:r>
        <w:rPr>
          <w:rFonts w:ascii="Times New Roman" w:cs="Times New Roman" w:eastAsia="Times New Roman" w:hAnsi="Times New Roman"/>
          <w:sz w:val="17"/>
          <w:szCs w:val="17"/>
          <w:color w:val="auto"/>
        </w:rPr>
        <w:t>The Company has not taken,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or that would reasonably be expected, to cause or result in any stabilization or manipulation of the price of the Securities.</w:t>
      </w:r>
    </w:p>
    <w:p>
      <w:pPr>
        <w:spacing w:after="0" w:line="26" w:lineRule="exact"/>
        <w:rPr>
          <w:rFonts w:ascii="Times New Roman" w:cs="Times New Roman" w:eastAsia="Times New Roman" w:hAnsi="Times New Roman"/>
          <w:sz w:val="17"/>
          <w:szCs w:val="17"/>
          <w:color w:val="auto"/>
        </w:rPr>
      </w:pPr>
    </w:p>
    <w:p>
      <w:pPr>
        <w:ind w:left="-8" w:firstLine="457"/>
        <w:spacing w:after="0" w:line="267" w:lineRule="auto"/>
        <w:tabs>
          <w:tab w:leader="none" w:pos="7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65" w:lineRule="exact"/>
        <w:rPr>
          <w:rFonts w:ascii="Times New Roman" w:cs="Times New Roman" w:eastAsia="Times New Roman" w:hAnsi="Times New Roman"/>
          <w:sz w:val="18"/>
          <w:szCs w:val="18"/>
          <w:color w:val="auto"/>
        </w:rPr>
      </w:pPr>
    </w:p>
    <w:p>
      <w:pPr>
        <w:ind w:left="-8" w:right="80" w:firstLine="457"/>
        <w:spacing w:after="0" w:line="267" w:lineRule="auto"/>
        <w:tabs>
          <w:tab w:leader="none" w:pos="7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market-related data included or incorporated by reference in the Registration Statement, the Pricing Disclosure Package and the Prospectus is not based on or derived from sources that are reasonably reliable and accurate in all material respects.</w:t>
      </w:r>
    </w:p>
    <w:p>
      <w:pPr>
        <w:spacing w:after="0" w:line="65" w:lineRule="exact"/>
        <w:rPr>
          <w:rFonts w:ascii="Times New Roman" w:cs="Times New Roman" w:eastAsia="Times New Roman" w:hAnsi="Times New Roman"/>
          <w:sz w:val="18"/>
          <w:szCs w:val="18"/>
          <w:color w:val="auto"/>
        </w:rPr>
      </w:pPr>
    </w:p>
    <w:p>
      <w:pPr>
        <w:ind w:left="-8" w:right="160" w:firstLine="457"/>
        <w:spacing w:after="0" w:line="261" w:lineRule="auto"/>
        <w:tabs>
          <w:tab w:leader="none" w:pos="7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1" w:lineRule="exact"/>
        <w:rPr>
          <w:rFonts w:ascii="Times New Roman" w:cs="Times New Roman" w:eastAsia="Times New Roman" w:hAnsi="Times New Roman"/>
          <w:sz w:val="18"/>
          <w:szCs w:val="18"/>
          <w:color w:val="auto"/>
        </w:rPr>
      </w:pPr>
    </w:p>
    <w:p>
      <w:pPr>
        <w:ind w:left="-8" w:firstLine="457"/>
        <w:spacing w:after="0" w:line="267" w:lineRule="auto"/>
        <w:tabs>
          <w:tab w:leader="none" w:pos="7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 violation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65" w:lineRule="exact"/>
        <w:rPr>
          <w:rFonts w:ascii="Times New Roman" w:cs="Times New Roman" w:eastAsia="Times New Roman" w:hAnsi="Times New Roman"/>
          <w:sz w:val="18"/>
          <w:szCs w:val="18"/>
          <w:color w:val="auto"/>
        </w:rPr>
      </w:pPr>
    </w:p>
    <w:p>
      <w:pPr>
        <w:jc w:val="both"/>
        <w:ind w:left="-8" w:right="20" w:firstLine="457"/>
        <w:spacing w:after="0" w:line="267" w:lineRule="auto"/>
        <w:tabs>
          <w:tab w:leader="none" w:pos="70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65" w:lineRule="exact"/>
        <w:rPr>
          <w:rFonts w:ascii="Times New Roman" w:cs="Times New Roman" w:eastAsia="Times New Roman" w:hAnsi="Times New Roman"/>
          <w:sz w:val="18"/>
          <w:szCs w:val="18"/>
          <w:color w:val="auto"/>
        </w:rPr>
      </w:pPr>
    </w:p>
    <w:p>
      <w:pPr>
        <w:ind w:left="-8" w:right="140" w:firstLine="457"/>
        <w:spacing w:after="0" w:line="271" w:lineRule="auto"/>
        <w:tabs>
          <w:tab w:leader="none" w:pos="78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(A) To the Company’s knowledge, there has been no material security breach or other material compromise of or relating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w:t>
      </w:r>
      <w:r>
        <w:rPr>
          <w:rFonts w:ascii="Times New Roman" w:cs="Times New Roman" w:eastAsia="Times New Roman" w:hAnsi="Times New Roman"/>
          <w:sz w:val="17"/>
          <w:szCs w:val="17"/>
          <w:u w:val="single" w:color="auto"/>
          <w:color w:val="auto"/>
        </w:rPr>
        <w:t>IT Systems and Data</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8" w:right="320" w:firstLine="8"/>
        <w:spacing w:after="0" w:line="253" w:lineRule="auto"/>
        <w:tabs>
          <w:tab w:leader="none" w:pos="2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12"/>
          </w:cols>
          <w:pgMar w:left="328" w:top="268" w:right="359" w:bottom="1440" w:gutter="0" w:footer="0" w:header="0"/>
        </w:sectPr>
      </w:pPr>
    </w:p>
    <w:bookmarkStart w:id="18" w:name="page19"/>
    <w:bookmarkEnd w:id="18"/>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Underwriter that:</w:t>
      </w:r>
    </w:p>
    <w:p>
      <w:pPr>
        <w:spacing w:after="0" w:line="115" w:lineRule="exact"/>
        <w:rPr>
          <w:sz w:val="20"/>
          <w:szCs w:val="20"/>
          <w:color w:val="auto"/>
        </w:rPr>
      </w:pPr>
    </w:p>
    <w:p>
      <w:pPr>
        <w:ind w:right="100" w:firstLine="457"/>
        <w:spacing w:after="0" w:line="255" w:lineRule="auto"/>
        <w:tabs>
          <w:tab w:leader="none" w:pos="6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disclosed in the Registration Statement, the Pricing Disclosure Package and the Prospectus,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76" w:lineRule="exact"/>
        <w:rPr>
          <w:rFonts w:ascii="Times New Roman" w:cs="Times New Roman" w:eastAsia="Times New Roman" w:hAnsi="Times New Roman"/>
          <w:sz w:val="18"/>
          <w:szCs w:val="18"/>
          <w:color w:val="auto"/>
        </w:rPr>
      </w:pPr>
    </w:p>
    <w:p>
      <w:pPr>
        <w:ind w:firstLine="457"/>
        <w:spacing w:after="0" w:line="255" w:lineRule="auto"/>
        <w:tabs>
          <w:tab w:leader="none" w:pos="7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Adviser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6" w:lineRule="exact"/>
        <w:rPr>
          <w:rFonts w:ascii="Times New Roman" w:cs="Times New Roman" w:eastAsia="Times New Roman" w:hAnsi="Times New Roman"/>
          <w:sz w:val="18"/>
          <w:szCs w:val="18"/>
          <w:color w:val="auto"/>
        </w:rPr>
      </w:pPr>
    </w:p>
    <w:p>
      <w:pPr>
        <w:ind w:right="120" w:firstLine="457"/>
        <w:spacing w:after="0" w:line="258" w:lineRule="auto"/>
        <w:tabs>
          <w:tab w:leader="none" w:pos="6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75"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Adviser.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270" w:right="339" w:bottom="1440" w:gutter="0" w:footer="0" w:header="0"/>
        </w:sectPr>
      </w:pPr>
    </w:p>
    <w:bookmarkStart w:id="19" w:name="page20"/>
    <w:bookmarkEnd w:id="19"/>
    <w:p>
      <w:pPr>
        <w:ind w:left="-20" w:right="180" w:firstLine="457"/>
        <w:spacing w:after="0" w:line="261" w:lineRule="auto"/>
        <w:tabs>
          <w:tab w:leader="none" w:pos="6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Investment Management Agreement and the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71" w:lineRule="exact"/>
        <w:rPr>
          <w:rFonts w:ascii="Times New Roman" w:cs="Times New Roman" w:eastAsia="Times New Roman" w:hAnsi="Times New Roman"/>
          <w:sz w:val="18"/>
          <w:szCs w:val="18"/>
          <w:color w:val="auto"/>
        </w:rPr>
      </w:pPr>
    </w:p>
    <w:p>
      <w:pPr>
        <w:ind w:left="-20" w:firstLine="457"/>
        <w:spacing w:after="0" w:line="255"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Adviser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6" w:lineRule="exact"/>
        <w:rPr>
          <w:rFonts w:ascii="Times New Roman" w:cs="Times New Roman" w:eastAsia="Times New Roman" w:hAnsi="Times New Roman"/>
          <w:sz w:val="18"/>
          <w:szCs w:val="18"/>
          <w:color w:val="auto"/>
        </w:rPr>
      </w:pPr>
    </w:p>
    <w:p>
      <w:pPr>
        <w:ind w:left="-20" w:right="40" w:firstLine="457"/>
        <w:spacing w:after="0" w:line="254" w:lineRule="auto"/>
        <w:tabs>
          <w:tab w:leader="none" w:pos="6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Adviser of this Agreement and the performance by the Adviser of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77" w:lineRule="exact"/>
        <w:rPr>
          <w:rFonts w:ascii="Times New Roman" w:cs="Times New Roman" w:eastAsia="Times New Roman" w:hAnsi="Times New Roman"/>
          <w:sz w:val="18"/>
          <w:szCs w:val="18"/>
          <w:color w:val="auto"/>
        </w:rPr>
      </w:pPr>
    </w:p>
    <w:p>
      <w:pPr>
        <w:ind w:left="-20" w:right="200" w:firstLine="457"/>
        <w:spacing w:after="0" w:line="257" w:lineRule="auto"/>
        <w:tabs>
          <w:tab w:leader="none" w:pos="6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40" w:top="268" w:right="339" w:bottom="1440" w:gutter="0" w:footer="0" w:header="0"/>
        </w:sectPr>
      </w:pPr>
    </w:p>
    <w:bookmarkStart w:id="20" w:name="page21"/>
    <w:bookmarkEnd w:id="20"/>
    <w:p>
      <w:pPr>
        <w:ind w:left="-20" w:right="60" w:firstLine="457"/>
        <w:spacing w:after="0" w:line="254"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80" w:lineRule="exact"/>
        <w:rPr>
          <w:rFonts w:ascii="Times New Roman" w:cs="Times New Roman" w:eastAsia="Times New Roman" w:hAnsi="Times New Roman"/>
          <w:sz w:val="18"/>
          <w:szCs w:val="18"/>
          <w:color w:val="auto"/>
        </w:rPr>
      </w:pPr>
    </w:p>
    <w:p>
      <w:pPr>
        <w:ind w:left="-20" w:right="40" w:firstLine="457"/>
        <w:spacing w:after="0" w:line="254"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Adviser and its subsidiaries possess all licenses, certificates, permits and other authorizations issued by, and have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80" w:lineRule="exact"/>
        <w:rPr>
          <w:rFonts w:ascii="Times New Roman" w:cs="Times New Roman" w:eastAsia="Times New Roman" w:hAnsi="Times New Roman"/>
          <w:sz w:val="18"/>
          <w:szCs w:val="18"/>
          <w:color w:val="auto"/>
        </w:rPr>
      </w:pPr>
    </w:p>
    <w:p>
      <w:pPr>
        <w:ind w:left="-20" w:firstLine="457"/>
        <w:spacing w:after="0" w:line="267" w:lineRule="auto"/>
        <w:tabs>
          <w:tab w:leader="none" w:pos="6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Registration Statement,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65" w:lineRule="exact"/>
        <w:rPr>
          <w:rFonts w:ascii="Times New Roman" w:cs="Times New Roman" w:eastAsia="Times New Roman" w:hAnsi="Times New Roman"/>
          <w:sz w:val="18"/>
          <w:szCs w:val="18"/>
          <w:color w:val="auto"/>
        </w:rPr>
      </w:pPr>
    </w:p>
    <w:p>
      <w:pPr>
        <w:ind w:left="-20" w:right="20" w:firstLine="457"/>
        <w:spacing w:after="0" w:line="267"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in the Pricing Disclosure Package, the Prospectus, and under this Agreement, the Investment Management Agreement and the Administration Agreement.</w:t>
      </w:r>
    </w:p>
    <w:p>
      <w:pPr>
        <w:spacing w:after="0" w:line="65" w:lineRule="exact"/>
        <w:rPr>
          <w:rFonts w:ascii="Times New Roman" w:cs="Times New Roman" w:eastAsia="Times New Roman" w:hAnsi="Times New Roman"/>
          <w:sz w:val="18"/>
          <w:szCs w:val="18"/>
          <w:color w:val="auto"/>
        </w:rPr>
      </w:pPr>
    </w:p>
    <w:p>
      <w:pPr>
        <w:ind w:left="-20" w:right="100" w:firstLine="457"/>
        <w:spacing w:after="0" w:line="261" w:lineRule="auto"/>
        <w:tabs>
          <w:tab w:leader="none" w:pos="7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 (i)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40" w:top="268" w:right="33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70" w:lineRule="exact"/>
        <w:rPr>
          <w:sz w:val="20"/>
          <w:szCs w:val="20"/>
          <w:color w:val="auto"/>
        </w:rPr>
      </w:pPr>
    </w:p>
    <w:p>
      <w:pPr>
        <w:ind w:right="140" w:firstLine="457"/>
        <w:spacing w:after="0" w:line="254" w:lineRule="auto"/>
        <w:tabs>
          <w:tab w:leader="none" w:pos="7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Adviser nor any of its subsidiaries nor any director, officer, or employee of the Adviser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right="20" w:firstLine="8"/>
        <w:spacing w:after="0" w:line="253"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78" w:lineRule="exact"/>
        <w:rPr>
          <w:rFonts w:ascii="Times New Roman" w:cs="Times New Roman" w:eastAsia="Times New Roman" w:hAnsi="Times New Roman"/>
          <w:sz w:val="18"/>
          <w:szCs w:val="18"/>
          <w:color w:val="auto"/>
        </w:rPr>
      </w:pPr>
    </w:p>
    <w:p>
      <w:pPr>
        <w:ind w:right="100" w:firstLine="457"/>
        <w:spacing w:after="0" w:line="258" w:lineRule="auto"/>
        <w:tabs>
          <w:tab w:leader="none" w:pos="7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75" w:lineRule="exact"/>
        <w:rPr>
          <w:rFonts w:ascii="Times New Roman" w:cs="Times New Roman" w:eastAsia="Times New Roman" w:hAnsi="Times New Roman"/>
          <w:sz w:val="18"/>
          <w:szCs w:val="18"/>
          <w:color w:val="auto"/>
        </w:rPr>
      </w:pPr>
    </w:p>
    <w:p>
      <w:pPr>
        <w:ind w:right="60" w:firstLine="457"/>
        <w:spacing w:after="0" w:line="258" w:lineRule="auto"/>
        <w:tabs>
          <w:tab w:leader="none" w:pos="70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Adviser nor any of its subsidiaries, directors, officers or employees,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75" w:lineRule="exact"/>
        <w:rPr>
          <w:rFonts w:ascii="Times New Roman" w:cs="Times New Roman" w:eastAsia="Times New Roman" w:hAnsi="Times New Roman"/>
          <w:sz w:val="18"/>
          <w:szCs w:val="18"/>
          <w:color w:val="auto"/>
        </w:rPr>
      </w:pPr>
    </w:p>
    <w:p>
      <w:pPr>
        <w:ind w:right="120" w:firstLine="457"/>
        <w:spacing w:after="0" w:line="315" w:lineRule="auto"/>
        <w:tabs>
          <w:tab w:leader="none" w:pos="70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Stabilization or Manipulation. </w:t>
      </w:r>
      <w:r>
        <w:rPr>
          <w:rFonts w:ascii="Times New Roman" w:cs="Times New Roman" w:eastAsia="Times New Roman" w:hAnsi="Times New Roman"/>
          <w:sz w:val="17"/>
          <w:szCs w:val="17"/>
          <w:color w:val="auto"/>
        </w:rPr>
        <w:t>The Adviser has not taken,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to or that would reasonably be expected to cause or result in any stabilization or manipulation of the price of the Securities.</w:t>
      </w:r>
    </w:p>
    <w:p>
      <w:pPr>
        <w:spacing w:after="0" w:line="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270" w:right="499" w:bottom="1440" w:gutter="0" w:footer="0" w:header="0"/>
        </w:sectPr>
      </w:pPr>
    </w:p>
    <w:bookmarkStart w:id="22" w:name="page23"/>
    <w:bookmarkEnd w:id="22"/>
    <w:p>
      <w:pPr>
        <w:jc w:val="both"/>
        <w:ind w:left="-20" w:right="280" w:firstLine="457"/>
        <w:spacing w:after="0" w:line="261"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Key Employees. </w:t>
      </w:r>
      <w:r>
        <w:rPr>
          <w:rFonts w:ascii="Times New Roman" w:cs="Times New Roman" w:eastAsia="Times New Roman" w:hAnsi="Times New Roman"/>
          <w:sz w:val="18"/>
          <w:szCs w:val="18"/>
          <w:color w:val="auto"/>
        </w:rPr>
        <w:t>The Adviser is not aware that (i) any of its executives, key employees or significant group of employees plans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71" w:lineRule="exact"/>
        <w:rPr>
          <w:rFonts w:ascii="Times New Roman" w:cs="Times New Roman" w:eastAsia="Times New Roman" w:hAnsi="Times New Roman"/>
          <w:sz w:val="18"/>
          <w:szCs w:val="18"/>
          <w:color w:val="auto"/>
        </w:rPr>
      </w:pPr>
    </w:p>
    <w:p>
      <w:pPr>
        <w:ind w:left="-20" w:right="100" w:firstLine="457"/>
        <w:spacing w:after="0" w:line="261" w:lineRule="auto"/>
        <w:tabs>
          <w:tab w:leader="none" w:pos="6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Adviser or any of its subsidiaries exists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left="-20" w:firstLine="457"/>
        <w:spacing w:after="0" w:line="256" w:lineRule="auto"/>
        <w:tabs>
          <w:tab w:leader="none" w:pos="6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497 and Rule 430B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74" w:lineRule="exact"/>
        <w:rPr>
          <w:rFonts w:ascii="Times New Roman" w:cs="Times New Roman" w:eastAsia="Times New Roman" w:hAnsi="Times New Roman"/>
          <w:sz w:val="18"/>
          <w:szCs w:val="18"/>
          <w:color w:val="auto"/>
        </w:rPr>
      </w:pPr>
    </w:p>
    <w:p>
      <w:pPr>
        <w:ind w:left="-20" w:right="60" w:firstLine="457"/>
        <w:spacing w:after="0" w:line="257" w:lineRule="auto"/>
        <w:tabs>
          <w:tab w:leader="none" w:pos="6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(i) to the Representative, electronic signed copies of the Registration Statement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74" w:lineRule="exact"/>
        <w:rPr>
          <w:rFonts w:ascii="Times New Roman" w:cs="Times New Roman" w:eastAsia="Times New Roman" w:hAnsi="Times New Roman"/>
          <w:sz w:val="18"/>
          <w:szCs w:val="18"/>
          <w:color w:val="auto"/>
        </w:rPr>
      </w:pPr>
    </w:p>
    <w:p>
      <w:pPr>
        <w:jc w:val="both"/>
        <w:ind w:left="-20" w:right="520" w:firstLine="457"/>
        <w:spacing w:after="0" w:line="261" w:lineRule="auto"/>
        <w:tabs>
          <w:tab w:leader="none" w:pos="6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using, authorizing, approving, referring to or filing any amendment or supplement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40" w:top="268" w:right="339" w:bottom="1440" w:gutter="0" w:footer="0" w:header="0"/>
        </w:sectPr>
      </w:pPr>
    </w:p>
    <w:bookmarkStart w:id="23" w:name="page24"/>
    <w:bookmarkEnd w:id="23"/>
    <w:p>
      <w:pPr>
        <w:ind w:left="-20" w:right="100" w:firstLine="457"/>
        <w:spacing w:after="0" w:line="267" w:lineRule="auto"/>
        <w:tabs>
          <w:tab w:leader="none" w:pos="6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Marketing Materials</w:t>
      </w:r>
      <w:r>
        <w:rPr>
          <w:rFonts w:ascii="Times New Roman" w:cs="Times New Roman" w:eastAsia="Times New Roman" w:hAnsi="Times New Roman"/>
          <w:sz w:val="18"/>
          <w:szCs w:val="18"/>
          <w:color w:val="auto"/>
        </w:rPr>
        <w:t>. Before using, authorizing, approving, referring to or distributing any Marketing Materials,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 and counsel for the Underwriters a copy of such materials for review and will not use, authorize, approve, refer to or distribute any such materials to which the Representative reasonably objects in a timely manner.</w:t>
      </w:r>
    </w:p>
    <w:p>
      <w:pPr>
        <w:spacing w:after="0" w:line="65" w:lineRule="exact"/>
        <w:rPr>
          <w:rFonts w:ascii="Times New Roman" w:cs="Times New Roman" w:eastAsia="Times New Roman" w:hAnsi="Times New Roman"/>
          <w:sz w:val="18"/>
          <w:szCs w:val="18"/>
          <w:color w:val="auto"/>
        </w:rPr>
      </w:pPr>
    </w:p>
    <w:p>
      <w:pPr>
        <w:ind w:left="-20" w:firstLine="457"/>
        <w:spacing w:after="0" w:line="252" w:lineRule="auto"/>
        <w:tabs>
          <w:tab w:leader="none" w:pos="6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when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w:t>
      </w:r>
    </w:p>
    <w:p>
      <w:pPr>
        <w:spacing w:after="0" w:line="87" w:lineRule="exact"/>
        <w:rPr>
          <w:rFonts w:ascii="Times New Roman" w:cs="Times New Roman" w:eastAsia="Times New Roman" w:hAnsi="Times New Roman"/>
          <w:sz w:val="18"/>
          <w:szCs w:val="18"/>
          <w:color w:val="auto"/>
        </w:rPr>
      </w:pPr>
    </w:p>
    <w:p>
      <w:pPr>
        <w:ind w:left="-20" w:right="20" w:firstLine="457"/>
        <w:spacing w:after="0" w:line="254"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40" w:top="268" w:right="339" w:bottom="1440" w:gutter="0" w:footer="0" w:header="0"/>
        </w:sectPr>
      </w:pPr>
    </w:p>
    <w:bookmarkStart w:id="24" w:name="page25"/>
    <w:bookmarkEnd w:id="24"/>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79" w:lineRule="exact"/>
        <w:rPr>
          <w:sz w:val="20"/>
          <w:szCs w:val="20"/>
          <w:color w:val="auto"/>
        </w:rPr>
      </w:pPr>
    </w:p>
    <w:p>
      <w:pPr>
        <w:ind w:right="240" w:firstLine="457"/>
        <w:spacing w:after="0" w:line="258" w:lineRule="auto"/>
        <w:tabs>
          <w:tab w:leader="none" w:pos="7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commercially reasonable efforts, in cooperation with the Representative, to qualify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offer and sale under the securities or Blue Sky laws of such jurisdictions as the Representative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75" w:lineRule="exact"/>
        <w:rPr>
          <w:rFonts w:ascii="Times New Roman" w:cs="Times New Roman" w:eastAsia="Times New Roman" w:hAnsi="Times New Roman"/>
          <w:sz w:val="18"/>
          <w:szCs w:val="18"/>
          <w:color w:val="auto"/>
        </w:rPr>
      </w:pPr>
    </w:p>
    <w:p>
      <w:pPr>
        <w:ind w:right="140" w:firstLine="457"/>
        <w:spacing w:after="0" w:line="258" w:lineRule="auto"/>
        <w:tabs>
          <w:tab w:leader="none" w:pos="7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 practicable an 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75" w:lineRule="exact"/>
        <w:rPr>
          <w:rFonts w:ascii="Times New Roman" w:cs="Times New Roman" w:eastAsia="Times New Roman" w:hAnsi="Times New Roman"/>
          <w:sz w:val="18"/>
          <w:szCs w:val="18"/>
          <w:color w:val="auto"/>
        </w:rPr>
      </w:pPr>
    </w:p>
    <w:p>
      <w:pPr>
        <w:ind w:firstLine="457"/>
        <w:spacing w:after="0" w:line="256" w:lineRule="auto"/>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Through the Closing Date, the Company will not (i) offer, pledge, sell, contract to sell, sell any option or contract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Underwriters, other than the Securities to be sold hereunder for purposes of interest rate hedging.</w:t>
      </w:r>
    </w:p>
    <w:p>
      <w:pPr>
        <w:spacing w:after="0" w:line="74" w:lineRule="exact"/>
        <w:rPr>
          <w:rFonts w:ascii="Times New Roman" w:cs="Times New Roman" w:eastAsia="Times New Roman" w:hAnsi="Times New Roman"/>
          <w:sz w:val="18"/>
          <w:szCs w:val="18"/>
          <w:color w:val="auto"/>
        </w:rPr>
      </w:pPr>
    </w:p>
    <w:p>
      <w:pPr>
        <w:ind w:right="480" w:firstLine="457"/>
        <w:spacing w:after="0" w:line="284" w:lineRule="auto"/>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Securities in all material respects as described in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under the heading “Use of Proceeds.”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270" w:right="339" w:bottom="1440" w:gutter="0" w:footer="0" w:header="0"/>
        </w:sectPr>
      </w:pPr>
    </w:p>
    <w:bookmarkStart w:id="25" w:name="page26"/>
    <w:bookmarkEnd w:id="25"/>
    <w:p>
      <w:pPr>
        <w:ind w:right="200" w:firstLine="457"/>
        <w:spacing w:after="0" w:line="315" w:lineRule="auto"/>
        <w:tabs>
          <w:tab w:leader="none" w:pos="70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Stabilization or Manipulation. </w:t>
      </w:r>
      <w:r>
        <w:rPr>
          <w:rFonts w:ascii="Times New Roman" w:cs="Times New Roman" w:eastAsia="Times New Roman" w:hAnsi="Times New Roman"/>
          <w:sz w:val="17"/>
          <w:szCs w:val="17"/>
          <w:color w:val="auto"/>
        </w:rPr>
        <w:t>The Company will not take,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or that would reasonably be expected, to cause or result in any stabilization or manipulation of the price of the Securities.</w:t>
      </w:r>
    </w:p>
    <w:p>
      <w:pPr>
        <w:spacing w:after="0" w:line="26" w:lineRule="exact"/>
        <w:rPr>
          <w:rFonts w:ascii="Times New Roman" w:cs="Times New Roman" w:eastAsia="Times New Roman" w:hAnsi="Times New Roman"/>
          <w:sz w:val="17"/>
          <w:szCs w:val="17"/>
          <w:color w:val="auto"/>
        </w:rPr>
      </w:pPr>
    </w:p>
    <w:p>
      <w:pPr>
        <w:ind w:right="280" w:firstLine="457"/>
        <w:spacing w:after="0" w:line="258" w:lineRule="auto"/>
        <w:tabs>
          <w:tab w:leader="none" w:pos="6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one year from the date of this Agreement, so long as the Securities are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w:t>
      </w:r>
    </w:p>
    <w:p>
      <w:pPr>
        <w:spacing w:after="0" w:line="75" w:lineRule="exact"/>
        <w:rPr>
          <w:rFonts w:ascii="Times New Roman" w:cs="Times New Roman" w:eastAsia="Times New Roman" w:hAnsi="Times New Roman"/>
          <w:sz w:val="18"/>
          <w:szCs w:val="18"/>
          <w:color w:val="auto"/>
        </w:rPr>
      </w:pPr>
    </w:p>
    <w:p>
      <w:pPr>
        <w:ind w:firstLine="457"/>
        <w:spacing w:after="0" w:line="261" w:lineRule="auto"/>
        <w:tabs>
          <w:tab w:leader="none" w:pos="7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The Company, during a period of twelve months from the date of the Prospectus, will use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71" w:lineRule="exact"/>
        <w:rPr>
          <w:rFonts w:ascii="Times New Roman" w:cs="Times New Roman" w:eastAsia="Times New Roman" w:hAnsi="Times New Roman"/>
          <w:sz w:val="18"/>
          <w:szCs w:val="18"/>
          <w:color w:val="auto"/>
        </w:rPr>
      </w:pPr>
    </w:p>
    <w:p>
      <w:pPr>
        <w:ind w:firstLine="457"/>
        <w:spacing w:after="0" w:line="267" w:lineRule="auto"/>
        <w:tabs>
          <w:tab w:leader="none" w:pos="7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The Company will use commercially reasonable efforts to maintain in effect its qualification and election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regulated investment company under Subchapter M of the Code for each taxable year during which it is a business development company under the Investment Company Act.</w:t>
      </w:r>
    </w:p>
    <w:p>
      <w:pPr>
        <w:spacing w:after="0" w:line="65" w:lineRule="exact"/>
        <w:rPr>
          <w:rFonts w:ascii="Times New Roman" w:cs="Times New Roman" w:eastAsia="Times New Roman" w:hAnsi="Times New Roman"/>
          <w:sz w:val="18"/>
          <w:szCs w:val="18"/>
          <w:color w:val="auto"/>
        </w:rPr>
      </w:pPr>
    </w:p>
    <w:p>
      <w:pPr>
        <w:ind w:right="200" w:firstLine="457"/>
        <w:spacing w:after="0" w:line="258" w:lineRule="auto"/>
        <w:tabs>
          <w:tab w:leader="none" w:pos="7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75" w:lineRule="exact"/>
        <w:rPr>
          <w:rFonts w:ascii="Times New Roman" w:cs="Times New Roman" w:eastAsia="Times New Roman" w:hAnsi="Times New Roman"/>
          <w:sz w:val="18"/>
          <w:szCs w:val="18"/>
          <w:color w:val="auto"/>
        </w:rPr>
      </w:pPr>
    </w:p>
    <w:p>
      <w:pPr>
        <w:ind w:firstLine="457"/>
        <w:spacing w:after="0" w:line="256" w:lineRule="auto"/>
        <w:tabs>
          <w:tab w:leader="none" w:pos="7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Representative (i) it will not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68" w:right="3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warrants and agrees that:</w:t>
      </w:r>
    </w:p>
    <w:p>
      <w:pPr>
        <w:spacing w:after="0" w:line="117" w:lineRule="exact"/>
        <w:rPr>
          <w:sz w:val="20"/>
          <w:szCs w:val="20"/>
          <w:color w:val="auto"/>
        </w:rPr>
      </w:pPr>
    </w:p>
    <w:p>
      <w:pPr>
        <w:ind w:left="-40" w:right="60" w:firstLine="457"/>
        <w:spacing w:after="0" w:line="261"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w:t>
      </w:r>
    </w:p>
    <w:p>
      <w:pPr>
        <w:spacing w:after="0" w:line="71" w:lineRule="exact"/>
        <w:rPr>
          <w:rFonts w:ascii="Times New Roman" w:cs="Times New Roman" w:eastAsia="Times New Roman" w:hAnsi="Times New Roman"/>
          <w:sz w:val="18"/>
          <w:szCs w:val="18"/>
          <w:color w:val="auto"/>
        </w:rPr>
      </w:pPr>
    </w:p>
    <w:p>
      <w:pPr>
        <w:ind w:left="-40" w:right="240" w:firstLine="457"/>
        <w:spacing w:after="0" w:line="282" w:lineRule="auto"/>
        <w:tabs>
          <w:tab w:leader="none" w:pos="6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54" w:lineRule="exact"/>
        <w:rPr>
          <w:sz w:val="20"/>
          <w:szCs w:val="20"/>
          <w:color w:val="auto"/>
        </w:rPr>
      </w:pPr>
    </w:p>
    <w:p>
      <w:pPr>
        <w:ind w:left="-40" w:right="100" w:firstLine="457"/>
        <w:spacing w:after="0" w:line="282" w:lineRule="auto"/>
        <w:tabs>
          <w:tab w:leader="none" w:pos="5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52" w:lineRule="exact"/>
        <w:rPr>
          <w:sz w:val="20"/>
          <w:szCs w:val="20"/>
          <w:color w:val="auto"/>
        </w:rPr>
      </w:pPr>
    </w:p>
    <w:p>
      <w:pPr>
        <w:jc w:val="both"/>
        <w:ind w:left="-40" w:firstLine="457"/>
        <w:spacing w:after="0" w:line="261"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or any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71" w:lineRule="exact"/>
        <w:rPr>
          <w:rFonts w:ascii="Times New Roman" w:cs="Times New Roman" w:eastAsia="Times New Roman" w:hAnsi="Times New Roman"/>
          <w:sz w:val="18"/>
          <w:szCs w:val="18"/>
          <w:color w:val="auto"/>
        </w:rPr>
      </w:pPr>
    </w:p>
    <w:p>
      <w:pPr>
        <w:ind w:left="-40" w:right="60" w:firstLine="457"/>
        <w:spacing w:after="0" w:line="267" w:lineRule="auto"/>
        <w:tabs>
          <w:tab w:leader="none" w:pos="6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and the Adviser contained herein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hereof and on and as of the Closing Date; and the statements of the Company and its officers made in any certificates delivered pursuant to this Agreement shall be true and correct on and as of the Closing Date.</w:t>
      </w:r>
    </w:p>
    <w:p>
      <w:pPr>
        <w:spacing w:after="0" w:line="65" w:lineRule="exact"/>
        <w:rPr>
          <w:rFonts w:ascii="Times New Roman" w:cs="Times New Roman" w:eastAsia="Times New Roman" w:hAnsi="Times New Roman"/>
          <w:sz w:val="18"/>
          <w:szCs w:val="18"/>
          <w:color w:val="auto"/>
        </w:rPr>
      </w:pPr>
    </w:p>
    <w:p>
      <w:pPr>
        <w:ind w:left="-40" w:right="20" w:firstLine="457"/>
        <w:spacing w:after="0" w:line="258"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3(g) and Section 4(a) hereof shall have occurred or shall exist,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on the terms and in the manner contemplated by this Agreement, the Pricing Disclosure Package and the Prospectus.</w:t>
      </w:r>
    </w:p>
    <w:p>
      <w:pPr>
        <w:spacing w:after="0" w:line="75" w:lineRule="exact"/>
        <w:rPr>
          <w:rFonts w:ascii="Times New Roman" w:cs="Times New Roman" w:eastAsia="Times New Roman" w:hAnsi="Times New Roman"/>
          <w:sz w:val="18"/>
          <w:szCs w:val="18"/>
          <w:color w:val="auto"/>
        </w:rPr>
      </w:pPr>
    </w:p>
    <w:p>
      <w:pPr>
        <w:ind w:left="-40" w:right="20" w:firstLine="457"/>
        <w:spacing w:after="0" w:line="261" w:lineRule="auto"/>
        <w:tabs>
          <w:tab w:leader="none" w:pos="6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Company’s Officer’s Certificate. </w:t>
      </w:r>
      <w:r>
        <w:rPr>
          <w:rFonts w:ascii="Times New Roman" w:cs="Times New Roman" w:eastAsia="Times New Roman" w:hAnsi="Times New Roman"/>
          <w:sz w:val="18"/>
          <w:szCs w:val="18"/>
          <w:color w:val="auto"/>
        </w:rPr>
        <w:t>The Representative shall have received on and as of the Closing Date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360" w:top="270" w:right="379" w:bottom="1440" w:gutter="0" w:footer="0" w:header="0"/>
        </w:sectPr>
      </w:pPr>
    </w:p>
    <w:bookmarkStart w:id="27" w:name="page28"/>
    <w:bookmarkEnd w:id="27"/>
    <w:p>
      <w:pPr>
        <w:ind w:left="-8" w:firstLine="8"/>
        <w:spacing w:after="0" w:line="258" w:lineRule="auto"/>
        <w:tabs>
          <w:tab w:leader="none" w:pos="2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confirming that, to the knowledge of such officers, the representations and warranties of the Company in Sections 3(b), 3(c)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w:t>
      </w:r>
    </w:p>
    <w:p>
      <w:pPr>
        <w:spacing w:after="0" w:line="73" w:lineRule="exact"/>
        <w:rPr>
          <w:rFonts w:ascii="Times New Roman" w:cs="Times New Roman" w:eastAsia="Times New Roman" w:hAnsi="Times New Roman"/>
          <w:sz w:val="18"/>
          <w:szCs w:val="18"/>
          <w:color w:val="auto"/>
        </w:rPr>
      </w:pPr>
    </w:p>
    <w:p>
      <w:pPr>
        <w:ind w:left="-8" w:right="140" w:firstLine="457"/>
        <w:spacing w:after="0" w:line="258" w:lineRule="auto"/>
        <w:tabs>
          <w:tab w:leader="none" w:pos="68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Adviser’s Officer’s Certificate. </w:t>
      </w:r>
      <w:r>
        <w:rPr>
          <w:rFonts w:ascii="Times New Roman" w:cs="Times New Roman" w:eastAsia="Times New Roman" w:hAnsi="Times New Roman"/>
          <w:sz w:val="18"/>
          <w:szCs w:val="18"/>
          <w:color w:val="auto"/>
        </w:rPr>
        <w:t>The Representative shall have received on and as of the Closing Date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 (ii) with respect to the Adviser and its subsidiaries, to the effect set forth in paragraph (c) above.</w:t>
      </w:r>
    </w:p>
    <w:p>
      <w:pPr>
        <w:spacing w:after="0" w:line="75" w:lineRule="exact"/>
        <w:rPr>
          <w:rFonts w:ascii="Times New Roman" w:cs="Times New Roman" w:eastAsia="Times New Roman" w:hAnsi="Times New Roman"/>
          <w:sz w:val="18"/>
          <w:szCs w:val="18"/>
          <w:color w:val="auto"/>
        </w:rPr>
      </w:pPr>
    </w:p>
    <w:p>
      <w:pPr>
        <w:ind w:left="-8" w:firstLine="457"/>
        <w:spacing w:after="0" w:line="257" w:lineRule="auto"/>
        <w:tabs>
          <w:tab w:leader="none" w:pos="66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KPMG LLP shall have furnished to the Representative, at the request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shall use a “cut-off” date no more than three business days prior to the Closing Date.</w:t>
      </w:r>
    </w:p>
    <w:p>
      <w:pPr>
        <w:spacing w:after="0" w:line="74" w:lineRule="exact"/>
        <w:rPr>
          <w:rFonts w:ascii="Times New Roman" w:cs="Times New Roman" w:eastAsia="Times New Roman" w:hAnsi="Times New Roman"/>
          <w:sz w:val="18"/>
          <w:szCs w:val="18"/>
          <w:color w:val="auto"/>
        </w:rPr>
      </w:pPr>
    </w:p>
    <w:p>
      <w:pPr>
        <w:ind w:left="-8" w:right="40" w:firstLine="457"/>
        <w:spacing w:after="0" w:line="254" w:lineRule="auto"/>
        <w:tabs>
          <w:tab w:leader="none" w:pos="6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and Adviser. </w:t>
      </w:r>
      <w:r>
        <w:rPr>
          <w:rFonts w:ascii="Times New Roman" w:cs="Times New Roman" w:eastAsia="Times New Roman" w:hAnsi="Times New Roman"/>
          <w:sz w:val="18"/>
          <w:szCs w:val="18"/>
          <w:color w:val="auto"/>
        </w:rPr>
        <w:t>Cleary Gottlieb Steen &amp; Hamilton LLP, counsel for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shall have furnished to the Representative, at the request of the Company and the Adviser, their written opinions and 10b-5 letter, dated the Closing Date and addressed to the Underwriters, in form and substance reasonably satisfactory to the Representative. Schulte Roth &amp; Zabel LLP, Investment Company Act counsel for the Company and Advisers Act counsel for the Adviser, shall have furnished to the Representative, at the request of the Company and the Adviser, their written opinion, dated the Closing Date and addressed to the Underwriters,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Underwriters, in form and substance reasonably satisfactory to the Representative. In-house counsel to the Company and the Adviser, shall have furnished to the Representative its written opinion, dated the Closing Date and addressed to the Underwriters, in form and substance reasonably satisfactory to the Representative.</w:t>
      </w:r>
    </w:p>
    <w:p>
      <w:pPr>
        <w:spacing w:after="0" w:line="1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12"/>
          </w:cols>
          <w:pgMar w:left="328" w:top="270" w:right="359" w:bottom="1440" w:gutter="0" w:footer="0" w:header="0"/>
        </w:sectPr>
      </w:pPr>
    </w:p>
    <w:bookmarkStart w:id="28" w:name="page29"/>
    <w:bookmarkEnd w:id="28"/>
    <w:p>
      <w:pPr>
        <w:ind w:right="140" w:firstLine="457"/>
        <w:spacing w:after="0" w:line="267" w:lineRule="auto"/>
        <w:tabs>
          <w:tab w:leader="none" w:pos="7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Opinion and 10b-5 Statement of Counsel for the Underwriters. </w:t>
      </w:r>
      <w:r>
        <w:rPr>
          <w:rFonts w:ascii="Times New Roman" w:cs="Times New Roman" w:eastAsia="Times New Roman" w:hAnsi="Times New Roman"/>
          <w:sz w:val="18"/>
          <w:szCs w:val="18"/>
          <w:color w:val="auto"/>
        </w:rPr>
        <w:t>The Representative shall have received on and as of the Closing Date an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65" w:lineRule="exact"/>
        <w:rPr>
          <w:rFonts w:ascii="Times New Roman" w:cs="Times New Roman" w:eastAsia="Times New Roman" w:hAnsi="Times New Roman"/>
          <w:sz w:val="18"/>
          <w:szCs w:val="18"/>
          <w:color w:val="auto"/>
        </w:rPr>
      </w:pPr>
    </w:p>
    <w:p>
      <w:pPr>
        <w:ind w:right="200" w:firstLine="457"/>
        <w:spacing w:after="0" w:line="261" w:lineRule="auto"/>
        <w:tabs>
          <w:tab w:leader="none" w:pos="6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spacing w:after="0" w:line="71" w:lineRule="exact"/>
        <w:rPr>
          <w:rFonts w:ascii="Times New Roman" w:cs="Times New Roman" w:eastAsia="Times New Roman" w:hAnsi="Times New Roman"/>
          <w:sz w:val="18"/>
          <w:szCs w:val="18"/>
          <w:color w:val="auto"/>
        </w:rPr>
      </w:pPr>
    </w:p>
    <w:p>
      <w:pPr>
        <w:ind w:right="20" w:firstLine="457"/>
        <w:spacing w:after="0" w:line="261" w:lineRule="auto"/>
        <w:tabs>
          <w:tab w:leader="none" w:pos="6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and as of the Closing Date reasonably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firstLine="457"/>
        <w:spacing w:after="0" w:line="284" w:lineRule="auto"/>
        <w:tabs>
          <w:tab w:leader="none" w:pos="7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Supplemental Indenture and Securities</w:t>
      </w:r>
      <w:r>
        <w:rPr>
          <w:rFonts w:ascii="Times New Roman" w:cs="Times New Roman" w:eastAsia="Times New Roman" w:hAnsi="Times New Roman"/>
          <w:sz w:val="18"/>
          <w:szCs w:val="18"/>
          <w:color w:val="auto"/>
        </w:rPr>
        <w:t>. On or prior to the Closing Date, the Company and the Trustee shall have executed and delivered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Supplemental Indenture and the Securities.</w:t>
      </w:r>
    </w:p>
    <w:p>
      <w:pPr>
        <w:spacing w:after="0" w:line="50" w:lineRule="exact"/>
        <w:rPr>
          <w:rFonts w:ascii="Times New Roman" w:cs="Times New Roman" w:eastAsia="Times New Roman" w:hAnsi="Times New Roman"/>
          <w:sz w:val="18"/>
          <w:szCs w:val="18"/>
          <w:color w:val="auto"/>
        </w:rPr>
      </w:pPr>
    </w:p>
    <w:p>
      <w:pPr>
        <w:ind w:firstLine="457"/>
        <w:spacing w:after="0" w:line="258" w:lineRule="auto"/>
        <w:tabs>
          <w:tab w:leader="none" w:pos="6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75" w:lineRule="exact"/>
        <w:rPr>
          <w:rFonts w:ascii="Times New Roman" w:cs="Times New Roman" w:eastAsia="Times New Roman" w:hAnsi="Times New Roman"/>
          <w:sz w:val="18"/>
          <w:szCs w:val="18"/>
          <w:color w:val="auto"/>
        </w:rPr>
      </w:pPr>
    </w:p>
    <w:p>
      <w:pPr>
        <w:ind w:right="340" w:firstLine="457"/>
        <w:spacing w:after="0" w:line="284" w:lineRule="auto"/>
        <w:tabs>
          <w:tab w:leader="none" w:pos="7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 may reasonably request.</w:t>
      </w:r>
    </w:p>
    <w:p>
      <w:pPr>
        <w:spacing w:after="0" w:line="160"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54" w:lineRule="exact"/>
        <w:rPr>
          <w:sz w:val="20"/>
          <w:szCs w:val="20"/>
          <w:color w:val="auto"/>
        </w:rPr>
      </w:pPr>
    </w:p>
    <w:p>
      <w:pPr>
        <w:ind w:left="640" w:hanging="18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0" w:firstLine="457"/>
        <w:spacing w:after="0" w:line="261" w:lineRule="auto"/>
        <w:tabs>
          <w:tab w:leader="none" w:pos="6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268" w:right="35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 (b) below.</w:t>
      </w:r>
    </w:p>
    <w:p>
      <w:pPr>
        <w:spacing w:after="0" w:line="82" w:lineRule="exact"/>
        <w:rPr>
          <w:sz w:val="20"/>
          <w:szCs w:val="20"/>
          <w:color w:val="auto"/>
        </w:rPr>
      </w:pPr>
    </w:p>
    <w:p>
      <w:pPr>
        <w:ind w:firstLine="457"/>
        <w:spacing w:after="0" w:line="253" w:lineRule="auto"/>
        <w:tabs>
          <w:tab w:leader="none" w:pos="7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sixth paragraph and the information regarding stabilizing transactions contained in the eleventh, twelfth and thirteenth paragraphs.</w:t>
      </w:r>
    </w:p>
    <w:p>
      <w:pPr>
        <w:spacing w:after="0" w:line="83" w:lineRule="exact"/>
        <w:rPr>
          <w:rFonts w:ascii="Times New Roman" w:cs="Times New Roman" w:eastAsia="Times New Roman" w:hAnsi="Times New Roman"/>
          <w:sz w:val="18"/>
          <w:szCs w:val="18"/>
          <w:color w:val="auto"/>
        </w:rPr>
      </w:pPr>
    </w:p>
    <w:p>
      <w:pPr>
        <w:ind w:right="20" w:firstLine="457"/>
        <w:spacing w:after="0" w:line="256" w:lineRule="auto"/>
        <w:tabs>
          <w:tab w:leader="none" w:pos="6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270" w:right="339" w:bottom="1440" w:gutter="0" w:footer="0" w:header="0"/>
        </w:sectPr>
      </w:pPr>
    </w:p>
    <w:bookmarkStart w:id="30" w:name="page31"/>
    <w:bookmarkEnd w:id="3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270" w:right="359" w:bottom="1440" w:gutter="0" w:footer="0" w:header="0"/>
        </w:sectPr>
      </w:pPr>
    </w:p>
    <w:bookmarkStart w:id="31" w:name="page32"/>
    <w:bookmarkEnd w:id="31"/>
    <w:p>
      <w:pPr>
        <w:ind w:firstLine="457"/>
        <w:spacing w:after="0" w:line="252" w:lineRule="auto"/>
        <w:tabs>
          <w:tab w:leader="none" w:pos="7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88" w:lineRule="exact"/>
        <w:rPr>
          <w:rFonts w:ascii="Times New Roman" w:cs="Times New Roman" w:eastAsia="Times New Roman" w:hAnsi="Times New Roman"/>
          <w:sz w:val="18"/>
          <w:szCs w:val="18"/>
          <w:color w:val="auto"/>
        </w:rPr>
      </w:pPr>
    </w:p>
    <w:p>
      <w:pPr>
        <w:ind w:left="700" w:hanging="243"/>
        <w:spacing w:after="0"/>
        <w:tabs>
          <w:tab w:leader="none" w:pos="7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82" w:lineRule="exact"/>
        <w:rPr>
          <w:rFonts w:ascii="Times New Roman" w:cs="Times New Roman" w:eastAsia="Times New Roman" w:hAnsi="Times New Roman"/>
          <w:sz w:val="18"/>
          <w:szCs w:val="18"/>
          <w:color w:val="auto"/>
        </w:rPr>
      </w:pPr>
    </w:p>
    <w:p>
      <w:pPr>
        <w:ind w:right="60" w:firstLine="457"/>
        <w:spacing w:after="0" w:line="284" w:lineRule="auto"/>
        <w:tabs>
          <w:tab w:leader="none" w:pos="67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8 paragraphs (a) through (e) are not exclusive and shall not limit any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which may otherwise be available to any Indemnified Person at law or in equity.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268" w:right="339" w:bottom="1440" w:gutter="0" w:footer="0" w:header="0"/>
        </w:sectPr>
      </w:pPr>
    </w:p>
    <w:bookmarkStart w:id="32" w:name="page33"/>
    <w:bookmarkEnd w:id="32"/>
    <w:p>
      <w:pPr>
        <w:ind w:left="620" w:hanging="183"/>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117" w:lineRule="exact"/>
        <w:rPr>
          <w:rFonts w:ascii="Times New Roman" w:cs="Times New Roman" w:eastAsia="Times New Roman" w:hAnsi="Times New Roman"/>
          <w:sz w:val="18"/>
          <w:szCs w:val="18"/>
          <w:color w:val="auto"/>
        </w:rPr>
      </w:pPr>
    </w:p>
    <w:p>
      <w:pPr>
        <w:ind w:left="-20" w:right="40" w:firstLine="457"/>
        <w:spacing w:after="0" w:line="254" w:lineRule="auto"/>
        <w:tabs>
          <w:tab w:leader="none" w:pos="6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spacing w:after="0" w:line="83" w:lineRule="exact"/>
        <w:rPr>
          <w:rFonts w:ascii="Times New Roman" w:cs="Times New Roman" w:eastAsia="Times New Roman" w:hAnsi="Times New Roman"/>
          <w:sz w:val="18"/>
          <w:szCs w:val="18"/>
          <w:color w:val="auto"/>
        </w:rPr>
      </w:pPr>
    </w:p>
    <w:p>
      <w:pPr>
        <w:ind w:left="700" w:hanging="263"/>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57"/>
        <w:spacing w:after="0" w:line="253" w:lineRule="auto"/>
        <w:tabs>
          <w:tab w:leader="none" w:pos="6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83" w:lineRule="exact"/>
        <w:rPr>
          <w:rFonts w:ascii="Times New Roman" w:cs="Times New Roman" w:eastAsia="Times New Roman" w:hAnsi="Times New Roman"/>
          <w:sz w:val="18"/>
          <w:szCs w:val="18"/>
          <w:color w:val="auto"/>
        </w:rPr>
      </w:pPr>
    </w:p>
    <w:p>
      <w:pPr>
        <w:ind w:left="-20" w:right="20" w:firstLine="457"/>
        <w:spacing w:after="0" w:line="256" w:lineRule="auto"/>
        <w:tabs>
          <w:tab w:leader="none" w:pos="6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40" w:top="270" w:right="359" w:bottom="1440" w:gutter="0" w:footer="0" w:header="0"/>
        </w:sectPr>
      </w:pPr>
    </w:p>
    <w:bookmarkStart w:id="33" w:name="page34"/>
    <w:bookmarkEnd w:id="33"/>
    <w:p>
      <w:pPr>
        <w:ind w:left="-8" w:right="100" w:firstLine="457"/>
        <w:spacing w:after="0" w:line="256" w:lineRule="auto"/>
        <w:tabs>
          <w:tab w:leader="none" w:pos="6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79" w:lineRule="exact"/>
        <w:rPr>
          <w:rFonts w:ascii="Times New Roman" w:cs="Times New Roman" w:eastAsia="Times New Roman" w:hAnsi="Times New Roman"/>
          <w:sz w:val="18"/>
          <w:szCs w:val="18"/>
          <w:color w:val="auto"/>
        </w:rPr>
      </w:pPr>
    </w:p>
    <w:p>
      <w:pPr>
        <w:ind w:left="-8" w:right="220" w:firstLine="457"/>
        <w:spacing w:after="0" w:line="282" w:lineRule="auto"/>
        <w:tabs>
          <w:tab w:leader="none" w:pos="6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52" w:lineRule="exact"/>
        <w:rPr>
          <w:sz w:val="20"/>
          <w:szCs w:val="20"/>
          <w:color w:val="auto"/>
        </w:rPr>
      </w:pPr>
    </w:p>
    <w:p>
      <w:pPr>
        <w:ind w:left="712" w:hanging="263"/>
        <w:spacing w:after="0"/>
        <w:tabs>
          <w:tab w:leader="none" w:pos="7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8" w:right="140" w:firstLine="457"/>
        <w:spacing w:after="0" w:line="257" w:lineRule="auto"/>
        <w:tabs>
          <w:tab w:leader="none" w:pos="68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w:t>
      </w:r>
    </w:p>
    <w:p>
      <w:pPr>
        <w:spacing w:after="0" w:line="1" w:lineRule="exact"/>
        <w:rPr>
          <w:rFonts w:ascii="Times New Roman" w:cs="Times New Roman" w:eastAsia="Times New Roman" w:hAnsi="Times New Roman"/>
          <w:sz w:val="18"/>
          <w:szCs w:val="18"/>
          <w:color w:val="auto"/>
        </w:rPr>
      </w:pPr>
    </w:p>
    <w:p>
      <w:pPr>
        <w:ind w:left="-8" w:firstLine="8"/>
        <w:spacing w:after="0" w:line="250" w:lineRule="auto"/>
        <w:tabs>
          <w:tab w:leader="none" w:pos="2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incident to the preparation, printing and filing under the Securities Act of the Registration Statement, the Preliminary Prospectus, any Pricing Disclosure Package, any Marketing Materials and the Prospectus (including all exhibits, amendments and supplements thereto) and the distribution thereof;</w:t>
      </w:r>
    </w:p>
    <w:p>
      <w:pPr>
        <w:ind w:left="-8" w:right="60" w:firstLine="8"/>
        <w:spacing w:after="0" w:line="251" w:lineRule="auto"/>
        <w:tabs>
          <w:tab w:leader="none" w:pos="30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$15,000); (vi) all expenses incurred by the Company in connection with any “road show” presentation to potential investors,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Underwriters shall be responsible for 50% of the third party costs of any chartered private aircraft incurred in connection with such road show; and (vii) the fees and expenses of the Trustee with respect to the Securities.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 party costs of any chartered private aircraft incurred in connection with the road show and all travel, lodging and other expenses of the Underwriters incurred by them in connection with any road show.</w:t>
      </w:r>
    </w:p>
    <w:p>
      <w:pPr>
        <w:spacing w:after="0" w:line="1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12"/>
          </w:cols>
          <w:pgMar w:left="328" w:top="270" w:right="359" w:bottom="1440" w:gutter="0" w:footer="0" w:header="0"/>
        </w:sectPr>
      </w:pPr>
    </w:p>
    <w:bookmarkStart w:id="34" w:name="page35"/>
    <w:bookmarkEnd w:id="34"/>
    <w:p>
      <w:pPr>
        <w:ind w:left="712" w:hanging="263"/>
        <w:spacing w:after="0"/>
        <w:tabs>
          <w:tab w:leader="none" w:pos="71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 this Agreement is terminated pursuant to Section 10 (other than as a result of a termination pursuant to clauses (i), (iii) or (iv) of Section 10),</w:t>
      </w:r>
    </w:p>
    <w:p>
      <w:pPr>
        <w:spacing w:after="0" w:line="38" w:lineRule="exact"/>
        <w:rPr>
          <w:rFonts w:ascii="Times New Roman" w:cs="Times New Roman" w:eastAsia="Times New Roman" w:hAnsi="Times New Roman"/>
          <w:sz w:val="17"/>
          <w:szCs w:val="17"/>
          <w:color w:val="auto"/>
        </w:rPr>
      </w:pPr>
    </w:p>
    <w:p>
      <w:pPr>
        <w:ind w:left="-8" w:right="40" w:firstLine="8"/>
        <w:spacing w:after="0" w:line="253" w:lineRule="auto"/>
        <w:tabs>
          <w:tab w:leader="none" w:pos="2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79" w:lineRule="exact"/>
        <w:rPr>
          <w:sz w:val="20"/>
          <w:szCs w:val="20"/>
          <w:color w:val="auto"/>
        </w:rPr>
      </w:pPr>
    </w:p>
    <w:p>
      <w:pPr>
        <w:ind w:left="-8" w:right="20" w:firstLine="457"/>
        <w:spacing w:after="0" w:line="261" w:lineRule="auto"/>
        <w:tabs>
          <w:tab w:leader="none" w:pos="7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71" w:lineRule="exact"/>
        <w:rPr>
          <w:rFonts w:ascii="Times New Roman" w:cs="Times New Roman" w:eastAsia="Times New Roman" w:hAnsi="Times New Roman"/>
          <w:sz w:val="18"/>
          <w:szCs w:val="18"/>
          <w:color w:val="auto"/>
        </w:rPr>
      </w:pPr>
    </w:p>
    <w:p>
      <w:pPr>
        <w:jc w:val="both"/>
        <w:ind w:left="-8" w:right="120" w:firstLine="457"/>
        <w:spacing w:after="0" w:line="261" w:lineRule="auto"/>
        <w:tabs>
          <w:tab w:leader="none" w:pos="7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71" w:lineRule="exact"/>
        <w:rPr>
          <w:rFonts w:ascii="Times New Roman" w:cs="Times New Roman" w:eastAsia="Times New Roman" w:hAnsi="Times New Roman"/>
          <w:sz w:val="18"/>
          <w:szCs w:val="18"/>
          <w:color w:val="auto"/>
        </w:rPr>
      </w:pPr>
    </w:p>
    <w:p>
      <w:pPr>
        <w:ind w:left="-8" w:right="140" w:firstLine="457"/>
        <w:spacing w:after="0" w:line="266" w:lineRule="auto"/>
        <w:tabs>
          <w:tab w:leader="none" w:pos="7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67" w:lineRule="exact"/>
        <w:rPr>
          <w:rFonts w:ascii="Times New Roman" w:cs="Times New Roman" w:eastAsia="Times New Roman" w:hAnsi="Times New Roman"/>
          <w:sz w:val="18"/>
          <w:szCs w:val="18"/>
          <w:color w:val="auto"/>
        </w:rPr>
      </w:pPr>
    </w:p>
    <w:p>
      <w:pPr>
        <w:ind w:left="712" w:hanging="263"/>
        <w:spacing w:after="0"/>
        <w:tabs>
          <w:tab w:leader="none" w:pos="7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 w:right="140" w:firstLine="457"/>
        <w:spacing w:after="0" w:line="261" w:lineRule="auto"/>
        <w:tabs>
          <w:tab w:leader="none" w:pos="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8" w:right="140" w:firstLine="457"/>
        <w:spacing w:after="0" w:line="261" w:lineRule="auto"/>
        <w:tabs>
          <w:tab w:leader="none" w:pos="6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12"/>
          </w:cols>
          <w:pgMar w:left="328" w:top="270" w:right="359" w:bottom="1440" w:gutter="0" w:footer="0" w:header="0"/>
        </w:sectPr>
      </w:pPr>
    </w:p>
    <w:bookmarkStart w:id="35" w:name="page36"/>
    <w:bookmarkEnd w:id="35"/>
    <w:p>
      <w:pPr>
        <w:ind w:left="-20" w:firstLine="457"/>
        <w:spacing w:after="0" w:line="255" w:lineRule="auto"/>
        <w:tabs>
          <w:tab w:leader="none" w:pos="6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81" w:lineRule="exact"/>
        <w:rPr>
          <w:sz w:val="20"/>
          <w:szCs w:val="20"/>
          <w:color w:val="auto"/>
        </w:rPr>
      </w:pPr>
    </w:p>
    <w:p>
      <w:pPr>
        <w:ind w:left="700" w:hanging="263"/>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0" w:right="40" w:firstLine="457"/>
        <w:spacing w:after="0" w:line="258" w:lineRule="auto"/>
        <w:tabs>
          <w:tab w:leader="none" w:pos="6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confirmed by any standard form of telecommunication. Notices to the Underwriters shall be given to the Representative c/o BofA Securities, Inc. 50 Rockefeller Plaza, NY1-050-12-02, New York, New York 10020 Facsimile: (646) 855-5958 Attention: High Grade Transaction Management/Legal. Notices to the Company or the Adviser shall be given to either of them at Sixth Street Specialty Lending, Inc., 345 California Street, Suite 3300, San Francisco, California 94104 (fax: (415) 486-5929), Attention: Joshua Peck.</w:t>
      </w:r>
    </w:p>
    <w:p>
      <w:pPr>
        <w:spacing w:after="0" w:line="75" w:lineRule="exact"/>
        <w:rPr>
          <w:rFonts w:ascii="Times New Roman" w:cs="Times New Roman" w:eastAsia="Times New Roman" w:hAnsi="Times New Roman"/>
          <w:sz w:val="18"/>
          <w:szCs w:val="18"/>
          <w:color w:val="auto"/>
        </w:rPr>
      </w:pPr>
    </w:p>
    <w:p>
      <w:pPr>
        <w:ind w:left="-20" w:right="40" w:firstLine="457"/>
        <w:spacing w:after="0" w:line="267" w:lineRule="auto"/>
        <w:tabs>
          <w:tab w:leader="none" w:pos="6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65" w:lineRule="exact"/>
        <w:rPr>
          <w:rFonts w:ascii="Times New Roman" w:cs="Times New Roman" w:eastAsia="Times New Roman" w:hAnsi="Times New Roman"/>
          <w:sz w:val="18"/>
          <w:szCs w:val="18"/>
          <w:color w:val="auto"/>
        </w:rPr>
      </w:pPr>
    </w:p>
    <w:p>
      <w:pPr>
        <w:ind w:left="-20" w:right="520" w:firstLine="457"/>
        <w:spacing w:after="0" w:line="284" w:lineRule="auto"/>
        <w:tabs>
          <w:tab w:leader="none" w:pos="6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applicable to agreements made and to be performed in such state.</w:t>
      </w:r>
    </w:p>
    <w:p>
      <w:pPr>
        <w:spacing w:after="0" w:line="50" w:lineRule="exact"/>
        <w:rPr>
          <w:rFonts w:ascii="Times New Roman" w:cs="Times New Roman" w:eastAsia="Times New Roman" w:hAnsi="Times New Roman"/>
          <w:sz w:val="18"/>
          <w:szCs w:val="18"/>
          <w:color w:val="auto"/>
        </w:rPr>
      </w:pPr>
    </w:p>
    <w:p>
      <w:pPr>
        <w:ind w:left="-20" w:right="1220" w:firstLine="457"/>
        <w:spacing w:after="0" w:line="284" w:lineRule="auto"/>
        <w:tabs>
          <w:tab w:leader="none" w:pos="6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w:t>
      </w:r>
    </w:p>
    <w:p>
      <w:pPr>
        <w:spacing w:after="0" w:line="50" w:lineRule="exact"/>
        <w:rPr>
          <w:rFonts w:ascii="Times New Roman" w:cs="Times New Roman" w:eastAsia="Times New Roman" w:hAnsi="Times New Roman"/>
          <w:sz w:val="18"/>
          <w:szCs w:val="18"/>
          <w:color w:val="auto"/>
        </w:rPr>
      </w:pPr>
    </w:p>
    <w:p>
      <w:pPr>
        <w:ind w:left="-20" w:right="200" w:firstLine="457"/>
        <w:spacing w:after="0" w:line="284" w:lineRule="auto"/>
        <w:tabs>
          <w:tab w:leader="none" w:pos="6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 therefrom,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in any event be effective unless the same shall be in writing and signed by the parties hereto.</w:t>
      </w:r>
    </w:p>
    <w:p>
      <w:pPr>
        <w:spacing w:after="0" w:line="50" w:lineRule="exact"/>
        <w:rPr>
          <w:rFonts w:ascii="Times New Roman" w:cs="Times New Roman" w:eastAsia="Times New Roman" w:hAnsi="Times New Roman"/>
          <w:sz w:val="18"/>
          <w:szCs w:val="18"/>
          <w:color w:val="auto"/>
        </w:rPr>
      </w:pPr>
    </w:p>
    <w:p>
      <w:pPr>
        <w:ind w:left="-20" w:right="480" w:firstLine="457"/>
        <w:spacing w:after="0" w:line="284"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50" w:lineRule="exact"/>
        <w:rPr>
          <w:rFonts w:ascii="Times New Roman" w:cs="Times New Roman" w:eastAsia="Times New Roman" w:hAnsi="Times New Roman"/>
          <w:sz w:val="18"/>
          <w:szCs w:val="18"/>
          <w:color w:val="auto"/>
        </w:rPr>
      </w:pPr>
    </w:p>
    <w:p>
      <w:pPr>
        <w:ind w:left="-20" w:right="300" w:firstLine="457"/>
        <w:spacing w:after="0" w:line="267" w:lineRule="auto"/>
        <w:tabs>
          <w:tab w:leader="none" w:pos="6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Representative</w:t>
      </w:r>
      <w:r>
        <w:rPr>
          <w:rFonts w:ascii="Times New Roman" w:cs="Times New Roman" w:eastAsia="Times New Roman" w:hAnsi="Times New Roman"/>
          <w:sz w:val="18"/>
          <w:szCs w:val="18"/>
          <w:color w:val="auto"/>
        </w:rPr>
        <w:t>. The Representative is duly authorized to act hereunder on behalf of the other Underwriters. Any action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hereunder may be taken by the Representative on behalf of the Underwriters, and any such action taken by the Representative shall be binding on all the Underwriters.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40" w:top="27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indicate your acceptance of this Agreement by signing in the space provided below.</w:t>
      </w:r>
    </w:p>
    <w:p>
      <w:pPr>
        <w:sectPr>
          <w:pgSz w:w="11900" w:h="16838" w:orient="portrait"/>
          <w:cols w:equalWidth="0" w:num="1">
            <w:col w:w="10740"/>
          </w:cols>
          <w:pgMar w:left="780" w:top="270" w:right="379" w:bottom="1440" w:gutter="0" w:footer="0" w:header="0"/>
        </w:sectPr>
      </w:pPr>
    </w:p>
    <w:p>
      <w:pPr>
        <w:spacing w:after="0" w:line="23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i w:val="1"/>
          <w:iCs w:val="1"/>
          <w:color w:val="auto"/>
        </w:rPr>
        <w:t>[Signature pages follow]</w:t>
      </w:r>
    </w:p>
    <w:p>
      <w:pPr>
        <w:spacing w:after="0" w:line="17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40"/>
          </w:cols>
          <w:pgMar w:left="780" w:top="270" w:right="379" w:bottom="1440" w:gutter="0" w:footer="0" w:header="0"/>
          <w:type w:val="continuous"/>
        </w:sectPr>
      </w:pPr>
    </w:p>
    <w:bookmarkStart w:id="37" w:name="page38"/>
    <w:bookmarkEnd w:id="37"/>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SIXTH STREET SPECIALTY LENDING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ADVISERS, LLC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160"/>
          </w:cols>
          <w:pgMar w:left="1440" w:top="270" w:right="1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 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Randolph B. Randolph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2648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Randolph B. Randolph</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139"/>
          </w:cols>
          <w:pgMar w:left="320" w:top="270"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Securities to be paid by the several Underwriters shall be 98.268% of the aggregate principal amount thereof.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338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5560" w:type="dxa"/>
            <w:vAlign w:val="bottom"/>
          </w:tcPr>
          <w:p>
            <w:pPr>
              <w:spacing w:after="0"/>
              <w:rPr>
                <w:sz w:val="15"/>
                <w:szCs w:val="15"/>
                <w:color w:val="auto"/>
              </w:rPr>
            </w:pPr>
          </w:p>
        </w:tc>
        <w:tc>
          <w:tcPr>
            <w:tcW w:w="15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Securities to be Purchased</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5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Comerica Securities, Inc.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Janney Montgomery Scott LLC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JMP Securities LLC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Santander Investment Securities Inc.</w:t>
            </w: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5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5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S-1-1</w:t>
            </w: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w:t>
      </w:r>
    </w:p>
    <w:p>
      <w:pPr>
        <w:spacing w:after="0" w:line="252" w:lineRule="exact"/>
        <w:rPr>
          <w:sz w:val="20"/>
          <w:szCs w:val="20"/>
          <w:color w:val="auto"/>
        </w:rPr>
      </w:pPr>
    </w:p>
    <w:p>
      <w:pPr>
        <w:ind w:left="460" w:right="160" w:hanging="452"/>
        <w:spacing w:after="0" w:line="28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January 27, 2021, containing the terms governing the Securities, substantially in the form of Annex A to this Agreement, filed with the Commission on January 27, 2021 pursuant to Rule 433.</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27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52"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Lending, LLC</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SPV, LLC</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Holdings, LLC</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Sub,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27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January 27, 2021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January 27, 2021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Prospectus dated May 7, 2019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333-231271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 Notes due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27, 2021</w:t>
      </w:r>
    </w:p>
    <w:p>
      <w:pPr>
        <w:spacing w:after="0" w:line="20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The following sets forth the final terms of the 2.500% Notes due 2026 and should only be read together with the preliminary prospectus supplement dated January 27, 2021, together with the accompanying prospectus dated May 7, 2019,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240"/>
          </w:cols>
          <w:pgMar w:left="320" w:top="266"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Specialty Lending, Inc. (the “Issuer”)</w:t>
      </w:r>
    </w:p>
    <w:p>
      <w:pPr>
        <w:spacing w:after="0" w:line="128"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2.500% Notes due 2026</w:t>
      </w:r>
    </w:p>
    <w:p>
      <w:pPr>
        <w:spacing w:after="0" w:line="128"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Ratings (Moody’s/S&amp;P/Fitch)*: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[Reserved]</w:t>
      </w:r>
    </w:p>
    <w:p>
      <w:pPr>
        <w:spacing w:after="0" w:line="128"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$300,000,000</w:t>
      </w:r>
    </w:p>
    <w:p>
      <w:pPr>
        <w:spacing w:after="0" w:line="128"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August 1, 2026, unless earlier repurchased or redeemed</w:t>
      </w:r>
    </w:p>
    <w:p>
      <w:pPr>
        <w:spacing w:after="0" w:line="128"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27, 2021</w:t>
      </w:r>
    </w:p>
    <w:p>
      <w:pPr>
        <w:spacing w:after="0" w:line="128"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 (Issue Price):</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99.268% of their principal amount, plus accrued interest, if any, from February 3, 2021</w:t>
      </w:r>
    </w:p>
    <w:p>
      <w:pPr>
        <w:spacing w:after="0" w:line="54"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2.500%</w:t>
      </w:r>
    </w:p>
    <w:p>
      <w:pPr>
        <w:spacing w:after="0" w:line="117"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2.644%</w:t>
      </w:r>
    </w:p>
    <w:p>
      <w:pPr>
        <w:spacing w:after="0" w:line="117"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T+225 bps</w:t>
      </w:r>
    </w:p>
    <w:p>
      <w:pPr>
        <w:spacing w:after="0" w:line="117"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0.375% due December 31, 2025</w:t>
      </w:r>
    </w:p>
    <w:p>
      <w:pPr>
        <w:spacing w:after="0" w:line="117"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99-29 / 0.394%</w:t>
      </w:r>
    </w:p>
    <w:p>
      <w:pPr>
        <w:spacing w:after="0" w:line="117" w:lineRule="exact"/>
        <w:rPr>
          <w:sz w:val="20"/>
          <w:szCs w:val="20"/>
          <w:color w:val="auto"/>
        </w:rPr>
      </w:pPr>
    </w:p>
    <w:p>
      <w:pPr>
        <w:sectPr>
          <w:pgSz w:w="11900" w:h="16838" w:orient="portrait"/>
          <w:cols w:equalWidth="0" w:num="2">
            <w:col w:w="3140" w:space="720"/>
            <w:col w:w="7380"/>
          </w:cols>
          <w:pgMar w:left="320" w:top="26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1 and August 1, commencing August 1, 2021</w:t>
      </w:r>
    </w:p>
    <w:p>
      <w:pPr>
        <w:sectPr>
          <w:pgSz w:w="11900" w:h="16838" w:orient="portrait"/>
          <w:cols w:equalWidth="0" w:num="2">
            <w:col w:w="3140" w:space="720"/>
            <w:col w:w="7380"/>
          </w:cols>
          <w:pgMar w:left="320" w:top="266"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Make-Whole Redemption:</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Equal to the greater of the following amounts, plus, in each case, accrued and unpaid interest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-459740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3140" w:space="720"/>
            <w:col w:w="7360"/>
          </w:cols>
          <w:pgMar w:left="320" w:top="378" w:right="359" w:bottom="1440" w:gutter="0" w:footer="0" w:header="0"/>
        </w:sectPr>
      </w:pPr>
    </w:p>
    <w:p>
      <w:pPr>
        <w:ind w:left="38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the principal amount of the Notes to be redeemed, or</w:t>
      </w:r>
    </w:p>
    <w:p>
      <w:pPr>
        <w:spacing w:after="0" w:line="102" w:lineRule="exact"/>
        <w:rPr>
          <w:sz w:val="20"/>
          <w:szCs w:val="20"/>
          <w:color w:val="auto"/>
        </w:rPr>
      </w:pPr>
    </w:p>
    <w:p>
      <w:pPr>
        <w:sectPr>
          <w:pgSz w:w="11900" w:h="16838" w:orient="portrait"/>
          <w:cols w:equalWidth="0" w:num="2">
            <w:col w:w="4020" w:space="160"/>
            <w:col w:w="7040"/>
          </w:cols>
          <w:pgMar w:left="320" w:top="378" w:right="359" w:bottom="1440" w:gutter="0" w:footer="0" w:header="0"/>
          <w:type w:val="continuous"/>
        </w:sectPr>
      </w:pPr>
    </w:p>
    <w:p>
      <w:pPr>
        <w:ind w:left="4180" w:hanging="359"/>
        <w:spacing w:after="0" w:line="219" w:lineRule="exact"/>
        <w:tabs>
          <w:tab w:leader="none" w:pos="41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35 basis points;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Issuer redeems any Notes on or after July 1, 2026 (the date falling one 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maturity date of the Notes), the redemption price for the Notes will be equal to 100% of the principal amount of the Notes to be redeemed, plus accrued and unpaid interest, if any, to, but excluding, the date of redemption.</w:t>
      </w:r>
    </w:p>
    <w:p>
      <w:pPr>
        <w:sectPr>
          <w:pgSz w:w="11900" w:h="16838" w:orient="portrait"/>
          <w:cols w:equalWidth="0" w:num="1">
            <w:col w:w="11220"/>
          </w:cols>
          <w:pgMar w:left="320" w:top="378" w:right="35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54" w:lineRule="exact"/>
        <w:rPr>
          <w:sz w:val="20"/>
          <w:szCs w:val="20"/>
          <w:color w:val="auto"/>
        </w:rPr>
      </w:pPr>
    </w:p>
    <w:p>
      <w:pPr>
        <w:sectPr>
          <w:pgSz w:w="11900" w:h="16838" w:orient="portrait"/>
          <w:cols w:equalWidth="0" w:num="2">
            <w:col w:w="3140" w:space="720"/>
            <w:col w:w="7360"/>
          </w:cols>
          <w:pgMar w:left="320" w:top="37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3, 2021 (T+5)</w:t>
      </w:r>
    </w:p>
    <w:p>
      <w:pPr>
        <w:spacing w:after="0" w:line="128" w:lineRule="exact"/>
        <w:rPr>
          <w:sz w:val="20"/>
          <w:szCs w:val="20"/>
          <w:color w:val="auto"/>
        </w:rPr>
      </w:pPr>
    </w:p>
    <w:p>
      <w:pPr>
        <w:sectPr>
          <w:pgSz w:w="11900" w:h="16838" w:orient="portrait"/>
          <w:cols w:equalWidth="0" w:num="2">
            <w:col w:w="3140" w:space="720"/>
            <w:col w:w="7360"/>
          </w:cols>
          <w:pgMar w:left="320" w:top="37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3140" w:space="720"/>
            <w:col w:w="7360"/>
          </w:cols>
          <w:pgMar w:left="320" w:top="37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83012A AA7</w:t>
      </w:r>
    </w:p>
    <w:p>
      <w:pPr>
        <w:spacing w:after="0" w:line="117" w:lineRule="exact"/>
        <w:rPr>
          <w:sz w:val="20"/>
          <w:szCs w:val="20"/>
          <w:color w:val="auto"/>
        </w:rPr>
      </w:pPr>
    </w:p>
    <w:p>
      <w:pPr>
        <w:sectPr>
          <w:pgSz w:w="11900" w:h="16838" w:orient="portrait"/>
          <w:cols w:equalWidth="0" w:num="2">
            <w:col w:w="3140" w:space="720"/>
            <w:col w:w="7360"/>
          </w:cols>
          <w:pgMar w:left="320" w:top="37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US83012AAA79</w:t>
      </w:r>
    </w:p>
    <w:p>
      <w:pPr>
        <w:spacing w:after="0" w:line="128" w:lineRule="exact"/>
        <w:rPr>
          <w:sz w:val="20"/>
          <w:szCs w:val="20"/>
          <w:color w:val="auto"/>
        </w:rPr>
      </w:pPr>
    </w:p>
    <w:p>
      <w:pPr>
        <w:sectPr>
          <w:pgSz w:w="11900" w:h="16838" w:orient="portrait"/>
          <w:cols w:equalWidth="0" w:num="2">
            <w:col w:w="3140" w:space="720"/>
            <w:col w:w="7360"/>
          </w:cols>
          <w:pgMar w:left="320" w:top="37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12" w:lineRule="exact"/>
        <w:rPr>
          <w:sz w:val="20"/>
          <w:szCs w:val="20"/>
          <w:color w:val="auto"/>
        </w:rPr>
      </w:pPr>
    </w:p>
    <w:p>
      <w:pPr>
        <w:sectPr>
          <w:pgSz w:w="11900" w:h="16838" w:orient="portrait"/>
          <w:cols w:equalWidth="0" w:num="2">
            <w:col w:w="3140" w:space="720"/>
            <w:col w:w="7360"/>
          </w:cols>
          <w:pgMar w:left="320" w:top="37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Santander Investment Securities Inc.</w:t>
      </w:r>
    </w:p>
    <w:p>
      <w:pPr>
        <w:spacing w:after="0" w:line="200" w:lineRule="exact"/>
        <w:rPr>
          <w:sz w:val="20"/>
          <w:szCs w:val="20"/>
          <w:color w:val="auto"/>
        </w:rPr>
      </w:pPr>
    </w:p>
    <w:p>
      <w:pPr>
        <w:sectPr>
          <w:pgSz w:w="11900" w:h="16838" w:orient="portrait"/>
          <w:cols w:equalWidth="0" w:num="2">
            <w:col w:w="3140" w:space="720"/>
            <w:col w:w="7360"/>
          </w:cols>
          <w:pgMar w:left="320" w:top="378" w:right="359" w:bottom="1440" w:gutter="0" w:footer="0" w:header="0"/>
          <w:type w:val="continuous"/>
        </w:sectPr>
      </w:pPr>
    </w:p>
    <w:p>
      <w:pPr>
        <w:spacing w:after="0" w:line="59"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27" w:lineRule="exact"/>
        <w:rPr>
          <w:sz w:val="20"/>
          <w:szCs w:val="20"/>
          <w:color w:val="auto"/>
        </w:rPr>
      </w:pPr>
    </w:p>
    <w:p>
      <w:pPr>
        <w:ind w:left="460" w:hanging="452"/>
        <w:spacing w:after="0" w:line="25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that delivery of the Notes will be made to investors on or about February 3, 2021,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20"/>
          </w:cols>
          <w:pgMar w:left="320" w:top="378" w:right="359" w:bottom="1440" w:gutter="0" w:footer="0" w:header="0"/>
          <w:type w:val="continuous"/>
        </w:sectPr>
      </w:pPr>
    </w:p>
    <w:bookmarkStart w:id="44" w:name="page45"/>
    <w:bookmarkEnd w:id="44"/>
    <w:p>
      <w:pPr>
        <w:ind w:left="460" w:hanging="452"/>
        <w:spacing w:after="0" w:line="258"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17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sectPr>
      <w:pgSz w:w="11900" w:h="16838" w:orient="portrait"/>
      <w:cols w:equalWidth="0" w:num="1">
        <w:col w:w="11220"/>
      </w:cols>
      <w:pgMar w:left="32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2"/>
    </w:lvl>
  </w:abstractNum>
  <w:abstractNum w:abstractNumId="3">
    <w:nsid w:val="6CEAF087"/>
    <w:multiLevelType w:val="hybridMultilevel"/>
    <w:lvl w:ilvl="0">
      <w:lvlJc w:val="left"/>
      <w:lvlText w:val="(%1)"/>
      <w:numFmt w:val="lowerLetter"/>
      <w:start w:val="1"/>
    </w:lvl>
  </w:abstractNum>
  <w:abstractNum w:abstractNumId="4">
    <w:nsid w:val="22221A70"/>
    <w:multiLevelType w:val="hybridMultilevel"/>
    <w:lvl w:ilvl="0">
      <w:lvlJc w:val="left"/>
      <w:lvlText w:val="(%1)"/>
      <w:numFmt w:val="lowerLetter"/>
      <w:start w:val="4"/>
    </w:lvl>
  </w:abstractNum>
  <w:abstractNum w:abstractNumId="5">
    <w:nsid w:val="4516DDE9"/>
    <w:multiLevelType w:val="hybridMultilevel"/>
    <w:lvl w:ilvl="0">
      <w:lvlJc w:val="left"/>
      <w:lvlText w:val="(%1)"/>
      <w:numFmt w:val="lowerLetter"/>
      <w:start w:val="1"/>
    </w:lvl>
  </w:abstractNum>
  <w:abstractNum w:abstractNumId="6">
    <w:nsid w:val="3006C83E"/>
    <w:multiLevelType w:val="hybridMultilevel"/>
    <w:lvl w:ilvl="0">
      <w:lvlJc w:val="left"/>
      <w:lvlText w:val="(%1)"/>
      <w:numFmt w:val="lowerLetter"/>
      <w:start w:val="3"/>
    </w:lvl>
  </w:abstractNum>
  <w:abstractNum w:abstractNumId="7">
    <w:nsid w:val="614FD4A1"/>
    <w:multiLevelType w:val="hybridMultilevel"/>
    <w:lvl w:ilvl="0">
      <w:lvlJc w:val="left"/>
      <w:lvlText w:val="(%1)"/>
      <w:numFmt w:val="lowerLetter"/>
      <w:start w:val="6"/>
    </w:lvl>
  </w:abstractNum>
  <w:abstractNum w:abstractNumId="8">
    <w:nsid w:val="419AC241"/>
    <w:multiLevelType w:val="hybridMultilevel"/>
    <w:lvl w:ilvl="0">
      <w:lvlJc w:val="left"/>
      <w:lvlText w:val="(%1)"/>
      <w:numFmt w:val="lowerLetter"/>
      <w:start w:val="8"/>
    </w:lvl>
  </w:abstractNum>
  <w:abstractNum w:abstractNumId="9">
    <w:nsid w:val="5577F8E1"/>
    <w:multiLevelType w:val="hybridMultilevel"/>
    <w:lvl w:ilvl="0">
      <w:lvlJc w:val="left"/>
      <w:lvlText w:val="(%1)"/>
      <w:numFmt w:val="lowerLetter"/>
      <w:start w:val="12"/>
    </w:lvl>
  </w:abstractNum>
  <w:abstractNum w:abstractNumId="10">
    <w:nsid w:val="440BADFC"/>
    <w:multiLevelType w:val="hybridMultilevel"/>
    <w:lvl w:ilvl="0">
      <w:lvlJc w:val="left"/>
      <w:lvlText w:val="(%1)"/>
      <w:numFmt w:val="lowerLetter"/>
      <w:start w:val="19"/>
    </w:lvl>
  </w:abstractNum>
  <w:abstractNum w:abstractNumId="11">
    <w:nsid w:val="5072367"/>
    <w:multiLevelType w:val="hybridMultilevel"/>
    <w:lvl w:ilvl="0">
      <w:lvlJc w:val="left"/>
      <w:lvlText w:val="(%1)"/>
      <w:numFmt w:val="lowerLetter"/>
      <w:start w:val="22"/>
    </w:lvl>
  </w:abstractNum>
  <w:abstractNum w:abstractNumId="12">
    <w:nsid w:val="3804823E"/>
    <w:multiLevelType w:val="hybridMultilevel"/>
    <w:lvl w:ilvl="0">
      <w:lvlJc w:val="left"/>
      <w:lvlText w:val="(%1)"/>
      <w:numFmt w:val="lowerLetter"/>
      <w:start w:val="26"/>
    </w:lvl>
  </w:abstractNum>
  <w:abstractNum w:abstractNumId="13">
    <w:nsid w:val="77465F01"/>
    <w:multiLevelType w:val="hybridMultilevel"/>
    <w:lvl w:ilvl="0">
      <w:lvlJc w:val="left"/>
      <w:lvlText w:val="%1"/>
      <w:numFmt w:val="lowerLetter"/>
      <w:start w:val="1"/>
    </w:lvl>
    <w:lvl w:ilvl="1">
      <w:lvlJc w:val="left"/>
      <w:lvlText w:val="(%2)"/>
      <w:numFmt w:val="lowerLetter"/>
      <w:start w:val="27"/>
    </w:lvl>
  </w:abstractNum>
  <w:abstractNum w:abstractNumId="14">
    <w:nsid w:val="7724C67E"/>
    <w:multiLevelType w:val="hybridMultilevel"/>
    <w:lvl w:ilvl="0">
      <w:lvlJc w:val="left"/>
      <w:lvlText w:val="(%1)"/>
      <w:numFmt w:val="lowerLetter"/>
      <w:start w:val="9"/>
    </w:lvl>
    <w:lvl w:ilvl="1">
      <w:lvlJc w:val="left"/>
      <w:lvlText w:val="(%2)"/>
      <w:numFmt w:val="lowerLetter"/>
      <w:start w:val="28"/>
    </w:lvl>
  </w:abstractNum>
  <w:abstractNum w:abstractNumId="15">
    <w:nsid w:val="5C482A97"/>
    <w:multiLevelType w:val="hybridMultilevel"/>
    <w:lvl w:ilvl="0">
      <w:lvlJc w:val="left"/>
      <w:lvlText w:val="%1"/>
      <w:numFmt w:val="lowerLetter"/>
      <w:start w:val="1"/>
    </w:lvl>
    <w:lvl w:ilvl="1">
      <w:lvlJc w:val="left"/>
      <w:lvlText w:val="(%2)"/>
      <w:numFmt w:val="lowerLetter"/>
      <w:start w:val="31"/>
    </w:lvl>
  </w:abstractNum>
  <w:abstractNum w:abstractNumId="16">
    <w:nsid w:val="2463B9EA"/>
    <w:multiLevelType w:val="hybridMultilevel"/>
    <w:lvl w:ilvl="0">
      <w:lvlJc w:val="left"/>
      <w:lvlText w:val="(%1)"/>
      <w:numFmt w:val="lowerLetter"/>
      <w:start w:val="35"/>
    </w:lvl>
    <w:lvl w:ilvl="1">
      <w:lvlJc w:val="left"/>
      <w:lvlText w:val="%2"/>
      <w:numFmt w:val="lowerLetter"/>
      <w:start w:val="1"/>
    </w:lvl>
  </w:abstractNum>
  <w:abstractNum w:abstractNumId="17">
    <w:nsid w:val="5E884ADC"/>
    <w:multiLevelType w:val="hybridMultilevel"/>
    <w:lvl w:ilvl="0">
      <w:lvlJc w:val="left"/>
      <w:lvlText w:val="%1"/>
      <w:numFmt w:val="lowerRoman"/>
      <w:start w:val="1"/>
    </w:lvl>
    <w:lvl w:ilvl="1">
      <w:lvlJc w:val="left"/>
      <w:lvlText w:val="(%2)"/>
      <w:numFmt w:val="lowerLetter"/>
      <w:start w:val="34"/>
    </w:lvl>
  </w:abstractNum>
  <w:abstractNum w:abstractNumId="18">
    <w:nsid w:val="51EAD36B"/>
    <w:multiLevelType w:val="hybridMultilevel"/>
    <w:lvl w:ilvl="0">
      <w:lvlJc w:val="left"/>
      <w:lvlText w:val="(%1)"/>
      <w:numFmt w:val="lowerRoman"/>
      <w:start w:val="3"/>
    </w:lvl>
    <w:lvl w:ilvl="1">
      <w:lvlJc w:val="left"/>
      <w:lvlText w:val="(%2)"/>
      <w:numFmt w:val="lowerLetter"/>
      <w:start w:val="36"/>
    </w:lvl>
  </w:abstractNum>
  <w:abstractNum w:abstractNumId="19">
    <w:nsid w:val="2D517796"/>
    <w:multiLevelType w:val="hybridMultilevel"/>
    <w:lvl w:ilvl="0">
      <w:lvlJc w:val="left"/>
      <w:lvlText w:val="(%1)"/>
      <w:numFmt w:val="lowerLetter"/>
      <w:start w:val="37"/>
    </w:lvl>
  </w:abstractNum>
  <w:abstractNum w:abstractNumId="20">
    <w:nsid w:val="580BD78F"/>
    <w:multiLevelType w:val="hybridMultilevel"/>
    <w:lvl w:ilvl="0">
      <w:lvlJc w:val="left"/>
      <w:lvlText w:val="%1"/>
      <w:numFmt w:val="upperLetter"/>
      <w:start w:val="1"/>
    </w:lvl>
    <w:lvl w:ilvl="1">
      <w:lvlJc w:val="left"/>
      <w:lvlText w:val="(%2)"/>
      <w:numFmt w:val="lowerLetter"/>
      <w:start w:val="41"/>
    </w:lvl>
  </w:abstractNum>
  <w:abstractNum w:abstractNumId="21">
    <w:nsid w:val="153EA438"/>
    <w:multiLevelType w:val="hybridMultilevel"/>
    <w:lvl w:ilvl="0">
      <w:lvlJc w:val="left"/>
      <w:lvlText w:val="(%1)"/>
      <w:numFmt w:val="upperLetter"/>
      <w:start w:val="2"/>
    </w:lvl>
    <w:lvl w:ilvl="1">
      <w:lvlJc w:val="left"/>
      <w:lvlText w:val="%2"/>
      <w:numFmt w:val="lowerLetter"/>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Letter"/>
      <w:start w:val="5"/>
    </w:lvl>
  </w:abstractNum>
  <w:abstractNum w:abstractNumId="24">
    <w:nsid w:val="6A2342EC"/>
    <w:multiLevelType w:val="hybridMultilevel"/>
    <w:lvl w:ilvl="0">
      <w:lvlJc w:val="left"/>
      <w:lvlText w:val="(%1)"/>
      <w:numFmt w:val="lowerLetter"/>
      <w:start w:val="9"/>
    </w:lvl>
  </w:abstractNum>
  <w:abstractNum w:abstractNumId="25">
    <w:nsid w:val="2A487CB0"/>
    <w:multiLevelType w:val="hybridMultilevel"/>
    <w:lvl w:ilvl="0">
      <w:lvlJc w:val="left"/>
      <w:lvlText w:val="%1"/>
      <w:numFmt w:val="lowerLetter"/>
      <w:start w:val="1"/>
    </w:lvl>
    <w:lvl w:ilvl="1">
      <w:lvlJc w:val="left"/>
      <w:lvlText w:val="(%2)"/>
      <w:numFmt w:val="lowerLetter"/>
      <w:start w:val="14"/>
    </w:lvl>
  </w:abstractNum>
  <w:abstractNum w:abstractNumId="26">
    <w:nsid w:val="1D4ED43B"/>
    <w:multiLevelType w:val="hybridMultilevel"/>
    <w:lvl w:ilvl="0">
      <w:lvlJc w:val="left"/>
      <w:lvlText w:val="(%1)"/>
      <w:numFmt w:val="lowerLetter"/>
      <w:start w:val="61"/>
    </w:lvl>
    <w:lvl w:ilvl="1">
      <w:lvlJc w:val="left"/>
      <w:lvlText w:val="(%2)"/>
      <w:numFmt w:val="lowerLetter"/>
      <w:start w:val="15"/>
    </w:lvl>
  </w:abstractNum>
  <w:abstractNum w:abstractNumId="27">
    <w:nsid w:val="725A06FB"/>
    <w:multiLevelType w:val="hybridMultilevel"/>
    <w:lvl w:ilvl="0">
      <w:lvlJc w:val="left"/>
      <w:lvlText w:val="(%1)"/>
      <w:numFmt w:val="lowerLetter"/>
      <w:start w:val="18"/>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4"/>
    </w:lvl>
  </w:abstractNum>
  <w:abstractNum w:abstractNumId="30">
    <w:nsid w:val="7A6D8D3C"/>
    <w:multiLevelType w:val="hybridMultilevel"/>
    <w:lvl w:ilvl="0">
      <w:lvlJc w:val="left"/>
      <w:lvlText w:val="(%1)"/>
      <w:numFmt w:val="lowerLetter"/>
      <w:start w:val="7"/>
    </w:lvl>
  </w:abstractNum>
  <w:abstractNum w:abstractNumId="31">
    <w:nsid w:val="4B588F54"/>
    <w:multiLevelType w:val="hybridMultilevel"/>
    <w:lvl w:ilvl="0">
      <w:lvlJc w:val="left"/>
      <w:lvlText w:val="(%1)"/>
      <w:numFmt w:val="lowerLetter"/>
      <w:start w:val="11"/>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decimal"/>
      <w:start w:val="7"/>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Letter"/>
      <w:start w:val="35"/>
    </w:lvl>
    <w:lvl w:ilvl="1">
      <w:lvlJc w:val="left"/>
      <w:lvlText w:val="(%2)"/>
      <w:numFmt w:val="lowerLetter"/>
      <w:start w:val="5"/>
    </w:lvl>
  </w:abstractNum>
  <w:abstractNum w:abstractNumId="36">
    <w:nsid w:val="32FFF902"/>
    <w:multiLevelType w:val="hybridMultilevel"/>
    <w:lvl w:ilvl="0">
      <w:lvlJc w:val="left"/>
      <w:lvlText w:val="(%1)"/>
      <w:numFmt w:val="lowerLetter"/>
      <w:start w:val="8"/>
    </w:lvl>
  </w:abstractNum>
  <w:abstractNum w:abstractNumId="37">
    <w:nsid w:val="684A481A"/>
    <w:multiLevelType w:val="hybridMultilevel"/>
    <w:lvl w:ilvl="0">
      <w:lvlJc w:val="left"/>
      <w:lvlText w:val="%1."/>
      <w:numFmt w:val="decimal"/>
      <w:start w:val="8"/>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2"/>
    </w:lvl>
  </w:abstractNum>
  <w:abstractNum w:abstractNumId="40">
    <w:nsid w:val="3DC240FB"/>
    <w:multiLevelType w:val="hybridMultilevel"/>
    <w:lvl w:ilvl="0">
      <w:lvlJc w:val="left"/>
      <w:lvlText w:val="%1"/>
      <w:numFmt w:val="lowerLetter"/>
      <w:start w:val="1"/>
    </w:lvl>
    <w:lvl w:ilvl="1">
      <w:lvlJc w:val="left"/>
      <w:lvlText w:val="(%2)"/>
      <w:numFmt w:val="lowerLetter"/>
      <w:start w:val="4"/>
    </w:lvl>
  </w:abstractNum>
  <w:abstractNum w:abstractNumId="41">
    <w:nsid w:val="1BA026FA"/>
    <w:multiLevelType w:val="hybridMultilevel"/>
    <w:lvl w:ilvl="0">
      <w:lvlJc w:val="left"/>
      <w:lvlText w:val="(%1)"/>
      <w:numFmt w:val="lowerLetter"/>
      <w:start w:val="4"/>
    </w:lvl>
    <w:lvl w:ilvl="1">
      <w:lvlJc w:val="left"/>
      <w:lvlText w:val="(%2)"/>
      <w:numFmt w:val="lowerLetter"/>
      <w:start w:val="6"/>
    </w:lvl>
  </w:abstractNum>
  <w:abstractNum w:abstractNumId="42">
    <w:nsid w:val="79A1DEAA"/>
    <w:multiLevelType w:val="hybridMultilevel"/>
    <w:lvl w:ilvl="0">
      <w:lvlJc w:val="left"/>
      <w:lvlText w:val="%1."/>
      <w:numFmt w:val="decimal"/>
      <w:start w:val="9"/>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3"/>
    </w:lvl>
  </w:abstractNum>
  <w:abstractNum w:abstractNumId="45">
    <w:nsid w:val="70C6A529"/>
    <w:multiLevelType w:val="hybridMultilevel"/>
    <w:lvl w:ilvl="0">
      <w:lvlJc w:val="left"/>
      <w:lvlText w:val="%1."/>
      <w:numFmt w:val="decimal"/>
      <w:start w:val="12"/>
    </w:lvl>
  </w:abstractNum>
  <w:abstractNum w:abstractNumId="46">
    <w:nsid w:val="520EEDD1"/>
    <w:multiLevelType w:val="hybridMultilevel"/>
    <w:lvl w:ilvl="0">
      <w:lvlJc w:val="left"/>
      <w:lvlText w:val="%1"/>
      <w:numFmt w:val="lowerRoman"/>
      <w:start w:val="1"/>
    </w:lvl>
    <w:lvl w:ilvl="1">
      <w:lvlJc w:val="left"/>
      <w:lvlText w:val="(%2)"/>
      <w:numFmt w:val="lowerLetter"/>
      <w:start w:val="1"/>
    </w:lvl>
  </w:abstractNum>
  <w:abstractNum w:abstractNumId="47">
    <w:nsid w:val="374A3FE6"/>
    <w:multiLevelType w:val="hybridMultilevel"/>
    <w:lvl w:ilvl="0">
      <w:lvlJc w:val="left"/>
      <w:lvlText w:val="(%1)"/>
      <w:numFmt w:val="lowerRoman"/>
      <w:start w:val="2"/>
    </w:lvl>
    <w:lvl w:ilvl="1">
      <w:lvlJc w:val="left"/>
      <w:lvlText w:val="%2"/>
      <w:numFmt w:val="lowerLetter"/>
      <w:start w:val="1"/>
    </w:lvl>
  </w:abstractNum>
  <w:abstractNum w:abstractNumId="48">
    <w:nsid w:val="4F4EF005"/>
    <w:multiLevelType w:val="hybridMultilevel"/>
    <w:lvl w:ilvl="0">
      <w:lvlJc w:val="left"/>
      <w:lvlText w:val="%1"/>
      <w:numFmt w:val="lowerLetter"/>
      <w:start w:val="1"/>
    </w:lvl>
    <w:lvl w:ilvl="1">
      <w:lvlJc w:val="left"/>
      <w:lvlText w:val="(%2)"/>
      <w:numFmt w:val="lowerLetter"/>
      <w:start w:val="2"/>
    </w:lvl>
  </w:abstractNum>
  <w:abstractNum w:abstractNumId="49">
    <w:nsid w:val="23F9C13C"/>
    <w:multiLevelType w:val="hybridMultilevel"/>
    <w:lvl w:ilvl="0">
      <w:lvlJc w:val="left"/>
      <w:lvlText w:val="(%1)"/>
      <w:numFmt w:val="lowerLetter"/>
      <w:start w:val="35"/>
    </w:lvl>
    <w:lvl w:ilvl="1">
      <w:lvlJc w:val="left"/>
      <w:lvlText w:val="%2"/>
      <w:numFmt w:val="lowerLetter"/>
      <w:start w:val="1"/>
    </w:lvl>
  </w:abstractNum>
  <w:abstractNum w:abstractNumId="50">
    <w:nsid w:val="649BB77C"/>
    <w:multiLevelType w:val="hybridMultilevel"/>
    <w:lvl w:ilvl="0">
      <w:lvlJc w:val="left"/>
      <w:lvlText w:val="%1."/>
      <w:numFmt w:val="decimal"/>
      <w:start w:val="13"/>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3"/>
    </w:lvl>
  </w:abstractNum>
  <w:abstractNum w:abstractNumId="53">
    <w:nsid w:val="1CF10FD8"/>
    <w:multiLevelType w:val="hybridMultilevel"/>
    <w:lvl w:ilvl="0">
      <w:lvlJc w:val="left"/>
      <w:lvlText w:val="%1."/>
      <w:numFmt w:val="decimal"/>
      <w:start w:val="17"/>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2021-01-29T05:43:22Z</dcterms:created>
  <dcterms:modified xsi:type="dcterms:W3CDTF">2021-01-29T05:43:22Z</dcterms:modified>
</cp:coreProperties>
</file>