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June 14,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spacing w:after="0" w:line="33" w:lineRule="exact"/>
        <w:rPr>
          <w:sz w:val="24"/>
          <w:szCs w:val="24"/>
          <w:color w:val="auto"/>
        </w:rPr>
      </w:pPr>
    </w:p>
    <w:p>
      <w:pPr>
        <w:jc w:val="center"/>
        <w:ind w:right="18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400" w:space="720"/>
            <w:col w:w="2920"/>
          </w:cols>
          <w:pgMar w:left="440" w:top="368" w:right="419" w:bottom="1440" w:gutter="0" w:footer="0" w:header="0"/>
          <w:type w:val="continuous"/>
        </w:sectPr>
      </w:pPr>
    </w:p>
    <w:p>
      <w:pPr>
        <w:ind w:left="15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300" w:space="720"/>
            <w:col w:w="3020"/>
          </w:cols>
          <w:pgMar w:left="440" w:top="368" w:right="4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TSLX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June 14, 2019, the Company held an adjourned special meeting of stockholders. Stockholders considered one proposal as described in the Company’s proxy statement filed on April 5, 2019. The final results of the voting on the matter submitted to stockholders at the special meeting are set forth below.</w:t>
      </w:r>
    </w:p>
    <w:p>
      <w:pPr>
        <w:spacing w:after="0" w:line="177" w:lineRule="exact"/>
        <w:rPr>
          <w:sz w:val="20"/>
          <w:szCs w:val="20"/>
          <w:color w:val="auto"/>
        </w:rPr>
      </w:pPr>
    </w:p>
    <w:p>
      <w:pPr>
        <w:jc w:val="both"/>
        <w:ind w:right="40"/>
        <w:spacing w:after="0" w:line="303" w:lineRule="auto"/>
        <w:rPr>
          <w:sz w:val="20"/>
          <w:szCs w:val="20"/>
          <w:color w:val="auto"/>
        </w:rPr>
      </w:pPr>
      <w:r>
        <w:rPr>
          <w:rFonts w:ascii="Arial" w:cs="Arial" w:eastAsia="Arial" w:hAnsi="Arial"/>
          <w:sz w:val="16"/>
          <w:szCs w:val="16"/>
          <w:b w:val="1"/>
          <w:bCs w:val="1"/>
          <w:color w:val="auto"/>
        </w:rPr>
        <w:t xml:space="preserve">Proposal 1 – Sales of Common Stock Below NAV. </w:t>
      </w:r>
      <w:r>
        <w:rPr>
          <w:rFonts w:ascii="Arial" w:cs="Arial" w:eastAsia="Arial" w:hAnsi="Arial"/>
          <w:sz w:val="16"/>
          <w:szCs w:val="16"/>
          <w:color w:val="auto"/>
        </w:rPr>
        <w:t>The stockholders ratified and approved the proposal to authorize the Company to sell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issue shares of its common stock at a price below its then-current net asset value per share in one or more offerings, in each case subject to the approval of its board of directors and subject to the conditions set forth in the proxy statement (including that the number of shares issued does not exceed 25% of the Company’s then-outstanding common stock immediately prior to each such offering), by the vote shown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vote on the proposal, including affiliated and unaffiliated shares, was as follows: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Votes “For”</w:t>
            </w:r>
          </w:p>
        </w:tc>
        <w:tc>
          <w:tcPr>
            <w:tcW w:w="2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Votes “Against”</w:t>
            </w:r>
          </w:p>
        </w:tc>
        <w:tc>
          <w:tcPr>
            <w:tcW w:w="2860" w:type="dxa"/>
            <w:vAlign w:val="bottom"/>
            <w:gridSpan w:val="2"/>
          </w:tcPr>
          <w:p>
            <w:pPr>
              <w:ind w:left="1000"/>
              <w:spacing w:after="0"/>
              <w:rPr>
                <w:sz w:val="20"/>
                <w:szCs w:val="20"/>
                <w:color w:val="auto"/>
              </w:rPr>
            </w:pPr>
            <w:r>
              <w:rPr>
                <w:rFonts w:ascii="Arial" w:cs="Arial" w:eastAsia="Arial" w:hAnsi="Arial"/>
                <w:sz w:val="14"/>
                <w:szCs w:val="14"/>
                <w:b w:val="1"/>
                <w:bCs w:val="1"/>
                <w:color w:val="auto"/>
              </w:rPr>
              <w:t>Abstentions</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6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rPr>
              <w:t>37,471,450</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rPr>
              <w:t>3,154,136</w:t>
            </w:r>
          </w:p>
        </w:tc>
        <w:tc>
          <w:tcPr>
            <w:tcW w:w="12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1,456,188</w:t>
            </w:r>
          </w:p>
        </w:tc>
        <w:tc>
          <w:tcPr>
            <w:tcW w:w="12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1199"/>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vote on the proposal, adjusted for 17,961,236 affiliated shares, was as follows: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Votes “For”</w:t>
            </w:r>
          </w:p>
        </w:tc>
        <w:tc>
          <w:tcPr>
            <w:tcW w:w="2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Votes “Against”</w:t>
            </w:r>
          </w:p>
        </w:tc>
        <w:tc>
          <w:tcPr>
            <w:tcW w:w="2860" w:type="dxa"/>
            <w:vAlign w:val="bottom"/>
            <w:gridSpan w:val="2"/>
          </w:tcPr>
          <w:p>
            <w:pPr>
              <w:ind w:left="1000"/>
              <w:spacing w:after="0"/>
              <w:rPr>
                <w:sz w:val="20"/>
                <w:szCs w:val="20"/>
                <w:color w:val="auto"/>
              </w:rPr>
            </w:pPr>
            <w:r>
              <w:rPr>
                <w:rFonts w:ascii="Arial" w:cs="Arial" w:eastAsia="Arial" w:hAnsi="Arial"/>
                <w:sz w:val="14"/>
                <w:szCs w:val="14"/>
                <w:b w:val="1"/>
                <w:bCs w:val="1"/>
                <w:color w:val="auto"/>
              </w:rPr>
              <w:t>Abstentions</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6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rPr>
              <w:t>19,622,009</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rPr>
              <w:t>3,154,136</w:t>
            </w:r>
          </w:p>
        </w:tc>
        <w:tc>
          <w:tcPr>
            <w:tcW w:w="12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1,344,393</w:t>
            </w:r>
          </w:p>
        </w:tc>
        <w:tc>
          <w:tcPr>
            <w:tcW w:w="12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1199"/>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1">
            <w:col w:w="11040"/>
          </w:cols>
          <w:pgMar w:left="440" w:top="270" w:right="4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7480" w:type="dxa"/>
            <w:vAlign w:val="bottom"/>
            <w:gridSpan w:val="2"/>
          </w:tcPr>
          <w:p>
            <w:pPr>
              <w:ind w:left="2120"/>
              <w:spacing w:after="0"/>
              <w:rPr>
                <w:sz w:val="20"/>
                <w:szCs w:val="20"/>
                <w:color w:val="auto"/>
              </w:rPr>
            </w:pPr>
            <w:r>
              <w:rPr>
                <w:rFonts w:ascii="Arial" w:cs="Arial" w:eastAsia="Arial" w:hAnsi="Arial"/>
                <w:sz w:val="18"/>
                <w:szCs w:val="18"/>
                <w:color w:val="auto"/>
              </w:rPr>
              <w:t>TPG SPECIALTY LENDING, INC.</w:t>
            </w:r>
          </w:p>
        </w:tc>
      </w:tr>
      <w:tr>
        <w:trPr>
          <w:trHeight w:val="230"/>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80" w:type="dxa"/>
            <w:vAlign w:val="bottom"/>
          </w:tcPr>
          <w:p>
            <w:pPr>
              <w:ind w:left="440"/>
              <w:spacing w:after="0"/>
              <w:rPr>
                <w:sz w:val="20"/>
                <w:szCs w:val="20"/>
                <w:color w:val="auto"/>
              </w:rPr>
            </w:pPr>
            <w:r>
              <w:rPr>
                <w:rFonts w:ascii="Arial" w:cs="Arial" w:eastAsia="Arial" w:hAnsi="Arial"/>
                <w:sz w:val="18"/>
                <w:szCs w:val="18"/>
                <w:color w:val="auto"/>
              </w:rPr>
              <w:t>(Registrant)</w:t>
            </w:r>
          </w:p>
        </w:tc>
      </w:tr>
      <w:tr>
        <w:trPr>
          <w:trHeight w:val="446"/>
        </w:trPr>
        <w:tc>
          <w:tcPr>
            <w:tcW w:w="3560" w:type="dxa"/>
            <w:vAlign w:val="bottom"/>
          </w:tcPr>
          <w:p>
            <w:pPr>
              <w:spacing w:after="0"/>
              <w:rPr>
                <w:sz w:val="20"/>
                <w:szCs w:val="20"/>
                <w:color w:val="auto"/>
              </w:rPr>
            </w:pPr>
            <w:r>
              <w:rPr>
                <w:rFonts w:ascii="Arial" w:cs="Arial" w:eastAsia="Arial" w:hAnsi="Arial"/>
                <w:sz w:val="18"/>
                <w:szCs w:val="18"/>
                <w:color w:val="auto"/>
              </w:rPr>
              <w:t>Date: June 14, 2019</w:t>
            </w:r>
          </w:p>
        </w:tc>
        <w:tc>
          <w:tcPr>
            <w:tcW w:w="7480" w:type="dxa"/>
            <w:vAlign w:val="bottom"/>
            <w:gridSpan w:val="2"/>
          </w:tcPr>
          <w:p>
            <w:pPr>
              <w:ind w:left="2120"/>
              <w:spacing w:after="0"/>
              <w:rPr>
                <w:sz w:val="20"/>
                <w:szCs w:val="20"/>
                <w:color w:val="auto"/>
              </w:rPr>
            </w:pPr>
            <w:r>
              <w:rPr>
                <w:rFonts w:ascii="Arial" w:cs="Arial" w:eastAsia="Arial" w:hAnsi="Arial"/>
                <w:sz w:val="18"/>
                <w:szCs w:val="18"/>
                <w:color w:val="auto"/>
              </w:rPr>
              <w:t>By:  /s/ Ian Simmonds</w:t>
            </w:r>
          </w:p>
        </w:tc>
      </w:tr>
      <w:tr>
        <w:trPr>
          <w:trHeight w:val="195"/>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2019-12-01T16:44:28Z</dcterms:created>
  <dcterms:modified xsi:type="dcterms:W3CDTF">2019-12-01T16:44:28Z</dcterms:modified>
</cp:coreProperties>
</file>