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 240.13d-1(b), (c) AND (d) AND AMENDMENTS THERETO FILED PURSUANT TO</w:t>
      </w:r>
    </w:p>
    <w:p>
      <w:pPr>
        <w:spacing w:after="0" w:line="9" w:lineRule="exact"/>
        <w:rPr>
          <w:sz w:val="24"/>
          <w:szCs w:val="24"/>
          <w:color w:val="auto"/>
        </w:rPr>
      </w:pPr>
    </w:p>
    <w:p>
      <w:pPr>
        <w:ind w:left="4540" w:right="4560" w:firstLine="394"/>
        <w:spacing w:after="0" w:line="323" w:lineRule="auto"/>
        <w:tabs>
          <w:tab w:leader="none" w:pos="50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 (Amendment No. 2) *</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2012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32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32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32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398780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580" w:top="472" w:right="5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440" w:type="dxa"/>
            <w:vAlign w:val="bottom"/>
            <w:tcBorders>
              <w:top w:val="single" w:sz="8" w:color="auto"/>
              <w:lef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CUSIP NO. N/A</w:t>
            </w:r>
          </w:p>
        </w:tc>
        <w:tc>
          <w:tcPr>
            <w:tcW w:w="5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right w:val="single" w:sz="8" w:color="auto"/>
            </w:tcBorders>
          </w:tcPr>
          <w:p>
            <w:pPr>
              <w:spacing w:after="0"/>
              <w:rPr>
                <w:sz w:val="19"/>
                <w:szCs w:val="19"/>
                <w:color w:val="auto"/>
              </w:rPr>
            </w:pPr>
          </w:p>
        </w:tc>
        <w:tc>
          <w:tcPr>
            <w:tcW w:w="9100" w:type="dxa"/>
            <w:vAlign w:val="bottom"/>
          </w:tcPr>
          <w:p>
            <w:pPr>
              <w:jc w:val="right"/>
              <w:ind w:right="431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54"/>
        </w:trPr>
        <w:tc>
          <w:tcPr>
            <w:tcW w:w="1440" w:type="dxa"/>
            <w:vAlign w:val="bottom"/>
            <w:tcBorders>
              <w:left w:val="single" w:sz="8" w:color="auto"/>
            </w:tcBorders>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gridSpan w:val="2"/>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8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1"/>
              </w:rPr>
              <w:t>1</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Oregon Public Employees' Retirement Fund</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68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1"/>
              </w:rPr>
              <w:t>2</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0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gridSpan w:val="3"/>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1"/>
              </w:rPr>
              <w:t>3</w:t>
            </w:r>
          </w:p>
        </w:tc>
        <w:tc>
          <w:tcPr>
            <w:tcW w:w="260" w:type="dxa"/>
            <w:vAlign w:val="bottom"/>
            <w:tcBorders>
              <w:right w:val="single" w:sz="8" w:color="auto"/>
            </w:tcBorders>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w w:val="91"/>
              </w:rPr>
              <w:t>SEC USE ONLY</w:t>
            </w:r>
          </w:p>
        </w:tc>
        <w:tc>
          <w:tcPr>
            <w:tcW w:w="30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0" w:type="dxa"/>
            <w:vAlign w:val="bottom"/>
            <w:tcBorders>
              <w:left w:val="single" w:sz="8" w:color="auto"/>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68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1"/>
              </w:rPr>
              <w:t>4</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USA</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18"/>
              <w:spacing w:after="0"/>
              <w:rPr>
                <w:sz w:val="20"/>
                <w:szCs w:val="20"/>
                <w:color w:val="auto"/>
              </w:rPr>
            </w:pPr>
            <w:r>
              <w:rPr>
                <w:rFonts w:ascii="Arial" w:cs="Arial" w:eastAsia="Arial" w:hAnsi="Arial"/>
                <w:sz w:val="22"/>
                <w:szCs w:val="22"/>
                <w:b w:val="1"/>
                <w:bCs w:val="1"/>
                <w:color w:val="auto"/>
              </w:rPr>
              <w:t>5</w:t>
            </w:r>
          </w:p>
        </w:tc>
        <w:tc>
          <w:tcPr>
            <w:tcW w:w="40" w:type="dxa"/>
            <w:vAlign w:val="bottom"/>
          </w:tcPr>
          <w:p>
            <w:pPr>
              <w:spacing w:after="0"/>
              <w:rPr>
                <w:sz w:val="24"/>
                <w:szCs w:val="24"/>
                <w:color w:val="auto"/>
              </w:rPr>
            </w:pPr>
          </w:p>
        </w:tc>
        <w:tc>
          <w:tcPr>
            <w:tcW w:w="94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5"/>
        </w:trPr>
        <w:tc>
          <w:tcPr>
            <w:tcW w:w="14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34,765 shares</w:t>
            </w: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gridSpan w:val="3"/>
            <w:vMerge w:val="continue"/>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440" w:type="dxa"/>
            <w:vAlign w:val="bottom"/>
            <w:tcBorders>
              <w:left w:val="single" w:sz="8" w:color="auto"/>
              <w:right w:val="single" w:sz="8" w:color="auto"/>
            </w:tcBorders>
            <w:gridSpan w:val="3"/>
            <w:vMerge w:val="continue"/>
          </w:tcPr>
          <w:p>
            <w:pPr>
              <w:spacing w:after="0"/>
              <w:rPr>
                <w:sz w:val="7"/>
                <w:szCs w:val="7"/>
                <w:color w:val="auto"/>
              </w:rPr>
            </w:pPr>
          </w:p>
        </w:tc>
        <w:tc>
          <w:tcPr>
            <w:tcW w:w="54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22"/>
                <w:szCs w:val="22"/>
                <w:b w:val="1"/>
                <w:bCs w:val="1"/>
                <w:color w:val="auto"/>
              </w:rPr>
              <w:t>6</w:t>
            </w:r>
          </w:p>
        </w:tc>
        <w:tc>
          <w:tcPr>
            <w:tcW w:w="40" w:type="dxa"/>
            <w:vAlign w:val="bottom"/>
          </w:tcPr>
          <w:p>
            <w:pPr>
              <w:spacing w:after="0"/>
              <w:rPr>
                <w:sz w:val="7"/>
                <w:szCs w:val="7"/>
                <w:color w:val="auto"/>
              </w:rPr>
            </w:pPr>
          </w:p>
        </w:tc>
        <w:tc>
          <w:tcPr>
            <w:tcW w:w="9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jc w:val="right"/>
              <w:ind w:right="118"/>
              <w:spacing w:after="0" w:line="209" w:lineRule="exact"/>
              <w:rPr>
                <w:sz w:val="20"/>
                <w:szCs w:val="20"/>
                <w:color w:val="auto"/>
              </w:rPr>
            </w:pPr>
            <w:r>
              <w:rPr>
                <w:rFonts w:ascii="Arial" w:cs="Arial" w:eastAsia="Arial" w:hAnsi="Arial"/>
                <w:sz w:val="22"/>
                <w:szCs w:val="22"/>
                <w:b w:val="1"/>
                <w:bCs w:val="1"/>
                <w:color w:val="auto"/>
              </w:rPr>
              <w:t>7</w:t>
            </w:r>
          </w:p>
        </w:tc>
        <w:tc>
          <w:tcPr>
            <w:tcW w:w="40" w:type="dxa"/>
            <w:vAlign w:val="bottom"/>
          </w:tcPr>
          <w:p>
            <w:pPr>
              <w:spacing w:after="0"/>
              <w:rPr>
                <w:sz w:val="18"/>
                <w:szCs w:val="18"/>
                <w:color w:val="auto"/>
              </w:rPr>
            </w:pPr>
          </w:p>
        </w:tc>
        <w:tc>
          <w:tcPr>
            <w:tcW w:w="94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8"/>
        </w:trPr>
        <w:tc>
          <w:tcPr>
            <w:tcW w:w="144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34,765 shares</w:t>
            </w: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96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4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60" w:type="dxa"/>
            <w:vAlign w:val="bottom"/>
            <w:tcBorders>
              <w:right w:val="single" w:sz="8" w:color="auto"/>
            </w:tcBorders>
            <w:gridSpan w:val="2"/>
            <w:vMerge w:val="continue"/>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80" w:type="dxa"/>
            <w:vAlign w:val="bottom"/>
            <w:tcBorders>
              <w:left w:val="single" w:sz="8" w:color="auto"/>
            </w:tcBorders>
          </w:tcPr>
          <w:p>
            <w:pPr>
              <w:spacing w:after="0"/>
              <w:rPr>
                <w:sz w:val="6"/>
                <w:szCs w:val="6"/>
                <w:color w:val="auto"/>
              </w:rPr>
            </w:pPr>
          </w:p>
        </w:tc>
        <w:tc>
          <w:tcPr>
            <w:tcW w:w="960" w:type="dxa"/>
            <w:vAlign w:val="bottom"/>
            <w:tcBorders>
              <w:right w:val="single" w:sz="8" w:color="auto"/>
            </w:tcBorders>
            <w:gridSpan w:val="2"/>
            <w:vMerge w:val="continue"/>
          </w:tcPr>
          <w:p>
            <w:pPr>
              <w:spacing w:after="0"/>
              <w:rPr>
                <w:sz w:val="6"/>
                <w:szCs w:val="6"/>
                <w:color w:val="auto"/>
              </w:rPr>
            </w:pPr>
          </w:p>
        </w:tc>
        <w:tc>
          <w:tcPr>
            <w:tcW w:w="54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22"/>
                <w:szCs w:val="22"/>
                <w:b w:val="1"/>
                <w:bCs w:val="1"/>
                <w:color w:val="auto"/>
              </w:rPr>
              <w:t>8</w:t>
            </w:r>
          </w:p>
        </w:tc>
        <w:tc>
          <w:tcPr>
            <w:tcW w:w="40" w:type="dxa"/>
            <w:vAlign w:val="bottom"/>
          </w:tcPr>
          <w:p>
            <w:pPr>
              <w:spacing w:after="0"/>
              <w:rPr>
                <w:sz w:val="6"/>
                <w:szCs w:val="6"/>
                <w:color w:val="auto"/>
              </w:rPr>
            </w:pPr>
          </w:p>
        </w:tc>
        <w:tc>
          <w:tcPr>
            <w:tcW w:w="94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6"/>
        </w:trPr>
        <w:tc>
          <w:tcPr>
            <w:tcW w:w="48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940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4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1"/>
              </w:rPr>
              <w:t>9</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34,765 shares</w:t>
            </w:r>
          </w:p>
        </w:tc>
        <w:tc>
          <w:tcPr>
            <w:tcW w:w="30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9"/>
              </w:rPr>
              <w:t>10</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34"/>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0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41"/>
              <w:spacing w:after="0"/>
              <w:rPr>
                <w:sz w:val="20"/>
                <w:szCs w:val="20"/>
                <w:color w:val="auto"/>
              </w:rPr>
            </w:pPr>
            <w:r>
              <w:rPr>
                <w:rFonts w:ascii="Arial" w:cs="Arial" w:eastAsia="Arial" w:hAnsi="Arial"/>
                <w:sz w:val="22"/>
                <w:szCs w:val="22"/>
                <w:b w:val="1"/>
                <w:bCs w:val="1"/>
                <w:color w:val="auto"/>
                <w:w w:val="81"/>
              </w:rPr>
              <w:t>11</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14"/>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440" w:type="dxa"/>
            <w:vAlign w:val="bottom"/>
            <w:tcBorders>
              <w:bottom w:val="single" w:sz="8" w:color="auto"/>
              <w:right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61"/>
              <w:spacing w:after="0"/>
              <w:rPr>
                <w:sz w:val="20"/>
                <w:szCs w:val="20"/>
                <w:color w:val="auto"/>
              </w:rPr>
            </w:pPr>
            <w:r>
              <w:rPr>
                <w:rFonts w:ascii="Arial" w:cs="Arial" w:eastAsia="Arial" w:hAnsi="Arial"/>
                <w:sz w:val="22"/>
                <w:szCs w:val="22"/>
                <w:b w:val="1"/>
                <w:bCs w:val="1"/>
                <w:color w:val="auto"/>
                <w:w w:val="89"/>
              </w:rPr>
              <w:t>12</w:t>
            </w:r>
          </w:p>
        </w:tc>
        <w:tc>
          <w:tcPr>
            <w:tcW w:w="26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14"/>
        </w:trPr>
        <w:tc>
          <w:tcPr>
            <w:tcW w:w="4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EP</w:t>
            </w:r>
          </w:p>
        </w:tc>
        <w:tc>
          <w:tcPr>
            <w:tcW w:w="30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6"/>
        </w:trPr>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 (a).</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Name of Issuer:</w:t>
            </w:r>
          </w:p>
        </w:tc>
        <w:tc>
          <w:tcPr>
            <w:tcW w:w="6720" w:type="dxa"/>
            <w:vAlign w:val="bottom"/>
            <w:gridSpan w:val="2"/>
          </w:tcPr>
          <w:p>
            <w:pPr>
              <w:ind w:left="60"/>
              <w:spacing w:after="0"/>
              <w:rPr>
                <w:sz w:val="20"/>
                <w:szCs w:val="20"/>
                <w:color w:val="auto"/>
              </w:rPr>
            </w:pPr>
            <w:r>
              <w:rPr>
                <w:rFonts w:ascii="Arial" w:cs="Arial" w:eastAsia="Arial" w:hAnsi="Arial"/>
                <w:sz w:val="18"/>
                <w:szCs w:val="18"/>
                <w:color w:val="auto"/>
              </w:rPr>
              <w:t>TPG Specialty Lending, Inc.</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 (b).</w:t>
            </w:r>
          </w:p>
        </w:tc>
        <w:tc>
          <w:tcPr>
            <w:tcW w:w="8640" w:type="dxa"/>
            <w:vAlign w:val="bottom"/>
            <w:gridSpan w:val="4"/>
          </w:tcPr>
          <w:p>
            <w:pPr>
              <w:ind w:left="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18"/>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w w:val="93"/>
              </w:rPr>
              <w:t>301</w:t>
            </w:r>
          </w:p>
        </w:tc>
        <w:tc>
          <w:tcPr>
            <w:tcW w:w="7620" w:type="dxa"/>
            <w:vAlign w:val="bottom"/>
            <w:gridSpan w:val="3"/>
          </w:tcPr>
          <w:p>
            <w:pPr>
              <w:ind w:left="20"/>
              <w:spacing w:after="0"/>
              <w:rPr>
                <w:sz w:val="20"/>
                <w:szCs w:val="20"/>
                <w:color w:val="auto"/>
              </w:rPr>
            </w:pPr>
            <w:r>
              <w:rPr>
                <w:rFonts w:ascii="Arial" w:cs="Arial" w:eastAsia="Arial" w:hAnsi="Arial"/>
                <w:sz w:val="18"/>
                <w:szCs w:val="18"/>
                <w:color w:val="auto"/>
              </w:rPr>
              <w:t>Commerce Street, Suite 3300</w:t>
            </w: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gridSpan w:val="3"/>
          </w:tcPr>
          <w:p>
            <w:pPr>
              <w:ind w:left="720"/>
              <w:spacing w:after="0"/>
              <w:rPr>
                <w:sz w:val="20"/>
                <w:szCs w:val="20"/>
                <w:color w:val="auto"/>
              </w:rPr>
            </w:pPr>
            <w:r>
              <w:rPr>
                <w:rFonts w:ascii="Arial" w:cs="Arial" w:eastAsia="Arial" w:hAnsi="Arial"/>
                <w:sz w:val="18"/>
                <w:szCs w:val="18"/>
                <w:color w:val="auto"/>
                <w:w w:val="98"/>
              </w:rPr>
              <w:t>Fort Worth, TX 76102</w:t>
            </w:r>
          </w:p>
        </w:tc>
        <w:tc>
          <w:tcPr>
            <w:tcW w:w="6200" w:type="dxa"/>
            <w:vAlign w:val="bottom"/>
          </w:tcPr>
          <w:p>
            <w:pPr>
              <w:spacing w:after="0"/>
              <w:rPr>
                <w:sz w:val="20"/>
                <w:szCs w:val="20"/>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2 (a).</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Name of Person Filing:</w:t>
            </w:r>
          </w:p>
        </w:tc>
        <w:tc>
          <w:tcPr>
            <w:tcW w:w="520" w:type="dxa"/>
            <w:vAlign w:val="bottom"/>
          </w:tcPr>
          <w:p>
            <w:pPr>
              <w:spacing w:after="0"/>
              <w:rPr>
                <w:sz w:val="24"/>
                <w:szCs w:val="24"/>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Oregon Public Employees' Retirement Fund</w:t>
            </w: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2 (b).</w:t>
            </w:r>
          </w:p>
        </w:tc>
        <w:tc>
          <w:tcPr>
            <w:tcW w:w="8640" w:type="dxa"/>
            <w:vAlign w:val="bottom"/>
            <w:gridSpan w:val="4"/>
          </w:tcPr>
          <w:p>
            <w:pPr>
              <w:ind w:left="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18"/>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w w:val="93"/>
              </w:rPr>
              <w:t>100</w:t>
            </w:r>
          </w:p>
        </w:tc>
        <w:tc>
          <w:tcPr>
            <w:tcW w:w="7620" w:type="dxa"/>
            <w:vAlign w:val="bottom"/>
            <w:gridSpan w:val="3"/>
          </w:tcPr>
          <w:p>
            <w:pPr>
              <w:ind w:left="20"/>
              <w:spacing w:after="0"/>
              <w:rPr>
                <w:sz w:val="20"/>
                <w:szCs w:val="20"/>
                <w:color w:val="auto"/>
              </w:rPr>
            </w:pPr>
            <w:r>
              <w:rPr>
                <w:rFonts w:ascii="Arial" w:cs="Arial" w:eastAsia="Arial" w:hAnsi="Arial"/>
                <w:sz w:val="18"/>
                <w:szCs w:val="18"/>
                <w:color w:val="auto"/>
              </w:rPr>
              <w:t>Labor and Industries Building</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w w:val="93"/>
              </w:rPr>
              <w:t>350</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w w:val="98"/>
              </w:rPr>
              <w:t>Winter Street, NE</w:t>
            </w:r>
          </w:p>
        </w:tc>
        <w:tc>
          <w:tcPr>
            <w:tcW w:w="62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gridSpan w:val="3"/>
          </w:tcPr>
          <w:p>
            <w:pPr>
              <w:ind w:left="720"/>
              <w:spacing w:after="0"/>
              <w:rPr>
                <w:sz w:val="20"/>
                <w:szCs w:val="20"/>
                <w:color w:val="auto"/>
              </w:rPr>
            </w:pPr>
            <w:r>
              <w:rPr>
                <w:rFonts w:ascii="Arial" w:cs="Arial" w:eastAsia="Arial" w:hAnsi="Arial"/>
                <w:sz w:val="18"/>
                <w:szCs w:val="18"/>
                <w:color w:val="auto"/>
              </w:rPr>
              <w:t>Salem, OR 97301</w:t>
            </w:r>
          </w:p>
        </w:tc>
        <w:tc>
          <w:tcPr>
            <w:tcW w:w="620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(c).</w:t>
            </w:r>
          </w:p>
        </w:tc>
        <w:tc>
          <w:tcPr>
            <w:tcW w:w="1020" w:type="dxa"/>
            <w:vAlign w:val="bottom"/>
          </w:tcPr>
          <w:p>
            <w:pPr>
              <w:ind w:left="80"/>
              <w:spacing w:after="0"/>
              <w:rPr>
                <w:sz w:val="20"/>
                <w:szCs w:val="20"/>
                <w:color w:val="auto"/>
              </w:rPr>
            </w:pPr>
            <w:r>
              <w:rPr>
                <w:rFonts w:ascii="Arial" w:cs="Arial" w:eastAsia="Arial" w:hAnsi="Arial"/>
                <w:sz w:val="18"/>
                <w:szCs w:val="18"/>
                <w:b w:val="1"/>
                <w:bCs w:val="1"/>
                <w:color w:val="auto"/>
                <w:w w:val="90"/>
              </w:rPr>
              <w:t>Citizenship:</w:t>
            </w: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USA</w:t>
            </w:r>
          </w:p>
        </w:tc>
        <w:tc>
          <w:tcPr>
            <w:tcW w:w="620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2440" w:type="dxa"/>
            <w:vAlign w:val="bottom"/>
            <w:gridSpan w:val="3"/>
          </w:tcPr>
          <w:p>
            <w:pPr>
              <w:ind w:left="80"/>
              <w:spacing w:after="0"/>
              <w:rPr>
                <w:sz w:val="20"/>
                <w:szCs w:val="20"/>
                <w:color w:val="auto"/>
              </w:rPr>
            </w:pPr>
            <w:r>
              <w:rPr>
                <w:rFonts w:ascii="Arial" w:cs="Arial" w:eastAsia="Arial" w:hAnsi="Arial"/>
                <w:sz w:val="18"/>
                <w:szCs w:val="18"/>
                <w:b w:val="1"/>
                <w:bCs w:val="1"/>
                <w:color w:val="auto"/>
              </w:rPr>
              <w:t>Title of Class of Securities:</w:t>
            </w:r>
          </w:p>
        </w:tc>
        <w:tc>
          <w:tcPr>
            <w:tcW w:w="6200" w:type="dxa"/>
            <w:vAlign w:val="bottom"/>
          </w:tcPr>
          <w:p>
            <w:pPr>
              <w:ind w:left="380"/>
              <w:spacing w:after="0"/>
              <w:rPr>
                <w:sz w:val="20"/>
                <w:szCs w:val="20"/>
                <w:color w:val="auto"/>
              </w:rPr>
            </w:pPr>
            <w:r>
              <w:rPr>
                <w:rFonts w:ascii="Arial" w:cs="Arial" w:eastAsia="Arial" w:hAnsi="Arial"/>
                <w:sz w:val="18"/>
                <w:szCs w:val="18"/>
                <w:color w:val="auto"/>
              </w:rPr>
              <w:t>Common Stock, $.01 par value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 2</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(e).</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CUSIP Number:</w:t>
            </w:r>
          </w:p>
        </w:tc>
        <w:tc>
          <w:tcPr>
            <w:tcW w:w="520" w:type="dxa"/>
            <w:vAlign w:val="bottom"/>
          </w:tcPr>
          <w:p>
            <w:pPr>
              <w:ind w:left="120"/>
              <w:spacing w:after="0"/>
              <w:rPr>
                <w:sz w:val="20"/>
                <w:szCs w:val="20"/>
                <w:color w:val="auto"/>
              </w:rPr>
            </w:pPr>
            <w:r>
              <w:rPr>
                <w:rFonts w:ascii="Arial" w:cs="Arial" w:eastAsia="Arial" w:hAnsi="Arial"/>
                <w:sz w:val="18"/>
                <w:szCs w:val="18"/>
                <w:color w:val="auto"/>
              </w:rPr>
              <w:t>N/A</w:t>
            </w:r>
          </w:p>
        </w:tc>
        <w:tc>
          <w:tcPr>
            <w:tcW w:w="620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w w:val="96"/>
              </w:rPr>
              <w:t>Item3.</w:t>
            </w:r>
          </w:p>
        </w:tc>
        <w:tc>
          <w:tcPr>
            <w:tcW w:w="380" w:type="dxa"/>
            <w:vAlign w:val="bottom"/>
          </w:tcPr>
          <w:p>
            <w:pPr>
              <w:spacing w:after="0"/>
              <w:rPr>
                <w:sz w:val="24"/>
                <w:szCs w:val="24"/>
                <w:color w:val="auto"/>
              </w:rPr>
            </w:pPr>
          </w:p>
        </w:tc>
        <w:tc>
          <w:tcPr>
            <w:tcW w:w="8640" w:type="dxa"/>
            <w:vAlign w:val="bottom"/>
            <w:gridSpan w:val="4"/>
          </w:tcPr>
          <w:p>
            <w:pPr>
              <w:ind w:left="8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bl>
    <w:p>
      <w:pPr>
        <w:spacing w:after="0" w:line="169" w:lineRule="exact"/>
        <w:rPr>
          <w:sz w:val="20"/>
          <w:szCs w:val="20"/>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460" w:hanging="1031"/>
        <w:spacing w:after="0" w:line="223" w:lineRule="exact"/>
        <w:tabs>
          <w:tab w:leader="none" w:pos="947"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940" w:hanging="511"/>
        <w:spacing w:after="0" w:line="207" w:lineRule="exact"/>
        <w:tabs>
          <w:tab w:leader="none" w:pos="9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for a non-U.S. institution in accordance with §240.13d-1(b)(1)(ii)(J), please specify the type of institution.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240" w:top="904" w:right="11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40" w:space="440"/>
            <w:col w:w="10440"/>
          </w:cols>
          <w:pgMar w:left="240" w:top="904" w:right="239" w:bottom="1440" w:gutter="0" w:footer="0" w:header="0"/>
        </w:sectPr>
      </w:pPr>
    </w:p>
    <w:p>
      <w:pPr>
        <w:spacing w:after="0" w:line="37"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Amount beneficially owned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34,765 shares</w:t>
      </w:r>
    </w:p>
    <w:p>
      <w:pPr>
        <w:spacing w:after="0" w:line="207" w:lineRule="exact"/>
        <w:rPr>
          <w:sz w:val="20"/>
          <w:szCs w:val="20"/>
          <w:color w:val="auto"/>
        </w:rPr>
      </w:pPr>
    </w:p>
    <w:p>
      <w:pPr>
        <w:sectPr>
          <w:pgSz w:w="11900" w:h="16838" w:orient="portrait"/>
          <w:cols w:equalWidth="0" w:num="2">
            <w:col w:w="3140" w:space="660"/>
            <w:col w:w="7620"/>
          </w:cols>
          <w:pgMar w:left="240" w:top="904"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color w:val="auto"/>
        </w:rPr>
        <w:t>Percent of class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7.3%</w:t>
      </w:r>
    </w:p>
    <w:p>
      <w:pPr>
        <w:spacing w:after="0" w:line="207" w:lineRule="exact"/>
        <w:rPr>
          <w:sz w:val="20"/>
          <w:szCs w:val="20"/>
          <w:color w:val="auto"/>
        </w:rPr>
      </w:pPr>
    </w:p>
    <w:p>
      <w:pPr>
        <w:sectPr>
          <w:pgSz w:w="11900" w:h="16838" w:orient="portrait"/>
          <w:cols w:equalWidth="0" w:num="2">
            <w:col w:w="3080" w:space="720"/>
            <w:col w:w="7620"/>
          </w:cols>
          <w:pgMar w:left="240" w:top="904" w:right="239" w:bottom="1440" w:gutter="0" w:footer="0" w:header="0"/>
          <w:type w:val="continuous"/>
        </w:sectPr>
      </w:pPr>
    </w:p>
    <w:p>
      <w:pPr>
        <w:spacing w:after="0" w:line="4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Number of shares as to which such person has</w:t>
      </w:r>
      <w:r>
        <w:rPr>
          <w:rFonts w:ascii="Arial" w:cs="Arial" w:eastAsia="Arial" w:hAnsi="Arial"/>
          <w:sz w:val="18"/>
          <w:szCs w:val="18"/>
          <w:color w:val="auto"/>
        </w:rPr>
        <w:t>:</w:t>
      </w:r>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5140" w:type="dxa"/>
            <w:vAlign w:val="bottom"/>
          </w:tcPr>
          <w:p>
            <w:pPr>
              <w:ind w:left="120"/>
              <w:spacing w:after="0"/>
              <w:rPr>
                <w:sz w:val="20"/>
                <w:szCs w:val="20"/>
                <w:color w:val="auto"/>
              </w:rPr>
            </w:pPr>
            <w:r>
              <w:rPr>
                <w:rFonts w:ascii="Arial" w:cs="Arial" w:eastAsia="Arial" w:hAnsi="Arial"/>
                <w:sz w:val="18"/>
                <w:szCs w:val="18"/>
                <w:color w:val="auto"/>
              </w:rPr>
              <w:t>Sole power to vote or to direct the vote</w:t>
            </w:r>
          </w:p>
        </w:tc>
        <w:tc>
          <w:tcPr>
            <w:tcW w:w="2120" w:type="dxa"/>
            <w:vAlign w:val="bottom"/>
          </w:tcPr>
          <w:p>
            <w:pPr>
              <w:ind w:left="1140"/>
              <w:spacing w:after="0"/>
              <w:rPr>
                <w:sz w:val="20"/>
                <w:szCs w:val="20"/>
                <w:color w:val="auto"/>
              </w:rPr>
            </w:pPr>
            <w:r>
              <w:rPr>
                <w:rFonts w:ascii="Arial" w:cs="Arial" w:eastAsia="Arial" w:hAnsi="Arial"/>
                <w:sz w:val="18"/>
                <w:szCs w:val="18"/>
                <w:color w:val="auto"/>
                <w:w w:val="84"/>
              </w:rPr>
              <w:t>34,765 shares</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5140" w:type="dxa"/>
            <w:vAlign w:val="bottom"/>
          </w:tcPr>
          <w:p>
            <w:pPr>
              <w:ind w:left="120"/>
              <w:spacing w:after="0"/>
              <w:rPr>
                <w:sz w:val="20"/>
                <w:szCs w:val="20"/>
                <w:color w:val="auto"/>
              </w:rPr>
            </w:pPr>
            <w:r>
              <w:rPr>
                <w:rFonts w:ascii="Arial" w:cs="Arial" w:eastAsia="Arial" w:hAnsi="Arial"/>
                <w:sz w:val="18"/>
                <w:szCs w:val="18"/>
                <w:color w:val="auto"/>
              </w:rPr>
              <w:t>Shared power to vote or to direct the vote</w:t>
            </w:r>
          </w:p>
        </w:tc>
        <w:tc>
          <w:tcPr>
            <w:tcW w:w="2120" w:type="dxa"/>
            <w:vAlign w:val="bottom"/>
          </w:tcPr>
          <w:p>
            <w:pPr>
              <w:ind w:left="1140"/>
              <w:spacing w:after="0"/>
              <w:rPr>
                <w:sz w:val="20"/>
                <w:szCs w:val="20"/>
                <w:color w:val="auto"/>
              </w:rPr>
            </w:pPr>
            <w:r>
              <w:rPr>
                <w:rFonts w:ascii="Arial" w:cs="Arial" w:eastAsia="Arial" w:hAnsi="Arial"/>
                <w:sz w:val="18"/>
                <w:szCs w:val="18"/>
                <w:color w:val="auto"/>
              </w:rPr>
              <w:t>0 shares</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5140" w:type="dxa"/>
            <w:vAlign w:val="bottom"/>
          </w:tcPr>
          <w:p>
            <w:pPr>
              <w:ind w:left="120"/>
              <w:spacing w:after="0"/>
              <w:rPr>
                <w:sz w:val="20"/>
                <w:szCs w:val="20"/>
                <w:color w:val="auto"/>
              </w:rPr>
            </w:pPr>
            <w:r>
              <w:rPr>
                <w:rFonts w:ascii="Arial" w:cs="Arial" w:eastAsia="Arial" w:hAnsi="Arial"/>
                <w:sz w:val="18"/>
                <w:szCs w:val="18"/>
                <w:color w:val="auto"/>
              </w:rPr>
              <w:t>Sole power to dispose or to direct the disposition of</w:t>
            </w:r>
          </w:p>
        </w:tc>
        <w:tc>
          <w:tcPr>
            <w:tcW w:w="2120" w:type="dxa"/>
            <w:vAlign w:val="bottom"/>
          </w:tcPr>
          <w:p>
            <w:pPr>
              <w:ind w:left="1140"/>
              <w:spacing w:after="0"/>
              <w:rPr>
                <w:sz w:val="20"/>
                <w:szCs w:val="20"/>
                <w:color w:val="auto"/>
              </w:rPr>
            </w:pPr>
            <w:r>
              <w:rPr>
                <w:rFonts w:ascii="Arial" w:cs="Arial" w:eastAsia="Arial" w:hAnsi="Arial"/>
                <w:sz w:val="18"/>
                <w:szCs w:val="18"/>
                <w:color w:val="auto"/>
                <w:w w:val="84"/>
              </w:rPr>
              <w:t>34,765 shares</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5140" w:type="dxa"/>
            <w:vAlign w:val="bottom"/>
          </w:tcPr>
          <w:p>
            <w:pPr>
              <w:ind w:left="120"/>
              <w:spacing w:after="0"/>
              <w:rPr>
                <w:sz w:val="20"/>
                <w:szCs w:val="20"/>
                <w:color w:val="auto"/>
              </w:rPr>
            </w:pPr>
            <w:r>
              <w:rPr>
                <w:rFonts w:ascii="Arial" w:cs="Arial" w:eastAsia="Arial" w:hAnsi="Arial"/>
                <w:sz w:val="18"/>
                <w:szCs w:val="18"/>
                <w:color w:val="auto"/>
              </w:rPr>
              <w:t>Shared power to dispose or to direct the disposition of</w:t>
            </w:r>
          </w:p>
        </w:tc>
        <w:tc>
          <w:tcPr>
            <w:tcW w:w="2120" w:type="dxa"/>
            <w:vAlign w:val="bottom"/>
          </w:tcPr>
          <w:p>
            <w:pPr>
              <w:ind w:left="1140"/>
              <w:spacing w:after="0"/>
              <w:rPr>
                <w:sz w:val="20"/>
                <w:szCs w:val="20"/>
                <w:color w:val="auto"/>
              </w:rPr>
            </w:pPr>
            <w:r>
              <w:rPr>
                <w:rFonts w:ascii="Arial" w:cs="Arial" w:eastAsia="Arial" w:hAnsi="Arial"/>
                <w:sz w:val="18"/>
                <w:szCs w:val="18"/>
                <w:color w:val="auto"/>
              </w:rPr>
              <w:t>0 shares</w:t>
            </w: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were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2013</w:t>
      </w:r>
    </w:p>
    <w:p>
      <w:pPr>
        <w:spacing w:after="0" w:line="2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G. Mueller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G.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Deputy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2019-12-07T23:15:50Z</dcterms:created>
  <dcterms:modified xsi:type="dcterms:W3CDTF">2019-12-07T23:15:50Z</dcterms:modified>
</cp:coreProperties>
</file>