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3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73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(Amendment No. 4)</w:t>
      </w:r>
    </w:p>
    <w:p>
      <w:pPr>
        <w:spacing w:after="0" w:line="256"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87265K102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73660</wp:posOffset>
            </wp:positionV>
            <wp:extent cx="430911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1"/>
          <w:szCs w:val="21"/>
          <w:color w:val="auto"/>
        </w:rPr>
        <w:t>(Date of Event Which Requires Filing of this Statement)</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95"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ectPr>
          <w:pgSz w:w="11900" w:h="16838" w:orient="portrait"/>
          <w:cols w:equalWidth="0" w:num="1">
            <w:col w:w="10219"/>
          </w:cols>
          <w:pgMar w:left="240" w:top="1440" w:right="1440" w:bottom="142" w:gutter="0" w:footer="0" w:header="0"/>
        </w:sectPr>
      </w:pPr>
    </w:p>
    <w:p>
      <w:pPr>
        <w:spacing w:after="0" w:line="98" w:lineRule="exact"/>
        <w:rPr>
          <w:sz w:val="24"/>
          <w:szCs w:val="24"/>
          <w:color w:val="auto"/>
        </w:r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132" w:lineRule="exact"/>
        <w:rPr>
          <w:sz w:val="24"/>
          <w:szCs w:val="24"/>
          <w:color w:val="auto"/>
        </w:rPr>
      </w:pPr>
    </w:p>
    <w:p>
      <w:pPr>
        <w:sectPr>
          <w:pgSz w:w="11900" w:h="16838" w:orient="portrait"/>
          <w:cols w:equalWidth="0" w:num="2">
            <w:col w:w="200" w:space="420"/>
            <w:col w:w="9599"/>
          </w:cols>
          <w:pgMar w:left="240" w:top="1440" w:right="1440" w:bottom="142" w:gutter="0" w:footer="0" w:header="0"/>
          <w:type w:val="continuous"/>
        </w:sect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Rule 13d-1(d)</w:t>
      </w:r>
    </w:p>
    <w:p>
      <w:pPr>
        <w:spacing w:after="0" w:line="92" w:lineRule="exact"/>
        <w:rPr>
          <w:sz w:val="24"/>
          <w:szCs w:val="24"/>
          <w:color w:val="auto"/>
        </w:rPr>
      </w:pPr>
    </w:p>
    <w:p>
      <w:pPr>
        <w:sectPr>
          <w:pgSz w:w="11900" w:h="16838" w:orient="portrait"/>
          <w:cols w:equalWidth="0" w:num="2">
            <w:col w:w="200" w:space="420"/>
            <w:col w:w="9599"/>
          </w:cols>
          <w:pgMar w:left="240" w:top="1440" w:right="1440" w:bottom="142" w:gutter="0" w:footer="0" w:header="0"/>
          <w:type w:val="continuous"/>
        </w:sectPr>
      </w:pPr>
    </w:p>
    <w:p>
      <w:pPr>
        <w:jc w:val="both"/>
        <w:ind w:left="20" w:right="12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25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87265K102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94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4"/>
          <w:szCs w:val="24"/>
          <w:color w:val="auto"/>
        </w:rPr>
      </w:pPr>
    </w:p>
    <w:p>
      <w:pPr>
        <w:ind w:left="700" w:right="6699" w:hanging="435"/>
        <w:spacing w:after="0" w:line="326"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Names of Reporting Persons. Wells Fargo &amp; Company</w:t>
      </w:r>
    </w:p>
    <w:p>
      <w:pPr>
        <w:spacing w:after="0" w:line="1" w:lineRule="exact"/>
        <w:rPr>
          <w:sz w:val="24"/>
          <w:szCs w:val="24"/>
          <w:color w:val="auto"/>
        </w:rPr>
      </w:pPr>
    </w:p>
    <w:p>
      <w:pPr>
        <w:ind w:left="700" w:right="8479" w:hanging="3"/>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41-0449260</w:t>
      </w:r>
    </w:p>
    <w:p>
      <w:pPr>
        <w:spacing w:after="0" w:line="348" w:lineRule="exact"/>
        <w:rPr>
          <w:rFonts w:ascii="Arial" w:cs="Arial" w:eastAsia="Arial" w:hAnsi="Arial"/>
          <w:sz w:val="19"/>
          <w:szCs w:val="19"/>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3"/>
        <w:spacing w:after="0"/>
        <w:tabs>
          <w:tab w:leader="none" w:pos="1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60" w:hanging="363"/>
        <w:spacing w:after="0"/>
        <w:tabs>
          <w:tab w:leader="none" w:pos="106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1440" w:right="1440" w:bottom="142" w:gutter="0" w:footer="0" w:header="0"/>
          <w:type w:val="continuous"/>
        </w:sectPr>
      </w:pPr>
    </w:p>
    <w:bookmarkStart w:id="1" w:name="page2"/>
    <w:bookmarkEnd w:id="1"/>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47,862</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1,532,443</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47,862</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1,591,766</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1,639,629</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2.47 %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TPG SPECIALTY LENDING INC</w:t>
      </w:r>
    </w:p>
    <w:p>
      <w:pPr>
        <w:spacing w:after="0" w:line="80" w:lineRule="exact"/>
        <w:rPr>
          <w:rFonts w:ascii="Arial" w:cs="Arial" w:eastAsia="Arial" w:hAnsi="Arial"/>
          <w:sz w:val="22"/>
          <w:szCs w:val="22"/>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Address of Issuer's Principal Executive Offices</w:t>
      </w:r>
    </w:p>
    <w:p>
      <w:pPr>
        <w:spacing w:after="0" w:line="9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301 COMMERCE STREET, SUITE 3300, FORT WORTH, TX 76102</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right="731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Name of Person Filing Wells Fargo &amp; Company</w:t>
      </w:r>
    </w:p>
    <w:p>
      <w:pPr>
        <w:ind w:left="700" w:right="433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420 Montgomery Street, San Francisco, CA 94163</w:t>
      </w:r>
    </w:p>
    <w:p>
      <w:pPr>
        <w:ind w:left="700" w:right="84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right="7179" w:hanging="374"/>
        <w:spacing w:after="0" w:line="251" w:lineRule="auto"/>
        <w:tabs>
          <w:tab w:leader="none" w:pos="7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Title of Class of Securities Common</w:t>
      </w:r>
    </w:p>
    <w:p>
      <w:pPr>
        <w:spacing w:after="0" w:line="65"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87265K102</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60" w:lineRule="exact"/>
        <w:rPr>
          <w:rFonts w:ascii="Arial" w:cs="Arial" w:eastAsia="Arial" w:hAnsi="Arial"/>
          <w:sz w:val="22"/>
          <w:szCs w:val="22"/>
          <w:color w:val="auto"/>
        </w:rPr>
      </w:pPr>
    </w:p>
    <w:p>
      <w:pPr>
        <w:ind w:left="780" w:hanging="440"/>
        <w:spacing w:after="0"/>
        <w:tabs>
          <w:tab w:leader="none" w:pos="7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ectPr>
          <w:pgSz w:w="11900" w:h="16838" w:orient="portrait"/>
          <w:cols w:equalWidth="0" w:num="1">
            <w:col w:w="10159"/>
          </w:cols>
          <w:pgMar w:left="300" w:top="118" w:right="1440" w:bottom="0" w:gutter="0" w:footer="0" w:header="0"/>
        </w:sectPr>
      </w:pPr>
    </w:p>
    <w:bookmarkStart w:id="2" w:name="page3"/>
    <w:bookmarkEnd w:id="2"/>
    <w:p>
      <w:pPr>
        <w:ind w:left="780" w:hanging="476"/>
        <w:spacing w:after="0"/>
        <w:tabs>
          <w:tab w:leader="none" w:pos="7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[X A parent holding company or control person in accordance with 240.13d-1(b)(1)(ii)(G);</w:t>
      </w:r>
    </w:p>
    <w:p>
      <w:pPr>
        <w:spacing w:after="0" w:line="42" w:lineRule="exact"/>
        <w:rPr>
          <w:rFonts w:ascii="Arial" w:cs="Arial" w:eastAsia="Arial" w:hAnsi="Arial"/>
          <w:sz w:val="19"/>
          <w:szCs w:val="19"/>
          <w:color w:val="auto"/>
        </w:rPr>
      </w:pPr>
    </w:p>
    <w:p>
      <w:pPr>
        <w:ind w:left="78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80"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non-U.S.institution in accordance with 240.13d-1(b)(1)(ii)(J);</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Group, in accordance with 240.13d-1(b)(1)(ii)(K).</w:t>
      </w:r>
    </w:p>
    <w:p>
      <w:pPr>
        <w:spacing w:after="0" w:line="260" w:lineRule="exact"/>
        <w:rPr>
          <w:sz w:val="20"/>
          <w:szCs w:val="20"/>
          <w:color w:val="auto"/>
        </w:rPr>
      </w:pPr>
    </w:p>
    <w:p>
      <w:pPr>
        <w:ind w:left="1120" w:right="1339"/>
        <w:spacing w:after="0" w:line="251" w:lineRule="auto"/>
        <w:rPr>
          <w:sz w:val="20"/>
          <w:szCs w:val="20"/>
          <w:color w:val="auto"/>
        </w:rPr>
      </w:pPr>
      <w:r>
        <w:rPr>
          <w:rFonts w:ascii="Arial" w:cs="Arial" w:eastAsia="Arial" w:hAnsi="Arial"/>
          <w:sz w:val="22"/>
          <w:szCs w:val="22"/>
          <w:color w:val="auto"/>
        </w:rPr>
        <w:t>If filing as a non-U.S.institution in accordance with 240.13d-1(b)(1)(ii)(J), please specify the type of institution: ______________</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Amount beneficially owned: 1,639,629</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2.47%</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vote or to direct the vote 47,862</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 1,532,443</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47,862</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1,591,766</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following.[X ].</w:t>
      </w:r>
    </w:p>
    <w:p>
      <w:pPr>
        <w:spacing w:after="0" w:line="200" w:lineRule="exact"/>
        <w:rPr>
          <w:sz w:val="20"/>
          <w:szCs w:val="20"/>
          <w:color w:val="auto"/>
        </w:rPr>
      </w:pPr>
    </w:p>
    <w:p>
      <w:pPr>
        <w:spacing w:after="0" w:line="224"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ind w:left="860" w:right="1379" w:hanging="863"/>
        <w:spacing w:after="0" w:line="280" w:lineRule="auto"/>
        <w:tabs>
          <w:tab w:leader="none" w:pos="84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1"/>
          <w:szCs w:val="21"/>
          <w:b w:val="1"/>
          <w:bCs w:val="1"/>
          <w:color w:val="auto"/>
        </w:rPr>
        <w:t>Identification and Classification of the Subsidiary Which Acquired the Security Being Reported on By the Parent Holding Company or Control Person.</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See Exhibit B</w:t>
      </w:r>
    </w:p>
    <w:p>
      <w:pPr>
        <w:spacing w:after="0" w:line="9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50" w:lineRule="exact"/>
        <w:rPr>
          <w:sz w:val="20"/>
          <w:szCs w:val="20"/>
          <w:color w:val="auto"/>
        </w:rPr>
      </w:pPr>
    </w:p>
    <w:p>
      <w:pPr>
        <w:jc w:val="both"/>
        <w:ind w:left="480" w:right="1979"/>
        <w:spacing w:after="0" w:line="235"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3" w:lineRule="exact"/>
        <w:rPr>
          <w:sz w:val="20"/>
          <w:szCs w:val="20"/>
          <w:color w:val="auto"/>
        </w:rPr>
      </w:pPr>
    </w:p>
    <w:p>
      <w:pPr>
        <w:ind w:left="3940"/>
        <w:spacing w:after="0"/>
        <w:rPr>
          <w:sz w:val="20"/>
          <w:szCs w:val="20"/>
          <w:color w:val="auto"/>
        </w:rPr>
      </w:pPr>
      <w:r>
        <w:rPr>
          <w:rFonts w:ascii="Arial" w:cs="Arial" w:eastAsia="Arial" w:hAnsi="Arial"/>
          <w:sz w:val="25"/>
          <w:szCs w:val="25"/>
          <w:b w:val="1"/>
          <w:bCs w:val="1"/>
          <w:color w:val="auto"/>
        </w:rPr>
        <w:t>SIGNATURE</w:t>
      </w:r>
    </w:p>
    <w:p>
      <w:pPr>
        <w:sectPr>
          <w:pgSz w:w="11900" w:h="16838" w:orient="portrait"/>
          <w:cols w:equalWidth="0" w:num="1">
            <w:col w:w="10159"/>
          </w:cols>
          <w:pgMar w:left="300" w:top="348" w:right="1440" w:bottom="0" w:gutter="0" w:footer="0" w:header="0"/>
        </w:sectPr>
      </w:pPr>
    </w:p>
    <w:p>
      <w:pPr>
        <w:spacing w:after="0" w:line="322" w:lineRule="exact"/>
        <w:rPr>
          <w:sz w:val="20"/>
          <w:szCs w:val="20"/>
          <w:color w:val="auto"/>
        </w:rPr>
      </w:pPr>
    </w:p>
    <w:p>
      <w:pPr>
        <w:ind w:left="240" w:right="11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0159"/>
          </w:cols>
          <w:pgMar w:left="300" w:top="348" w:right="1440" w:bottom="0" w:gutter="0" w:footer="0" w:header="0"/>
          <w:type w:val="continuous"/>
        </w:sectPr>
      </w:pPr>
    </w:p>
    <w:bookmarkStart w:id="3" w:name="page4"/>
    <w:bookmarkEnd w:id="3"/>
    <w:p>
      <w:pPr>
        <w:ind w:left="3940"/>
        <w:spacing w:after="0"/>
        <w:rPr>
          <w:sz w:val="20"/>
          <w:szCs w:val="20"/>
          <w:color w:val="auto"/>
        </w:rPr>
      </w:pPr>
      <w:r>
        <w:rPr>
          <w:rFonts w:ascii="Arial" w:cs="Arial" w:eastAsia="Arial" w:hAnsi="Arial"/>
          <w:sz w:val="22"/>
          <w:szCs w:val="22"/>
          <w:color w:val="auto"/>
        </w:rPr>
        <w:t>January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24765</wp:posOffset>
            </wp:positionV>
            <wp:extent cx="3395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2"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Date</w:t>
      </w:r>
    </w:p>
    <w:p>
      <w:pPr>
        <w:spacing w:after="0" w:line="44"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/s/ Patricia 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Patricia Arce, Designated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Name/Title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A</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EXPLANATORY NOTE</w:t>
      </w:r>
    </w:p>
    <w:p>
      <w:pPr>
        <w:spacing w:after="0" w:line="233" w:lineRule="exact"/>
        <w:rPr>
          <w:sz w:val="20"/>
          <w:szCs w:val="20"/>
          <w:color w:val="auto"/>
        </w:rPr>
      </w:pPr>
    </w:p>
    <w:p>
      <w:pPr>
        <w:ind w:right="1379"/>
        <w:spacing w:after="0" w:line="238" w:lineRule="auto"/>
        <w:rPr>
          <w:sz w:val="20"/>
          <w:szCs w:val="20"/>
          <w:color w:val="auto"/>
        </w:rPr>
      </w:pPr>
      <w:r>
        <w:rPr>
          <w:rFonts w:ascii="Arial" w:cs="Arial" w:eastAsia="Arial" w:hAnsi="Arial"/>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B</w:t>
      </w:r>
    </w:p>
    <w:p>
      <w:pPr>
        <w:spacing w:after="0" w:line="104" w:lineRule="exact"/>
        <w:rPr>
          <w:sz w:val="20"/>
          <w:szCs w:val="20"/>
          <w:color w:val="auto"/>
        </w:rPr>
      </w:pPr>
    </w:p>
    <w:p>
      <w:pPr>
        <w:ind w:right="1299"/>
        <w:spacing w:after="0" w:line="251" w:lineRule="auto"/>
        <w:rPr>
          <w:sz w:val="20"/>
          <w:szCs w:val="20"/>
          <w:color w:val="auto"/>
        </w:rPr>
      </w:pPr>
      <w:r>
        <w:rPr>
          <w:rFonts w:ascii="Arial" w:cs="Arial" w:eastAsia="Arial" w:hAnsi="Arial"/>
          <w:sz w:val="22"/>
          <w:szCs w:val="22"/>
          <w:color w:val="auto"/>
        </w:rPr>
        <w:t>The Schedule 13G to which this attachment is appended is filed by Wells Fargo &amp; Company on behalf of the following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Wells Fargo Clearing Services, LLC (1)</w:t>
      </w:r>
    </w:p>
    <w:p>
      <w:pPr>
        <w:spacing w:after="0" w:line="238" w:lineRule="auto"/>
        <w:rPr>
          <w:sz w:val="20"/>
          <w:szCs w:val="20"/>
          <w:color w:val="auto"/>
        </w:rPr>
      </w:pPr>
      <w:r>
        <w:rPr>
          <w:rFonts w:ascii="Arial" w:cs="Arial" w:eastAsia="Arial" w:hAnsi="Arial"/>
          <w:sz w:val="22"/>
          <w:szCs w:val="22"/>
          <w:color w:val="auto"/>
        </w:rPr>
        <w:t>Wells Fargo Bank, National Association (2)</w:t>
      </w:r>
    </w:p>
    <w:p>
      <w:pPr>
        <w:spacing w:after="0" w:line="230" w:lineRule="auto"/>
        <w:rPr>
          <w:sz w:val="20"/>
          <w:szCs w:val="20"/>
          <w:color w:val="auto"/>
        </w:rPr>
      </w:pPr>
      <w:r>
        <w:rPr>
          <w:rFonts w:ascii="Arial" w:cs="Arial" w:eastAsia="Arial" w:hAnsi="Arial"/>
          <w:sz w:val="22"/>
          <w:szCs w:val="22"/>
          <w:color w:val="auto"/>
        </w:rPr>
        <w:t>Wells Fargo Advisors Financial Network, LLC (1)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Wells Fargo Securities, LLC (1)</w:t>
      </w:r>
    </w:p>
    <w:p>
      <w:pPr>
        <w:spacing w:after="0" w:line="215" w:lineRule="exact"/>
        <w:rPr>
          <w:sz w:val="20"/>
          <w:szCs w:val="20"/>
          <w:color w:val="auto"/>
        </w:rPr>
      </w:pPr>
    </w:p>
    <w:p>
      <w:pPr>
        <w:ind w:left="300" w:hanging="298"/>
        <w:spacing w:after="0"/>
        <w:tabs>
          <w:tab w:leader="none" w:pos="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Classified as a broker dealer in accordance with Regulation 13d-1(b)(1)(ii)(A).</w:t>
      </w:r>
    </w:p>
    <w:p>
      <w:pPr>
        <w:spacing w:after="0" w:line="8" w:lineRule="exact"/>
        <w:rPr>
          <w:rFonts w:ascii="Arial" w:cs="Arial" w:eastAsia="Arial" w:hAnsi="Arial"/>
          <w:sz w:val="22"/>
          <w:szCs w:val="22"/>
          <w:color w:val="auto"/>
        </w:rPr>
      </w:pPr>
    </w:p>
    <w:p>
      <w:pPr>
        <w:ind w:left="300" w:hanging="298"/>
        <w:spacing w:after="0"/>
        <w:tabs>
          <w:tab w:leader="none" w:pos="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Classified as a bank in accordance with Regulation 13d-1(b)(1)(ii)(B).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60" w:right="1379" w:hanging="1079"/>
        <w:spacing w:after="0" w:line="256" w:lineRule="auto"/>
        <w:tabs>
          <w:tab w:leader="none" w:pos="104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sectPr>
      <w:pgSz w:w="11900" w:h="16838" w:orient="portrait"/>
      <w:cols w:equalWidth="0" w:num="1">
        <w:col w:w="10159"/>
      </w:cols>
      <w:pgMar w:left="30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lvl w:ilvl="1">
      <w:lvlJc w:val="left"/>
      <w:lvlText w:val="(%2)"/>
      <w:numFmt w:val="lowerLetter"/>
      <w:start w:val="2"/>
    </w:lvl>
  </w:abstractNum>
  <w:abstractNum w:abstractNumId="3">
    <w:nsid w:val="515F007C"/>
    <w:multiLevelType w:val="hybridMultilevel"/>
    <w:lvl w:ilvl="0">
      <w:lvlJc w:val="left"/>
      <w:lvlText w:val="%1."/>
      <w:numFmt w:val="decimal"/>
      <w:start w:val="2"/>
    </w:lvl>
    <w:lvl w:ilvl="1">
      <w:lvlJc w:val="left"/>
      <w:lvlText w:val="(%2)"/>
      <w:numFmt w:val="lowerLetter"/>
      <w:start w:val="1"/>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decimal"/>
      <w:start w:val="1"/>
    </w:lvl>
    <w:lvl w:ilvl="1">
      <w:lvlJc w:val="left"/>
      <w:lvlText w:val="%2."/>
      <w:numFmt w:val="decimal"/>
      <w:start w:val="8"/>
    </w:lvl>
  </w:abstractNum>
  <w:abstractNum w:abstractNumId="6">
    <w:nsid w:val="4DB127F8"/>
    <w:multiLevelType w:val="hybridMultilevel"/>
    <w:lvl w:ilvl="0">
      <w:lvlJc w:val="left"/>
      <w:lvlText w:val="%1."/>
      <w:numFmt w:val="decimal"/>
      <w:start w:val="9"/>
    </w:lvl>
    <w:lvl w:ilvl="1">
      <w:lvlJc w:val="left"/>
      <w:lvlText w:val="%2"/>
      <w:numFmt w:val="decimal"/>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7"/>
    </w:lvl>
  </w:abstractNum>
  <w:abstractNum w:abstractNumId="11">
    <w:nsid w:val="140E0F76"/>
    <w:multiLevelType w:val="hybridMultilevel"/>
    <w:lvl w:ilvl="0">
      <w:lvlJc w:val="left"/>
      <w:lvlText w:val="(%1)"/>
      <w:numFmt w:val="lowerLetter"/>
      <w:start w:val="1"/>
    </w:lvl>
    <w:lvl w:ilvl="1">
      <w:lvlJc w:val="left"/>
      <w:lvlText w:val="(%2)"/>
      <w:numFmt w:val="lowerRoman"/>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2020-02-04T13:55:44Z</dcterms:created>
  <dcterms:modified xsi:type="dcterms:W3CDTF">2020-02-04T13:55:44Z</dcterms:modified>
</cp:coreProperties>
</file>