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7"/>
              </w:rPr>
              <w:t>Richard Essex</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6"/>
              </w:rPr>
              <w:t>Alyssa Scaparotti</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USS Ltd.</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7"/>
              </w:rPr>
              <w:t>c/o Proskauer Rose LLP</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8"/>
              </w:rPr>
              <w:t>60 Threadneedle Street, Floor 6</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9"/>
              </w:rPr>
              <w:t>One International Place, 22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r>
      <w:tr>
        <w:trPr>
          <w:trHeight w:val="216"/>
        </w:trPr>
        <w:tc>
          <w:tcPr>
            <w:tcW w:w="4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91"/>
              </w:rPr>
              <w:t>London EC2R 8HP</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8"/>
              </w:rPr>
              <w:t>Boston, MA 02110</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England</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9"/>
              </w:rPr>
              <w:t>(617) 526-9697</w:t>
            </w:r>
          </w:p>
        </w:tc>
      </w:tr>
      <w:tr>
        <w:trPr>
          <w:trHeight w:val="228"/>
        </w:trPr>
        <w:tc>
          <w:tcPr>
            <w:tcW w:w="4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89"/>
              </w:rPr>
              <w:t>+44 (0) 20 7972 6470</w:t>
            </w:r>
          </w:p>
        </w:tc>
        <w:tc>
          <w:tcPr>
            <w:tcW w:w="4300" w:type="dxa"/>
            <w:vAlign w:val="bottom"/>
          </w:tcPr>
          <w:p>
            <w:pPr>
              <w:spacing w:after="0"/>
              <w:rPr>
                <w:sz w:val="19"/>
                <w:szCs w:val="19"/>
                <w:color w:val="auto"/>
              </w:rPr>
            </w:pP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June 18,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86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986145"/>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Universities Superannuation Scheme Limited as trustee for Universities Superannuation Scheme</w:t>
      </w:r>
    </w:p>
    <w:p>
      <w:pPr>
        <w:spacing w:after="0" w:line="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98-0076631</w:t>
      </w:r>
    </w:p>
    <w:p>
      <w:pPr>
        <w:spacing w:after="0" w:line="22"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8420" w:type="dxa"/>
            <w:vAlign w:val="bottom"/>
          </w:tcPr>
          <w:p>
            <w:pPr>
              <w:ind w:left="440"/>
              <w:spacing w:after="0"/>
              <w:rPr>
                <w:sz w:val="20"/>
                <w:szCs w:val="20"/>
                <w:color w:val="auto"/>
              </w:rPr>
            </w:pPr>
            <w:r>
              <w:rPr>
                <w:rFonts w:ascii="Arial" w:cs="Arial" w:eastAsia="Arial" w:hAnsi="Arial"/>
                <w:sz w:val="22"/>
                <w:szCs w:val="22"/>
                <w:color w:val="auto"/>
              </w:rPr>
              <w:t>OO</w:t>
            </w:r>
          </w:p>
        </w:tc>
      </w:tr>
      <w:tr>
        <w:trPr>
          <w:trHeight w:val="275"/>
        </w:trPr>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5</w:t>
            </w:r>
          </w:p>
        </w:tc>
        <w:tc>
          <w:tcPr>
            <w:tcW w:w="8420" w:type="dxa"/>
            <w:vAlign w:val="bottom"/>
          </w:tcPr>
          <w:p>
            <w:pPr>
              <w:ind w:left="220"/>
              <w:spacing w:after="0" w:line="207" w:lineRule="exact"/>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MS PGothic" w:cs="MS PGothic" w:eastAsia="MS PGothic" w:hAnsi="MS PGothic"/>
                <w:sz w:val="18"/>
                <w:szCs w:val="18"/>
                <w:color w:val="auto"/>
                <w:w w:val="93"/>
              </w:rPr>
              <w:t>☐</w:t>
            </w:r>
          </w:p>
        </w:tc>
      </w:tr>
    </w:tbl>
    <w:p>
      <w:pPr>
        <w:spacing w:after="0" w:line="203" w:lineRule="exact"/>
        <w:rPr>
          <w:sz w:val="20"/>
          <w:szCs w:val="20"/>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520"/>
        <w:spacing w:after="0"/>
        <w:tabs>
          <w:tab w:leader="none" w:pos="1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39,257 shares</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19"/>
                <w:szCs w:val="19"/>
                <w:color w:val="auto"/>
              </w:rPr>
            </w:pPr>
          </w:p>
        </w:tc>
        <w:tc>
          <w:tcPr>
            <w:tcW w:w="9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39,257 shares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600"/>
              <w:spacing w:after="0"/>
              <w:rPr>
                <w:sz w:val="20"/>
                <w:szCs w:val="20"/>
                <w:color w:val="auto"/>
              </w:rPr>
            </w:pPr>
            <w:r>
              <w:rPr>
                <w:rFonts w:ascii="Arial" w:cs="Arial" w:eastAsia="Arial" w:hAnsi="Arial"/>
                <w:sz w:val="22"/>
                <w:szCs w:val="22"/>
                <w:color w:val="auto"/>
              </w:rPr>
              <w:t>39,257 shares</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108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11.39%</w:t>
      </w:r>
    </w:p>
    <w:p>
      <w:pPr>
        <w:spacing w:after="0" w:line="30"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93" w:right="219" w:bottom="1440" w:gutter="0" w:footer="0" w:header="0"/>
        </w:sectPr>
      </w:pPr>
    </w:p>
    <w:bookmarkStart w:id="2" w:name="page3"/>
    <w:bookmarkEnd w:id="2"/>
    <w:p>
      <w:pPr>
        <w:ind w:right="1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6 (this “Amendment”) amends and restates Items 3 and 5(a) of the Schedule 13D filed on June 27, 2011 (the “Original Schedule 13D”), as amended by Amendment No. 1 to the Original Schedule 13D filed on August 5, 2011 (“Amendment No. 1”), Amendment No. 2 to the Original Schedule 13D filed on December 20, 2011 (“Amendment No. 2”), Amendment No. 3 to the Original Schedule 13D filed on February 10, 2012 (“Amendment No. 3”), Amendment No. 4 to the Original Schedule 13D filed on March 28, 2012 (“Amendment No. 4”) and Amendment No. 5 to the Original Schedule 13D filed on May 16, 2012 (“Amendment No. 5” and, together with Amendment No. 1, Amendment No. 2, Amendment No. 3 and Amendment No. 4, the Original Schedule 13D and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Amendment No. 1 or Amendment No. 2 or Amendment No. 3 or Amendment No. 4 or Amendment No. 5. Capitalized terms used in this Amendment and not otherwise defined herein shall have the same meanings ascribed to them in the Original Schedule 13D.</w:t>
      </w:r>
    </w:p>
    <w:p>
      <w:pPr>
        <w:spacing w:after="0" w:line="2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Amendment amends and restates Item 3 of the Original Schedule 13D, as amended by Amendment No. 1 and Amendment No. 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No. 3 and Amendment No. 4 and Amendment No. 5, in its entirety as set forth below:</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of Common Stock at a price of $1,000 per share on June 30, 2011.</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Issuer delivered a drawdown notice on August 1, 2011, and upon receiving the drawdown notice, the Reporting Person became obligated to make a capital contribution of $11,986,675 (the “August 1, 2011 Purchase Price”) to purchase 12,480 shares of Common Stock at a price of $960.47 per share.</w:t>
      </w:r>
    </w:p>
    <w:p>
      <w:pPr>
        <w:sectPr>
          <w:pgSz w:w="11900" w:h="16838" w:orient="portrait"/>
          <w:cols w:equalWidth="0" w:num="1">
            <w:col w:w="11360"/>
          </w:cols>
          <w:pgMar w:left="240" w:top="280" w:right="299" w:bottom="1440" w:gutter="0" w:footer="0" w:header="0"/>
        </w:sectPr>
      </w:pPr>
    </w:p>
    <w:bookmarkStart w:id="3" w:name="page4"/>
    <w:bookmarkEnd w:id="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December 15, 2011 and such new investors were obligated to purchase shares of Common Stock. The Reporting Person was not required to make any contributions on December 15, 2011 and did not purchase any additional shares, however, the Reporting Person’s percentage ownership in the Issuer was diluted.</w:t>
      </w:r>
    </w:p>
    <w:p>
      <w:pPr>
        <w:spacing w:after="0" w:line="14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Issuer delivered a drawdown notice on December 16, 2011, and upon receiving the drawdown notice, the Reporting Person became obligated to make a capital contribution of $1,547,989 (the “December 16, 2011 Purchase Price”) to purchase 1,578 shares of Common Stock at a price of $980.98 per share.</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December 16, 2011 Purchase Price. No part of the December 16,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February 1, 2012 and such new investors were obligated to purchase shares of Common Stock. The Reporting Person was not required to make any contributions on February 1, 2012 and did not purchase any additional shares, however, the Reporting Person’s percentage ownership in the Issuer was diluted.</w:t>
      </w:r>
    </w:p>
    <w:p>
      <w:pPr>
        <w:spacing w:after="0" w:line="140"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The Issuer delivered a drawdown notice on February 2, 2012, and upon receiving the drawdown notice, the Reporting Person became obligated to make a capital contribution of $4,179,091 (the “February 1, 2012 Purchase Price”) to purchase 4,242 shares of Common Stock at a price of $985.17 per share.</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February 1, 2012 Purchase Price. No part of the February 1,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The Issuer delivered a drawdown notice on March 16, 2012, and upon receiving the drawdown notice, the Reporting Person became obligated to make a capital contribution of $8,955,194 (the “March 16, 2012 Purchase Price”) to purchase 9,092 shares of Common Stock at a price of $984.95 per share.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March 16, 2012 Purchase Price. No part of the March 16,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May 16, 2012 and such new investors were obligated to purchase shares of Common Stock. The Reporting Person was not required to make any contributions on May 16, 2012 and did not purchase any additional shares, however, the Reporting Person’s percentage ownership in the Issuer was diluted.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Issuer delivered a drawdown notice on June 18, 2012, and upon receiving the drawdown notice, the Reporting Person became obligated to make a capital contribution of $3,993,408 (the “June 18, 2012 Purchase Price”) to purchase 3,971 shares of Common Stock at a price of $1,005.64 per share on June 18, 2012.</w:t>
      </w:r>
    </w:p>
    <w:p>
      <w:pPr>
        <w:sectPr>
          <w:pgSz w:w="11900" w:h="16838" w:orient="portrait"/>
          <w:cols w:equalWidth="0" w:num="1">
            <w:col w:w="11380"/>
          </w:cols>
          <w:pgMar w:left="240" w:top="280" w:right="279" w:bottom="1440" w:gutter="0" w:footer="0" w:header="0"/>
        </w:sectPr>
      </w:pPr>
    </w:p>
    <w:bookmarkStart w:id="4" w:name="page5"/>
    <w:bookmarkEnd w:id="4"/>
    <w:p>
      <w:pPr>
        <w:ind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cash reserves of the occupational pension scheme was the Reporting Person’s source of the funds for the June 18, 2012 Purchase Price. No part of the June 18, 2012 Purchase Price paid or amount subscribed by the Reporting Person was represented by funds or other consideration borrowed or otherwise obtained for the purpose of acquiring, holding, trading or voting the Shares.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Interest in Securities of the Issuer</w:t>
      </w:r>
      <w:r>
        <w:rPr>
          <w:rFonts w:ascii="Arial" w:cs="Arial" w:eastAsia="Arial" w:hAnsi="Arial"/>
          <w:sz w:val="15"/>
          <w:szCs w:val="15"/>
          <w:color w:val="auto"/>
        </w:rPr>
        <w: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Amendment amends and restates Item 5(a) of the Original Schedule 13D, as amended by Amendment No. 1 and Amendment No. 2 and Amendment No. 3 and Amendment No. 4 and Amendment No. 5, in its entirety as set forth below:</w:t>
      </w:r>
    </w:p>
    <w:p>
      <w:pPr>
        <w:spacing w:after="0" w:line="51" w:lineRule="exact"/>
        <w:rPr>
          <w:sz w:val="20"/>
          <w:szCs w:val="20"/>
          <w:color w:val="auto"/>
        </w:rPr>
      </w:pPr>
    </w:p>
    <w:p>
      <w:pPr>
        <w:ind w:left="900" w:right="40" w:hanging="446"/>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June 18, 2012, the aggregate number of shares of Common Stock beneficially owned by the Reporting Person was 39,257, representing 11.39% of the issued and outstanding shares of Common Stock, which is calculated based on information provided to the Reporting Person by the Issuer.</w:t>
      </w:r>
    </w:p>
    <w:p>
      <w:pPr>
        <w:ind w:left="46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ectPr>
          <w:pgSz w:w="11900" w:h="16838" w:orient="portrait"/>
          <w:cols w:equalWidth="0" w:num="1">
            <w:col w:w="11300"/>
          </w:cols>
          <w:pgMar w:left="240" w:top="280" w:right="359" w:bottom="1440" w:gutter="0" w:footer="0" w:header="0"/>
        </w:sectPr>
      </w:pPr>
    </w:p>
    <w:bookmarkStart w:id="5" w:name="page6"/>
    <w:bookmarkEnd w:id="5"/>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Mike Powell</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2019-12-09T21:20:15Z</dcterms:created>
  <dcterms:modified xsi:type="dcterms:W3CDTF">2019-12-09T21:20:15Z</dcterms:modified>
</cp:coreProperties>
</file>