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January 22, 2018</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Securities Act File No. 333-217207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N-2</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tbl>
      <w:tblPr>
        <w:tblLayout w:type="fixed"/>
        <w:tblInd w:w="3940" w:type="dxa"/>
        <w:tblCellMar>
          <w:top w:w="0" w:type="dxa"/>
          <w:left w:w="0" w:type="dxa"/>
          <w:bottom w:w="0" w:type="dxa"/>
          <w:right w:w="0" w:type="dxa"/>
        </w:tblCellMar>
      </w:tblPr>
      <w:tr>
        <w:trPr>
          <w:trHeight w:val="239"/>
        </w:trPr>
        <w:tc>
          <w:tcPr>
            <w:tcW w:w="5180" w:type="dxa"/>
            <w:vAlign w:val="bottom"/>
          </w:tcPr>
          <w:p>
            <w:pPr>
              <w:ind w:left="1400"/>
              <w:spacing w:after="0" w:line="239" w:lineRule="exact"/>
              <w:rPr>
                <w:sz w:val="20"/>
                <w:szCs w:val="20"/>
                <w:color w:val="auto"/>
              </w:rPr>
            </w:pPr>
            <w:r>
              <w:rPr>
                <w:rFonts w:ascii="Arial" w:cs="Arial" w:eastAsia="Arial" w:hAnsi="Arial"/>
                <w:sz w:val="22"/>
                <w:szCs w:val="22"/>
                <w:b w:val="1"/>
                <w:bCs w:val="1"/>
                <w:i w:val="1"/>
                <w:iCs w:val="1"/>
                <w:color w:val="auto"/>
              </w:rPr>
              <w:t>UNDER</w:t>
            </w:r>
          </w:p>
        </w:tc>
        <w:tc>
          <w:tcPr>
            <w:tcW w:w="2300" w:type="dxa"/>
            <w:vAlign w:val="bottom"/>
            <w:vMerge w:val="restart"/>
          </w:tcPr>
          <w:p>
            <w:pPr>
              <w:ind w:left="210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217"/>
        </w:trPr>
        <w:tc>
          <w:tcPr>
            <w:tcW w:w="5180" w:type="dxa"/>
            <w:vAlign w:val="bottom"/>
          </w:tcPr>
          <w:p>
            <w:pPr>
              <w:jc w:val="center"/>
              <w:ind w:right="1972"/>
              <w:spacing w:after="0" w:line="217" w:lineRule="exact"/>
              <w:rPr>
                <w:sz w:val="20"/>
                <w:szCs w:val="20"/>
                <w:color w:val="auto"/>
              </w:rPr>
            </w:pPr>
            <w:r>
              <w:rPr>
                <w:rFonts w:ascii="Arial" w:cs="Arial" w:eastAsia="Arial" w:hAnsi="Arial"/>
                <w:sz w:val="22"/>
                <w:szCs w:val="22"/>
                <w:b w:val="1"/>
                <w:bCs w:val="1"/>
                <w:i w:val="1"/>
                <w:iCs w:val="1"/>
                <w:color w:val="auto"/>
                <w:w w:val="95"/>
              </w:rPr>
              <w:t>THE SECURITIES ACT OF 1933</w:t>
            </w:r>
          </w:p>
        </w:tc>
        <w:tc>
          <w:tcPr>
            <w:tcW w:w="2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180" w:type="dxa"/>
            <w:vAlign w:val="bottom"/>
          </w:tcPr>
          <w:p>
            <w:pPr>
              <w:jc w:val="center"/>
              <w:ind w:right="1972"/>
              <w:spacing w:after="0"/>
              <w:rPr>
                <w:sz w:val="20"/>
                <w:szCs w:val="20"/>
                <w:color w:val="auto"/>
              </w:rPr>
            </w:pPr>
            <w:r>
              <w:rPr>
                <w:rFonts w:ascii="Arial" w:cs="Arial" w:eastAsia="Arial" w:hAnsi="Arial"/>
                <w:sz w:val="22"/>
                <w:szCs w:val="22"/>
                <w:b w:val="1"/>
                <w:bCs w:val="1"/>
                <w:color w:val="auto"/>
                <w:w w:val="89"/>
              </w:rPr>
              <w:t>Pre-Effective Amendment No.</w:t>
            </w:r>
          </w:p>
        </w:tc>
        <w:tc>
          <w:tcPr>
            <w:tcW w:w="2300" w:type="dxa"/>
            <w:vAlign w:val="bottom"/>
          </w:tcPr>
          <w:p>
            <w:pPr>
              <w:ind w:left="210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339"/>
        </w:trPr>
        <w:tc>
          <w:tcPr>
            <w:tcW w:w="5180" w:type="dxa"/>
            <w:vAlign w:val="bottom"/>
          </w:tcPr>
          <w:p>
            <w:pPr>
              <w:jc w:val="center"/>
              <w:ind w:right="1972"/>
              <w:spacing w:after="0"/>
              <w:rPr>
                <w:sz w:val="20"/>
                <w:szCs w:val="20"/>
                <w:color w:val="auto"/>
              </w:rPr>
            </w:pPr>
            <w:r>
              <w:rPr>
                <w:rFonts w:ascii="Arial" w:cs="Arial" w:eastAsia="Arial" w:hAnsi="Arial"/>
                <w:sz w:val="22"/>
                <w:szCs w:val="22"/>
                <w:b w:val="1"/>
                <w:bCs w:val="1"/>
                <w:color w:val="auto"/>
                <w:w w:val="88"/>
              </w:rPr>
              <w:t>Post-Effective Amendment No. 2</w:t>
            </w:r>
          </w:p>
        </w:tc>
        <w:tc>
          <w:tcPr>
            <w:tcW w:w="2300" w:type="dxa"/>
            <w:vAlign w:val="bottom"/>
          </w:tcPr>
          <w:p>
            <w:pPr>
              <w:ind w:left="210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201295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301 Commerce Street, Suite 3300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Fort Worth, TX 76102</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(817) 871-4000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David Stiepleman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TPG Specialty Lending,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345 California Street, Suite 3300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Francisco, CA 94104</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WITH COPIES TO:</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Adam E. Fleisher,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Helena K. Grannis,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Cleary Gottlieb Steen &amp; Hamilton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Liberty Plaza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10006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(212) 225-2000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Facsimile: (212) 225-3999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Approximate date of proposed public offering: </w:t>
      </w:r>
      <w:r>
        <w:rPr>
          <w:rFonts w:ascii="Arial" w:cs="Arial" w:eastAsia="Arial" w:hAnsi="Arial"/>
          <w:sz w:val="18"/>
          <w:szCs w:val="18"/>
          <w:color w:val="auto"/>
        </w:rPr>
        <w:t>From time to time after the effective date of this Registration Statement.</w:t>
      </w:r>
    </w:p>
    <w:p>
      <w:pPr>
        <w:spacing w:after="0" w:line="229"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This Post-Effective Amendment No. 2 to the Registration Statement on Form N-2 (File No. 333-217207) of TPG Specialty Lending, Inc. (the “Registration Statement”) is being filed pursuant to Rule 462(d) under the Securities Act of 1933, as amended (the “Securities Act”), solely for the purpose of filing exhibits to the Registration Statement. Accordingly, this Post-Effective Amendment No. 2 consists only of a facing page, this explanatory note and Part C of the Registration Statement, which sets forth the exhibits to the Registration Statement. This Post-Effective Amendment No. 2 does not modify any other part of the Registration Statement. Pursuant to Rule 462(d) under the Securities Act, this Post-Effective Amendment No. 2 shall become effective immediately upon filing with the Securities and Exchange Commission. The contents of the Registration Statement are hereby incorporated by reference.</w:t>
      </w:r>
    </w:p>
    <w:p>
      <w:pPr>
        <w:sectPr>
          <w:pgSz w:w="11900" w:h="16838" w:orient="portrait"/>
          <w:cols w:equalWidth="0" w:num="1">
            <w:col w:w="11380"/>
          </w:cols>
          <w:pgMar w:left="240" w:top="270" w:right="2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320" w:type="dxa"/>
            <w:vAlign w:val="bottom"/>
          </w:tcPr>
          <w:p>
            <w:pPr>
              <w:jc w:val="center"/>
              <w:ind w:left="1010"/>
              <w:spacing w:after="0"/>
              <w:rPr>
                <w:sz w:val="20"/>
                <w:szCs w:val="20"/>
                <w:color w:val="auto"/>
              </w:rPr>
            </w:pPr>
            <w:r>
              <w:rPr>
                <w:rFonts w:ascii="Arial" w:cs="Arial" w:eastAsia="Arial" w:hAnsi="Arial"/>
                <w:sz w:val="18"/>
                <w:szCs w:val="18"/>
                <w:b w:val="1"/>
                <w:bCs w:val="1"/>
                <w:color w:val="auto"/>
              </w:rPr>
              <w:t>TPG SPECIALTY LENDING, INC.</w:t>
            </w:r>
          </w:p>
        </w:tc>
        <w:tc>
          <w:tcPr>
            <w:tcW w:w="1040" w:type="dxa"/>
            <w:vAlign w:val="bottom"/>
          </w:tcPr>
          <w:p>
            <w:pPr>
              <w:spacing w:after="0"/>
              <w:rPr>
                <w:sz w:val="20"/>
                <w:szCs w:val="20"/>
                <w:color w:val="auto"/>
              </w:rPr>
            </w:pPr>
          </w:p>
        </w:tc>
      </w:tr>
      <w:tr>
        <w:trPr>
          <w:trHeight w:val="324"/>
        </w:trPr>
        <w:tc>
          <w:tcPr>
            <w:tcW w:w="10320" w:type="dxa"/>
            <w:vAlign w:val="bottom"/>
          </w:tcPr>
          <w:p>
            <w:pPr>
              <w:jc w:val="center"/>
              <w:ind w:left="1030"/>
              <w:spacing w:after="0"/>
              <w:rPr>
                <w:sz w:val="20"/>
                <w:szCs w:val="20"/>
                <w:color w:val="auto"/>
              </w:rPr>
            </w:pPr>
            <w:r>
              <w:rPr>
                <w:rFonts w:ascii="Arial" w:cs="Arial" w:eastAsia="Arial" w:hAnsi="Arial"/>
                <w:sz w:val="18"/>
                <w:szCs w:val="18"/>
                <w:b w:val="1"/>
                <w:bCs w:val="1"/>
                <w:color w:val="auto"/>
                <w:w w:val="95"/>
              </w:rPr>
              <w:t>PART C</w:t>
            </w:r>
          </w:p>
        </w:tc>
        <w:tc>
          <w:tcPr>
            <w:tcW w:w="1040" w:type="dxa"/>
            <w:vAlign w:val="bottom"/>
          </w:tcPr>
          <w:p>
            <w:pPr>
              <w:spacing w:after="0"/>
              <w:rPr>
                <w:sz w:val="24"/>
                <w:szCs w:val="24"/>
                <w:color w:val="auto"/>
              </w:rPr>
            </w:pPr>
          </w:p>
        </w:tc>
      </w:tr>
      <w:tr>
        <w:trPr>
          <w:trHeight w:val="324"/>
        </w:trPr>
        <w:tc>
          <w:tcPr>
            <w:tcW w:w="10320" w:type="dxa"/>
            <w:vAlign w:val="bottom"/>
          </w:tcPr>
          <w:p>
            <w:pPr>
              <w:jc w:val="center"/>
              <w:ind w:left="1030"/>
              <w:spacing w:after="0"/>
              <w:rPr>
                <w:sz w:val="20"/>
                <w:szCs w:val="20"/>
                <w:color w:val="auto"/>
              </w:rPr>
            </w:pPr>
            <w:r>
              <w:rPr>
                <w:rFonts w:ascii="Arial" w:cs="Arial" w:eastAsia="Arial" w:hAnsi="Arial"/>
                <w:sz w:val="18"/>
                <w:szCs w:val="18"/>
                <w:b w:val="1"/>
                <w:bCs w:val="1"/>
                <w:color w:val="auto"/>
                <w:w w:val="94"/>
              </w:rPr>
              <w:t>Other Information</w:t>
            </w:r>
          </w:p>
        </w:tc>
        <w:tc>
          <w:tcPr>
            <w:tcW w:w="1040" w:type="dxa"/>
            <w:vAlign w:val="bottom"/>
          </w:tcPr>
          <w:p>
            <w:pPr>
              <w:spacing w:after="0"/>
              <w:rPr>
                <w:sz w:val="24"/>
                <w:szCs w:val="24"/>
                <w:color w:val="auto"/>
              </w:rPr>
            </w:pPr>
          </w:p>
        </w:tc>
      </w:tr>
      <w:tr>
        <w:trPr>
          <w:trHeight w:val="432"/>
        </w:trPr>
        <w:tc>
          <w:tcPr>
            <w:tcW w:w="10320" w:type="dxa"/>
            <w:vAlign w:val="bottom"/>
          </w:tcPr>
          <w:p>
            <w:pPr>
              <w:spacing w:after="0"/>
              <w:rPr>
                <w:sz w:val="20"/>
                <w:szCs w:val="20"/>
                <w:color w:val="auto"/>
              </w:rPr>
            </w:pPr>
            <w:r>
              <w:rPr>
                <w:rFonts w:ascii="Arial" w:cs="Arial" w:eastAsia="Arial" w:hAnsi="Arial"/>
                <w:sz w:val="18"/>
                <w:szCs w:val="18"/>
                <w:b w:val="1"/>
                <w:bCs w:val="1"/>
                <w:color w:val="auto"/>
              </w:rPr>
              <w:t>Item 25. Financial Statements and Exhibits</w:t>
            </w:r>
          </w:p>
        </w:tc>
        <w:tc>
          <w:tcPr>
            <w:tcW w:w="1040" w:type="dxa"/>
            <w:vAlign w:val="bottom"/>
          </w:tcPr>
          <w:p>
            <w:pPr>
              <w:spacing w:after="0"/>
              <w:rPr>
                <w:sz w:val="24"/>
                <w:szCs w:val="24"/>
                <w:color w:val="auto"/>
              </w:rPr>
            </w:pPr>
          </w:p>
        </w:tc>
      </w:tr>
      <w:tr>
        <w:trPr>
          <w:trHeight w:val="324"/>
        </w:trPr>
        <w:tc>
          <w:tcPr>
            <w:tcW w:w="10320" w:type="dxa"/>
            <w:vAlign w:val="bottom"/>
          </w:tcPr>
          <w:p>
            <w:pPr>
              <w:spacing w:after="0"/>
              <w:rPr>
                <w:sz w:val="20"/>
                <w:szCs w:val="20"/>
                <w:color w:val="auto"/>
              </w:rPr>
            </w:pPr>
            <w:r>
              <w:rPr>
                <w:rFonts w:ascii="Arial" w:cs="Arial" w:eastAsia="Arial" w:hAnsi="Arial"/>
                <w:sz w:val="18"/>
                <w:szCs w:val="18"/>
                <w:b w:val="1"/>
                <w:bCs w:val="1"/>
                <w:color w:val="auto"/>
              </w:rPr>
              <w:t>(1) Financial Statements</w:t>
            </w:r>
          </w:p>
        </w:tc>
        <w:tc>
          <w:tcPr>
            <w:tcW w:w="1040" w:type="dxa"/>
            <w:vAlign w:val="bottom"/>
          </w:tcPr>
          <w:p>
            <w:pPr>
              <w:spacing w:after="0"/>
              <w:rPr>
                <w:sz w:val="24"/>
                <w:szCs w:val="24"/>
                <w:color w:val="auto"/>
              </w:rPr>
            </w:pPr>
          </w:p>
        </w:tc>
      </w:tr>
      <w:tr>
        <w:trPr>
          <w:trHeight w:val="324"/>
        </w:trPr>
        <w:tc>
          <w:tcPr>
            <w:tcW w:w="10320" w:type="dxa"/>
            <w:vAlign w:val="bottom"/>
          </w:tcPr>
          <w:p>
            <w:pPr>
              <w:ind w:left="920"/>
              <w:spacing w:after="0"/>
              <w:rPr>
                <w:sz w:val="20"/>
                <w:szCs w:val="20"/>
                <w:color w:val="auto"/>
              </w:rPr>
            </w:pPr>
            <w:r>
              <w:rPr>
                <w:rFonts w:ascii="Arial" w:cs="Arial" w:eastAsia="Arial" w:hAnsi="Arial"/>
                <w:sz w:val="18"/>
                <w:szCs w:val="18"/>
                <w:color w:val="auto"/>
                <w:w w:val="99"/>
              </w:rPr>
              <w:t>The following financial statements of TPG Specialty Lending, Inc. are provided in Part A of this Registration Statement:</w:t>
            </w:r>
          </w:p>
        </w:tc>
        <w:tc>
          <w:tcPr>
            <w:tcW w:w="1040" w:type="dxa"/>
            <w:vAlign w:val="bottom"/>
          </w:tcPr>
          <w:p>
            <w:pPr>
              <w:spacing w:after="0"/>
              <w:rPr>
                <w:sz w:val="24"/>
                <w:szCs w:val="24"/>
                <w:color w:val="auto"/>
              </w:rPr>
            </w:pPr>
          </w:p>
        </w:tc>
      </w:tr>
      <w:tr>
        <w:trPr>
          <w:trHeight w:val="445"/>
        </w:trPr>
        <w:tc>
          <w:tcPr>
            <w:tcW w:w="10320" w:type="dxa"/>
            <w:vAlign w:val="bottom"/>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1040" w:type="dxa"/>
            <w:vAlign w:val="bottom"/>
          </w:tcPr>
          <w:p>
            <w:pPr>
              <w:spacing w:after="0"/>
              <w:rPr>
                <w:sz w:val="24"/>
                <w:szCs w:val="24"/>
                <w:color w:val="auto"/>
              </w:rPr>
            </w:pP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04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Consolidated Balance Sheets as of December 31, 2016 and 2015</w:t>
            </w:r>
          </w:p>
        </w:tc>
        <w:tc>
          <w:tcPr>
            <w:tcW w:w="104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Consolidated Statements of Operations for the Years Ended December 31, 2016, 2015 and 2014</w:t>
            </w:r>
          </w:p>
        </w:tc>
        <w:tc>
          <w:tcPr>
            <w:tcW w:w="104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Consolidated Schedules of Investments as of December 31, 2016 and 2015</w:t>
            </w:r>
          </w:p>
        </w:tc>
        <w:tc>
          <w:tcPr>
            <w:tcW w:w="104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Consolidated Statements of Changes in Net Assets for the Years Ended December 31, 2016, 2015 and 2014</w:t>
            </w:r>
          </w:p>
        </w:tc>
        <w:tc>
          <w:tcPr>
            <w:tcW w:w="1040" w:type="dxa"/>
            <w:vAlign w:val="bottom"/>
          </w:tcPr>
          <w:p>
            <w:pPr>
              <w:jc w:val="right"/>
              <w:spacing w:after="0"/>
              <w:rPr>
                <w:sz w:val="20"/>
                <w:szCs w:val="20"/>
                <w:color w:val="auto"/>
              </w:rPr>
            </w:pPr>
            <w:r>
              <w:rPr>
                <w:rFonts w:ascii="Arial" w:cs="Arial" w:eastAsia="Arial" w:hAnsi="Arial"/>
                <w:sz w:val="18"/>
                <w:szCs w:val="18"/>
                <w:color w:val="auto"/>
              </w:rPr>
              <w:t>F-13</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Consolidated Statements of Cash Flows for the Years Ended December 31, 2016, 2015 and 2014</w:t>
            </w:r>
          </w:p>
        </w:tc>
        <w:tc>
          <w:tcPr>
            <w:tcW w:w="1040" w:type="dxa"/>
            <w:vAlign w:val="bottom"/>
          </w:tcPr>
          <w:p>
            <w:pPr>
              <w:jc w:val="right"/>
              <w:spacing w:after="0"/>
              <w:rPr>
                <w:sz w:val="20"/>
                <w:szCs w:val="20"/>
                <w:color w:val="auto"/>
              </w:rPr>
            </w:pPr>
            <w:r>
              <w:rPr>
                <w:rFonts w:ascii="Arial" w:cs="Arial" w:eastAsia="Arial" w:hAnsi="Arial"/>
                <w:sz w:val="18"/>
                <w:szCs w:val="18"/>
                <w:color w:val="auto"/>
              </w:rPr>
              <w:t>F-14</w:t>
            </w:r>
          </w:p>
        </w:tc>
      </w:tr>
      <w:tr>
        <w:trPr>
          <w:trHeight w:val="230"/>
        </w:trPr>
        <w:tc>
          <w:tcPr>
            <w:tcW w:w="1032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1040" w:type="dxa"/>
            <w:vAlign w:val="bottom"/>
          </w:tcPr>
          <w:p>
            <w:pPr>
              <w:jc w:val="right"/>
              <w:spacing w:after="0"/>
              <w:rPr>
                <w:sz w:val="20"/>
                <w:szCs w:val="20"/>
                <w:color w:val="auto"/>
              </w:rPr>
            </w:pPr>
            <w:r>
              <w:rPr>
                <w:rFonts w:ascii="Arial" w:cs="Arial" w:eastAsia="Arial" w:hAnsi="Arial"/>
                <w:sz w:val="18"/>
                <w:szCs w:val="18"/>
                <w:color w:val="auto"/>
              </w:rPr>
              <w:t>F-15</w:t>
            </w:r>
          </w:p>
        </w:tc>
      </w:tr>
      <w:tr>
        <w:trPr>
          <w:trHeight w:val="310"/>
        </w:trPr>
        <w:tc>
          <w:tcPr>
            <w:tcW w:w="10320" w:type="dxa"/>
            <w:vAlign w:val="bottom"/>
          </w:tcPr>
          <w:p>
            <w:pPr>
              <w:spacing w:after="0"/>
              <w:rPr>
                <w:sz w:val="20"/>
                <w:szCs w:val="20"/>
                <w:color w:val="auto"/>
              </w:rPr>
            </w:pPr>
            <w:r>
              <w:rPr>
                <w:rFonts w:ascii="Arial" w:cs="Arial" w:eastAsia="Arial" w:hAnsi="Arial"/>
                <w:sz w:val="18"/>
                <w:szCs w:val="18"/>
                <w:b w:val="1"/>
                <w:bCs w:val="1"/>
                <w:color w:val="auto"/>
              </w:rPr>
              <w:t>Interim Unaudited Consolidated Financial Statements</w:t>
            </w:r>
          </w:p>
        </w:tc>
        <w:tc>
          <w:tcPr>
            <w:tcW w:w="1040" w:type="dxa"/>
            <w:vAlign w:val="bottom"/>
          </w:tcPr>
          <w:p>
            <w:pPr>
              <w:spacing w:after="0"/>
              <w:rPr>
                <w:sz w:val="24"/>
                <w:szCs w:val="24"/>
                <w:color w:val="auto"/>
              </w:rPr>
            </w:pP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Consolidated Balance Sheets as of March 31, 2017 (Unaudited) and December 31, 2016</w:t>
            </w:r>
          </w:p>
        </w:tc>
        <w:tc>
          <w:tcPr>
            <w:tcW w:w="1040" w:type="dxa"/>
            <w:vAlign w:val="bottom"/>
          </w:tcPr>
          <w:p>
            <w:pPr>
              <w:jc w:val="right"/>
              <w:spacing w:after="0"/>
              <w:rPr>
                <w:sz w:val="20"/>
                <w:szCs w:val="20"/>
                <w:color w:val="auto"/>
              </w:rPr>
            </w:pPr>
            <w:r>
              <w:rPr>
                <w:rFonts w:ascii="Arial" w:cs="Arial" w:eastAsia="Arial" w:hAnsi="Arial"/>
                <w:sz w:val="18"/>
                <w:szCs w:val="18"/>
                <w:color w:val="auto"/>
              </w:rPr>
              <w:t>F-46</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Consolidated Statements of Operations for the Three Months Ended March 31, 2017 and 2016 (Unaudited)</w:t>
            </w:r>
          </w:p>
        </w:tc>
        <w:tc>
          <w:tcPr>
            <w:tcW w:w="1040" w:type="dxa"/>
            <w:vAlign w:val="bottom"/>
          </w:tcPr>
          <w:p>
            <w:pPr>
              <w:jc w:val="right"/>
              <w:spacing w:after="0"/>
              <w:rPr>
                <w:sz w:val="20"/>
                <w:szCs w:val="20"/>
                <w:color w:val="auto"/>
              </w:rPr>
            </w:pPr>
            <w:r>
              <w:rPr>
                <w:rFonts w:ascii="Arial" w:cs="Arial" w:eastAsia="Arial" w:hAnsi="Arial"/>
                <w:sz w:val="18"/>
                <w:szCs w:val="18"/>
                <w:color w:val="auto"/>
              </w:rPr>
              <w:t>F-47</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Consolidated Schedules of Investments as of March 31, 2017 (Unaudited) and December 31, 2016</w:t>
            </w:r>
          </w:p>
        </w:tc>
        <w:tc>
          <w:tcPr>
            <w:tcW w:w="1040" w:type="dxa"/>
            <w:vAlign w:val="bottom"/>
          </w:tcPr>
          <w:p>
            <w:pPr>
              <w:jc w:val="right"/>
              <w:spacing w:after="0"/>
              <w:rPr>
                <w:sz w:val="20"/>
                <w:szCs w:val="20"/>
                <w:color w:val="auto"/>
              </w:rPr>
            </w:pPr>
            <w:r>
              <w:rPr>
                <w:rFonts w:ascii="Arial" w:cs="Arial" w:eastAsia="Arial" w:hAnsi="Arial"/>
                <w:sz w:val="18"/>
                <w:szCs w:val="18"/>
                <w:color w:val="auto"/>
              </w:rPr>
              <w:t>F-48</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Consolidated Statements of Changes in Net Assets for the Three Months Ended March 31, 2017 and 2016 (Unaudited)</w:t>
            </w:r>
          </w:p>
        </w:tc>
        <w:tc>
          <w:tcPr>
            <w:tcW w:w="1040" w:type="dxa"/>
            <w:vAlign w:val="bottom"/>
          </w:tcPr>
          <w:p>
            <w:pPr>
              <w:jc w:val="right"/>
              <w:spacing w:after="0"/>
              <w:rPr>
                <w:sz w:val="20"/>
                <w:szCs w:val="20"/>
                <w:color w:val="auto"/>
              </w:rPr>
            </w:pPr>
            <w:r>
              <w:rPr>
                <w:rFonts w:ascii="Arial" w:cs="Arial" w:eastAsia="Arial" w:hAnsi="Arial"/>
                <w:sz w:val="18"/>
                <w:szCs w:val="18"/>
                <w:color w:val="auto"/>
              </w:rPr>
              <w:t>F-57</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Consolidated Statements of Cash Flows for the Three Months Ended March 31, 2017 and 2016 (Unaudited)</w:t>
            </w:r>
          </w:p>
        </w:tc>
        <w:tc>
          <w:tcPr>
            <w:tcW w:w="1040" w:type="dxa"/>
            <w:vAlign w:val="bottom"/>
          </w:tcPr>
          <w:p>
            <w:pPr>
              <w:jc w:val="right"/>
              <w:spacing w:after="0"/>
              <w:rPr>
                <w:sz w:val="20"/>
                <w:szCs w:val="20"/>
                <w:color w:val="auto"/>
              </w:rPr>
            </w:pPr>
            <w:r>
              <w:rPr>
                <w:rFonts w:ascii="Arial" w:cs="Arial" w:eastAsia="Arial" w:hAnsi="Arial"/>
                <w:sz w:val="18"/>
                <w:szCs w:val="18"/>
                <w:color w:val="auto"/>
              </w:rPr>
              <w:t>F-58</w:t>
            </w:r>
          </w:p>
        </w:tc>
      </w:tr>
      <w:tr>
        <w:trPr>
          <w:trHeight w:val="230"/>
        </w:trPr>
        <w:tc>
          <w:tcPr>
            <w:tcW w:w="10320" w:type="dxa"/>
            <w:vAlign w:val="bottom"/>
          </w:tcPr>
          <w:p>
            <w:pPr>
              <w:spacing w:after="0"/>
              <w:rPr>
                <w:sz w:val="20"/>
                <w:szCs w:val="20"/>
                <w:color w:val="auto"/>
              </w:rPr>
            </w:pPr>
            <w:r>
              <w:rPr>
                <w:rFonts w:ascii="Arial" w:cs="Arial" w:eastAsia="Arial" w:hAnsi="Arial"/>
                <w:sz w:val="18"/>
                <w:szCs w:val="18"/>
                <w:color w:val="auto"/>
              </w:rPr>
              <w:t>Notes to Consolidated Financial Statements (Unaudited)</w:t>
            </w:r>
          </w:p>
        </w:tc>
        <w:tc>
          <w:tcPr>
            <w:tcW w:w="1040" w:type="dxa"/>
            <w:vAlign w:val="bottom"/>
          </w:tcPr>
          <w:p>
            <w:pPr>
              <w:jc w:val="right"/>
              <w:spacing w:after="0"/>
              <w:rPr>
                <w:sz w:val="20"/>
                <w:szCs w:val="20"/>
                <w:color w:val="auto"/>
              </w:rPr>
            </w:pPr>
            <w:r>
              <w:rPr>
                <w:rFonts w:ascii="Arial" w:cs="Arial" w:eastAsia="Arial" w:hAnsi="Arial"/>
                <w:sz w:val="18"/>
                <w:szCs w:val="18"/>
                <w:color w:val="auto"/>
              </w:rPr>
              <w:t>F-59</w:t>
            </w:r>
          </w:p>
        </w:tc>
      </w:tr>
    </w:tbl>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(2) Exhibits</w:t>
      </w:r>
    </w:p>
    <w:p>
      <w:pPr>
        <w:spacing w:after="0" w:line="256" w:lineRule="exact"/>
        <w:rPr>
          <w:sz w:val="20"/>
          <w:szCs w:val="20"/>
          <w:color w:val="auto"/>
        </w:rPr>
      </w:pPr>
    </w:p>
    <w:p>
      <w:pPr>
        <w:ind w:left="760" w:right="160" w:hanging="759"/>
        <w:spacing w:after="0" w:line="277" w:lineRule="auto"/>
        <w:tabs>
          <w:tab w:leader="none" w:pos="74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Amended and Restated Certificate of Incorporation (incorporated by reference to Exhibit 3.1 to Amendment No. 1 to the Company’s Registration Statement on Form 10 filed on March 14, 2011)</w:t>
      </w:r>
    </w:p>
    <w:p>
      <w:pPr>
        <w:spacing w:after="0" w:line="62" w:lineRule="exact"/>
        <w:rPr>
          <w:sz w:val="20"/>
          <w:szCs w:val="20"/>
          <w:color w:val="auto"/>
        </w:rPr>
      </w:pPr>
    </w:p>
    <w:p>
      <w:pPr>
        <w:ind w:left="760" w:right="540" w:hanging="759"/>
        <w:spacing w:after="0" w:line="277" w:lineRule="auto"/>
        <w:tabs>
          <w:tab w:leader="none" w:pos="74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Certificate of Amendment to Amended and Restated Certificate of Incorporation (incorporated by reference to Exhibit 3.1 to the Company’s Current Report on Form 8-K filed on March 12, 2014)</w:t>
      </w:r>
    </w:p>
    <w:p>
      <w:pPr>
        <w:spacing w:after="0" w:line="62" w:lineRule="exact"/>
        <w:rPr>
          <w:sz w:val="20"/>
          <w:szCs w:val="20"/>
          <w:color w:val="auto"/>
        </w:rPr>
      </w:pPr>
    </w:p>
    <w:p>
      <w:pPr>
        <w:ind w:left="760" w:hanging="759"/>
        <w:spacing w:after="0" w:line="277" w:lineRule="auto"/>
        <w:tabs>
          <w:tab w:leader="none" w:pos="74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8"/>
          <w:szCs w:val="18"/>
          <w:color w:val="auto"/>
        </w:rPr>
        <w:t>Certificate of Change of Registered Agent and/or Registered Office (incorporated by reference to Exhibit 3.1 to the Company’s Quarterly Report on Form 10-Q filed on November 7, 2016)</w:t>
      </w:r>
    </w:p>
    <w:p>
      <w:pPr>
        <w:spacing w:after="0" w:line="62" w:lineRule="exact"/>
        <w:rPr>
          <w:sz w:val="20"/>
          <w:szCs w:val="20"/>
          <w:color w:val="auto"/>
        </w:rPr>
      </w:pPr>
    </w:p>
    <w:p>
      <w:pPr>
        <w:ind w:left="760" w:right="280" w:hanging="752"/>
        <w:spacing w:after="0" w:line="277"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Bylaws of TPG Specialty Lending, Inc., effective as of November 7, 2016 (incorporated by reference to Exhibit 3.2 to the Company’s Quarterly Report on Form 10-Q filed on November 7, 2016)</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00"/>
          </w:cols>
          <w:pgMar w:left="240" w:top="270" w:right="259" w:bottom="1440" w:gutter="0" w:footer="0" w:header="0"/>
        </w:sectPr>
      </w:pPr>
    </w:p>
    <w:bookmarkStart w:id="3" w:name="page4"/>
    <w:bookmarkEnd w:id="3"/>
    <w:p>
      <w:pPr>
        <w:ind w:left="720" w:hanging="712"/>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 applicable</w:t>
      </w:r>
    </w:p>
    <w:p>
      <w:pPr>
        <w:spacing w:after="0" w:line="117" w:lineRule="exact"/>
        <w:rPr>
          <w:sz w:val="20"/>
          <w:szCs w:val="20"/>
          <w:color w:val="auto"/>
        </w:rPr>
      </w:pPr>
    </w:p>
    <w:p>
      <w:pPr>
        <w:ind w:left="720" w:right="160" w:hanging="719"/>
        <w:spacing w:after="0" w:line="277" w:lineRule="auto"/>
        <w:tabs>
          <w:tab w:leader="none" w:pos="700" w:val="left"/>
        </w:tabs>
        <w:rPr>
          <w:sz w:val="20"/>
          <w:szCs w:val="20"/>
          <w:color w:val="auto"/>
        </w:rPr>
      </w:pPr>
      <w:r>
        <w:rPr>
          <w:rFonts w:ascii="Arial" w:cs="Arial" w:eastAsia="Arial" w:hAnsi="Arial"/>
          <w:sz w:val="18"/>
          <w:szCs w:val="18"/>
          <w:color w:val="auto"/>
        </w:rPr>
        <w:t>(d)(1)</w:t>
      </w:r>
      <w:r>
        <w:rPr>
          <w:sz w:val="20"/>
          <w:szCs w:val="20"/>
          <w:color w:val="auto"/>
        </w:rPr>
        <w:tab/>
      </w:r>
      <w:r>
        <w:rPr>
          <w:rFonts w:ascii="Arial" w:cs="Arial" w:eastAsia="Arial" w:hAnsi="Arial"/>
          <w:sz w:val="18"/>
          <w:szCs w:val="18"/>
          <w:color w:val="auto"/>
        </w:rPr>
        <w:t>Form of Subscription Agreement in connection with the Private Offerings (incorporated by reference to Exhibit 4.1 to the Company’s Registration Statement on Form 10 filed on January 14, 2011)</w:t>
      </w:r>
    </w:p>
    <w:p>
      <w:pPr>
        <w:spacing w:after="0" w:line="62" w:lineRule="exact"/>
        <w:rPr>
          <w:sz w:val="20"/>
          <w:szCs w:val="20"/>
          <w:color w:val="auto"/>
        </w:rPr>
      </w:pPr>
    </w:p>
    <w:p>
      <w:pPr>
        <w:ind w:left="720" w:right="260" w:hanging="719"/>
        <w:spacing w:after="0" w:line="277" w:lineRule="auto"/>
        <w:tabs>
          <w:tab w:leader="none" w:pos="700" w:val="left"/>
        </w:tabs>
        <w:rPr>
          <w:sz w:val="20"/>
          <w:szCs w:val="20"/>
          <w:color w:val="auto"/>
        </w:rPr>
      </w:pPr>
      <w:r>
        <w:rPr>
          <w:rFonts w:ascii="Arial" w:cs="Arial" w:eastAsia="Arial" w:hAnsi="Arial"/>
          <w:sz w:val="18"/>
          <w:szCs w:val="18"/>
          <w:color w:val="auto"/>
        </w:rPr>
        <w:t>(d)(2)</w:t>
      </w:r>
      <w:r>
        <w:rPr>
          <w:sz w:val="20"/>
          <w:szCs w:val="20"/>
          <w:color w:val="auto"/>
        </w:rPr>
        <w:tab/>
      </w:r>
      <w:r>
        <w:rPr>
          <w:rFonts w:ascii="Arial" w:cs="Arial" w:eastAsia="Arial" w:hAnsi="Arial"/>
          <w:sz w:val="18"/>
          <w:szCs w:val="18"/>
          <w:color w:val="auto"/>
        </w:rPr>
        <w:t>Form of Common Stock Certificate (incorporated by reference to Exhibit 4.2 to the Company’s Annual Report on Form 10-K filed on March 22, 2012)</w:t>
      </w:r>
    </w:p>
    <w:p>
      <w:pPr>
        <w:spacing w:after="0" w:line="62" w:lineRule="exact"/>
        <w:rPr>
          <w:sz w:val="20"/>
          <w:szCs w:val="20"/>
          <w:color w:val="auto"/>
        </w:rPr>
      </w:pPr>
    </w:p>
    <w:p>
      <w:pPr>
        <w:ind w:left="720" w:right="380" w:hanging="719"/>
        <w:spacing w:after="0" w:line="277" w:lineRule="auto"/>
        <w:tabs>
          <w:tab w:leader="none" w:pos="700" w:val="left"/>
        </w:tabs>
        <w:rPr>
          <w:sz w:val="20"/>
          <w:szCs w:val="20"/>
          <w:color w:val="auto"/>
        </w:rPr>
      </w:pPr>
      <w:r>
        <w:rPr>
          <w:rFonts w:ascii="Arial" w:cs="Arial" w:eastAsia="Arial" w:hAnsi="Arial"/>
          <w:sz w:val="18"/>
          <w:szCs w:val="18"/>
          <w:color w:val="auto"/>
        </w:rPr>
        <w:t>(d)(3)</w:t>
      </w:r>
      <w:r>
        <w:rPr>
          <w:sz w:val="20"/>
          <w:szCs w:val="20"/>
          <w:color w:val="auto"/>
        </w:rPr>
        <w:tab/>
      </w:r>
      <w:r>
        <w:rPr>
          <w:rFonts w:ascii="Arial" w:cs="Arial" w:eastAsia="Arial" w:hAnsi="Arial"/>
          <w:sz w:val="18"/>
          <w:szCs w:val="18"/>
          <w:color w:val="auto"/>
        </w:rPr>
        <w:t>Indenture, dated June 10, 2014, between TPG Specialty Lending, Inc. and Wells Fargo Bank, National Association, as Trustee (incorporated by reference to Exhibit 4.1 to the Company’s Current Report on Form 8-K filed on June 10, 2014)</w:t>
      </w:r>
    </w:p>
    <w:p>
      <w:pPr>
        <w:spacing w:after="0" w:line="62" w:lineRule="exact"/>
        <w:rPr>
          <w:sz w:val="20"/>
          <w:szCs w:val="20"/>
          <w:color w:val="auto"/>
        </w:rPr>
      </w:pPr>
    </w:p>
    <w:p>
      <w:pPr>
        <w:ind w:left="720" w:right="180" w:hanging="719"/>
        <w:spacing w:after="0" w:line="277" w:lineRule="auto"/>
        <w:tabs>
          <w:tab w:leader="none" w:pos="700" w:val="left"/>
        </w:tabs>
        <w:rPr>
          <w:sz w:val="20"/>
          <w:szCs w:val="20"/>
          <w:color w:val="auto"/>
        </w:rPr>
      </w:pPr>
      <w:r>
        <w:rPr>
          <w:rFonts w:ascii="Arial" w:cs="Arial" w:eastAsia="Arial" w:hAnsi="Arial"/>
          <w:sz w:val="18"/>
          <w:szCs w:val="18"/>
          <w:color w:val="auto"/>
        </w:rPr>
        <w:t>(d)(4)</w:t>
      </w:r>
      <w:r>
        <w:rPr>
          <w:sz w:val="20"/>
          <w:szCs w:val="20"/>
          <w:color w:val="auto"/>
        </w:rPr>
        <w:tab/>
      </w:r>
      <w:r>
        <w:rPr>
          <w:rFonts w:ascii="Arial" w:cs="Arial" w:eastAsia="Arial" w:hAnsi="Arial"/>
          <w:sz w:val="18"/>
          <w:szCs w:val="18"/>
          <w:color w:val="auto"/>
        </w:rPr>
        <w:t>Form of 4.50% Convertible Senior Notes Due 2019 (incorporated by reference to Exhibit 4.2 to the Company’s Current Report on Form 8-K filed on June 10, 2014)</w:t>
      </w:r>
    </w:p>
    <w:p>
      <w:pPr>
        <w:spacing w:after="0" w:line="62" w:lineRule="exact"/>
        <w:rPr>
          <w:sz w:val="20"/>
          <w:szCs w:val="20"/>
          <w:color w:val="auto"/>
        </w:rPr>
      </w:pPr>
    </w:p>
    <w:p>
      <w:pPr>
        <w:ind w:left="720" w:right="1000" w:hanging="719"/>
        <w:spacing w:after="0" w:line="308" w:lineRule="auto"/>
        <w:tabs>
          <w:tab w:leader="none" w:pos="700" w:val="left"/>
        </w:tabs>
        <w:rPr>
          <w:sz w:val="20"/>
          <w:szCs w:val="20"/>
          <w:color w:val="auto"/>
        </w:rPr>
      </w:pPr>
      <w:r>
        <w:rPr>
          <w:rFonts w:ascii="Arial" w:cs="Arial" w:eastAsia="Arial" w:hAnsi="Arial"/>
          <w:sz w:val="17"/>
          <w:szCs w:val="17"/>
          <w:color w:val="auto"/>
        </w:rPr>
        <w:t>(d)(5)</w:t>
      </w:r>
      <w:r>
        <w:rPr>
          <w:sz w:val="20"/>
          <w:szCs w:val="20"/>
          <w:color w:val="auto"/>
        </w:rPr>
        <w:tab/>
      </w:r>
      <w:r>
        <w:rPr>
          <w:rFonts w:ascii="Arial" w:cs="Arial" w:eastAsia="Arial" w:hAnsi="Arial"/>
          <w:sz w:val="17"/>
          <w:szCs w:val="17"/>
          <w:color w:val="auto"/>
        </w:rPr>
        <w:t>Indenture, dated as of February 1, 2017, between TPG Specialty Lending, Inc. and Wells Fargo Bank, National Association, as Trustee (incorporated by reference to Exhibit 4.1 to the Company’s Current Report on Form 8-K filed on February 1, 2017)</w:t>
      </w:r>
    </w:p>
    <w:p>
      <w:pPr>
        <w:spacing w:after="0" w:line="38" w:lineRule="exact"/>
        <w:rPr>
          <w:sz w:val="20"/>
          <w:szCs w:val="20"/>
          <w:color w:val="auto"/>
        </w:rPr>
      </w:pPr>
    </w:p>
    <w:p>
      <w:pPr>
        <w:ind w:left="720" w:right="40" w:hanging="719"/>
        <w:spacing w:after="0" w:line="277" w:lineRule="auto"/>
        <w:tabs>
          <w:tab w:leader="none" w:pos="700" w:val="left"/>
        </w:tabs>
        <w:rPr>
          <w:sz w:val="20"/>
          <w:szCs w:val="20"/>
          <w:color w:val="auto"/>
        </w:rPr>
      </w:pPr>
      <w:r>
        <w:rPr>
          <w:rFonts w:ascii="Arial" w:cs="Arial" w:eastAsia="Arial" w:hAnsi="Arial"/>
          <w:sz w:val="18"/>
          <w:szCs w:val="18"/>
          <w:color w:val="auto"/>
        </w:rPr>
        <w:t>(d)(6)</w:t>
      </w:r>
      <w:r>
        <w:rPr>
          <w:sz w:val="20"/>
          <w:szCs w:val="20"/>
          <w:color w:val="auto"/>
        </w:rPr>
        <w:tab/>
      </w:r>
      <w:r>
        <w:rPr>
          <w:rFonts w:ascii="Arial" w:cs="Arial" w:eastAsia="Arial" w:hAnsi="Arial"/>
          <w:sz w:val="18"/>
          <w:szCs w:val="18"/>
          <w:color w:val="auto"/>
        </w:rPr>
        <w:t>Form of 4.50% Convertible Senior Note Due 2022 (incorporated by reference to Exhibit 4.2 to the Company’s Current Report on Form 8-K filed on February 1, 2017)</w:t>
      </w:r>
    </w:p>
    <w:p>
      <w:pPr>
        <w:spacing w:after="0" w:line="62"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(d)(7)</w:t>
      </w:r>
      <w:r>
        <w:rPr>
          <w:sz w:val="20"/>
          <w:szCs w:val="20"/>
          <w:color w:val="auto"/>
        </w:rPr>
        <w:tab/>
      </w:r>
      <w:r>
        <w:rPr>
          <w:rFonts w:ascii="Arial" w:cs="Arial" w:eastAsia="Arial" w:hAnsi="Arial"/>
          <w:sz w:val="17"/>
          <w:szCs w:val="17"/>
          <w:color w:val="auto"/>
        </w:rPr>
        <w:t>Form of Indenture (incorporated by reference to Exhibit (d)(5) to the Company’s Registration Statement on Form N-2 filed on April 16, 2015)</w:t>
      </w:r>
    </w:p>
    <w:p>
      <w:pPr>
        <w:spacing w:after="0" w:line="1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(d)(8)</w:t>
      </w:r>
      <w:r>
        <w:rPr>
          <w:sz w:val="20"/>
          <w:szCs w:val="20"/>
          <w:color w:val="auto"/>
        </w:rPr>
        <w:tab/>
      </w:r>
      <w:r>
        <w:rPr>
          <w:rFonts w:ascii="Arial" w:cs="Arial" w:eastAsia="Arial" w:hAnsi="Arial"/>
          <w:sz w:val="18"/>
          <w:szCs w:val="18"/>
          <w:color w:val="auto"/>
        </w:rPr>
        <w:t>Statement of Eligibility of Trustee on Form T-1 (1)</w:t>
      </w:r>
    </w:p>
    <w:p>
      <w:pPr>
        <w:spacing w:after="0" w:line="117" w:lineRule="exact"/>
        <w:rPr>
          <w:sz w:val="20"/>
          <w:szCs w:val="20"/>
          <w:color w:val="auto"/>
        </w:rPr>
      </w:pPr>
    </w:p>
    <w:p>
      <w:pPr>
        <w:ind w:left="720" w:right="360" w:hanging="719"/>
        <w:spacing w:after="0" w:line="277" w:lineRule="auto"/>
        <w:tabs>
          <w:tab w:leader="none" w:pos="700" w:val="left"/>
        </w:tabs>
        <w:rPr>
          <w:sz w:val="20"/>
          <w:szCs w:val="20"/>
          <w:color w:val="auto"/>
        </w:rPr>
      </w:pPr>
      <w:r>
        <w:rPr>
          <w:rFonts w:ascii="Arial" w:cs="Arial" w:eastAsia="Arial" w:hAnsi="Arial"/>
          <w:sz w:val="18"/>
          <w:szCs w:val="18"/>
          <w:color w:val="auto"/>
        </w:rPr>
        <w:t>(d)(9)</w:t>
      </w:r>
      <w:r>
        <w:rPr>
          <w:sz w:val="20"/>
          <w:szCs w:val="20"/>
          <w:color w:val="auto"/>
        </w:rPr>
        <w:tab/>
      </w:r>
      <w:r>
        <w:rPr>
          <w:rFonts w:ascii="Arial" w:cs="Arial" w:eastAsia="Arial" w:hAnsi="Arial"/>
          <w:sz w:val="18"/>
          <w:szCs w:val="18"/>
          <w:color w:val="auto"/>
        </w:rPr>
        <w:t>Form of Subscription Certificate (incorporated by reference to Exhibit (d)(7) to Pre-Effective Amendment No. 1 to the Company’s Registration Statement on Form N-2 filed on July 25, 2014)</w:t>
      </w:r>
    </w:p>
    <w:p>
      <w:pPr>
        <w:spacing w:after="0" w:line="62" w:lineRule="exact"/>
        <w:rPr>
          <w:sz w:val="20"/>
          <w:szCs w:val="20"/>
          <w:color w:val="auto"/>
        </w:rPr>
      </w:pPr>
    </w:p>
    <w:p>
      <w:pPr>
        <w:ind w:left="720" w:right="140" w:hanging="719"/>
        <w:spacing w:after="0" w:line="277" w:lineRule="auto"/>
        <w:tabs>
          <w:tab w:leader="none" w:pos="700" w:val="left"/>
        </w:tabs>
        <w:rPr>
          <w:sz w:val="20"/>
          <w:szCs w:val="20"/>
          <w:color w:val="auto"/>
        </w:rPr>
      </w:pPr>
      <w:r>
        <w:rPr>
          <w:rFonts w:ascii="Arial" w:cs="Arial" w:eastAsia="Arial" w:hAnsi="Arial"/>
          <w:sz w:val="18"/>
          <w:szCs w:val="18"/>
          <w:color w:val="auto"/>
        </w:rPr>
        <w:t>(d)(10)</w:t>
        <w:tab/>
        <w:t>Indenture, dated as of January 22, 2018, between the Company and Wells Fargo Bank, National Association, as Trustee (incorporated by reference to Exhibit 4.1 to the Company’s Current Report on Form 8-K filed on January 22, 2018)</w:t>
      </w:r>
    </w:p>
    <w:p>
      <w:pPr>
        <w:spacing w:after="0" w:line="62" w:lineRule="exact"/>
        <w:rPr>
          <w:sz w:val="20"/>
          <w:szCs w:val="20"/>
          <w:color w:val="auto"/>
        </w:rPr>
      </w:pPr>
    </w:p>
    <w:p>
      <w:pPr>
        <w:ind w:left="720" w:right="680" w:hanging="719"/>
        <w:spacing w:after="0" w:line="308" w:lineRule="auto"/>
        <w:tabs>
          <w:tab w:leader="none" w:pos="700" w:val="left"/>
        </w:tabs>
        <w:rPr>
          <w:sz w:val="20"/>
          <w:szCs w:val="20"/>
          <w:color w:val="auto"/>
        </w:rPr>
      </w:pPr>
      <w:r>
        <w:rPr>
          <w:rFonts w:ascii="Arial" w:cs="Arial" w:eastAsia="Arial" w:hAnsi="Arial"/>
          <w:sz w:val="17"/>
          <w:szCs w:val="17"/>
          <w:color w:val="auto"/>
        </w:rPr>
        <w:t>(d)(11)</w:t>
        <w:tab/>
        <w:t>First Supplemental Indenture, dated as of January 22, 2018, between the Company and Wells Fargo Bank, National Association, as Trustee (incorporated by reference to Exhibit 4.2 to the Company’s Current Report on Form 8-K filed on January 22, 2018)</w:t>
      </w:r>
    </w:p>
    <w:p>
      <w:pPr>
        <w:spacing w:after="0" w:line="38"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color w:val="auto"/>
        </w:rPr>
        <w:t>(d)(12)</w:t>
        <w:tab/>
        <w:t>Form of 4.50% Note Due 2023 (incorporated by reference to Exhibit 4.3 to the Company’s Current Report on Form 8-K filed on January 22, 2018)</w:t>
      </w:r>
    </w:p>
    <w:p>
      <w:pPr>
        <w:spacing w:after="0" w:line="140" w:lineRule="exact"/>
        <w:rPr>
          <w:sz w:val="20"/>
          <w:szCs w:val="20"/>
          <w:color w:val="auto"/>
        </w:rPr>
      </w:pPr>
    </w:p>
    <w:p>
      <w:pPr>
        <w:ind w:left="720" w:right="340" w:hanging="712"/>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Dividend Reinvestment Plan of TPG Specialty Lending, Inc. (incorporated by reference to Exhibit (e) to Pre-Effective Amendment No. 4 to the Company’s Registration Statement on Form N-2 filed on March 17, 2014)</w:t>
      </w:r>
    </w:p>
    <w:p>
      <w:pPr>
        <w:spacing w:after="0" w:line="62" w:lineRule="exact"/>
        <w:rPr>
          <w:rFonts w:ascii="Arial" w:cs="Arial" w:eastAsia="Arial" w:hAnsi="Arial"/>
          <w:sz w:val="18"/>
          <w:szCs w:val="18"/>
          <w:color w:val="auto"/>
        </w:rPr>
      </w:pPr>
    </w:p>
    <w:p>
      <w:pPr>
        <w:ind w:left="720" w:hanging="712"/>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720" w:right="520" w:hanging="712"/>
        <w:spacing w:after="0" w:line="308" w:lineRule="auto"/>
        <w:tabs>
          <w:tab w:leader="none" w:pos="720" w:val="left"/>
        </w:tabs>
        <w:numPr>
          <w:ilvl w:val="0"/>
          <w:numId w:val="3"/>
        </w:numPr>
        <w:rPr>
          <w:rFonts w:ascii="Arial" w:cs="Arial" w:eastAsia="Arial" w:hAnsi="Arial"/>
          <w:sz w:val="17"/>
          <w:szCs w:val="17"/>
          <w:color w:val="auto"/>
        </w:rPr>
      </w:pPr>
      <w:r>
        <w:rPr>
          <w:rFonts w:ascii="Arial" w:cs="Arial" w:eastAsia="Arial" w:hAnsi="Arial"/>
          <w:sz w:val="17"/>
          <w:szCs w:val="17"/>
          <w:color w:val="auto"/>
        </w:rPr>
        <w:t>Amended and Restated Investment Advisory and Management Agreement, dated December 12, 2011, between the Company and the Adviser (incorporated by reference to Exhibit 10.1 to the Company’s Current Report on Form 8-K filed on December 13, 2011)</w:t>
      </w:r>
    </w:p>
    <w:p>
      <w:pPr>
        <w:spacing w:after="0" w:line="38" w:lineRule="exact"/>
        <w:rPr>
          <w:sz w:val="20"/>
          <w:szCs w:val="20"/>
          <w:color w:val="auto"/>
        </w:rPr>
      </w:pPr>
    </w:p>
    <w:p>
      <w:pPr>
        <w:ind w:left="720" w:right="300" w:hanging="719"/>
        <w:spacing w:after="0" w:line="277" w:lineRule="auto"/>
        <w:tabs>
          <w:tab w:leader="none" w:pos="700" w:val="left"/>
        </w:tabs>
        <w:rPr>
          <w:sz w:val="20"/>
          <w:szCs w:val="20"/>
          <w:color w:val="auto"/>
        </w:rPr>
      </w:pPr>
      <w:r>
        <w:rPr>
          <w:rFonts w:ascii="Arial" w:cs="Arial" w:eastAsia="Arial" w:hAnsi="Arial"/>
          <w:sz w:val="18"/>
          <w:szCs w:val="18"/>
          <w:color w:val="auto"/>
        </w:rPr>
        <w:t>(h)(1)</w:t>
      </w:r>
      <w:r>
        <w:rPr>
          <w:sz w:val="20"/>
          <w:szCs w:val="20"/>
          <w:color w:val="auto"/>
        </w:rPr>
        <w:tab/>
      </w:r>
      <w:r>
        <w:rPr>
          <w:rFonts w:ascii="Arial" w:cs="Arial" w:eastAsia="Arial" w:hAnsi="Arial"/>
          <w:sz w:val="18"/>
          <w:szCs w:val="18"/>
          <w:color w:val="auto"/>
        </w:rPr>
        <w:t>Form of Underwriting Agreement for Equity Securities (incorporated by reference to Exhibit (h)(1) to the Company’s Registration Statement on Form N-2 filed on March 31, 2016)</w:t>
      </w:r>
    </w:p>
    <w:p>
      <w:pPr>
        <w:spacing w:after="0" w:line="62" w:lineRule="exact"/>
        <w:rPr>
          <w:sz w:val="20"/>
          <w:szCs w:val="20"/>
          <w:color w:val="auto"/>
        </w:rPr>
      </w:pPr>
    </w:p>
    <w:p>
      <w:pPr>
        <w:ind w:left="720" w:hanging="719"/>
        <w:spacing w:after="0" w:line="277" w:lineRule="auto"/>
        <w:tabs>
          <w:tab w:leader="none" w:pos="700" w:val="left"/>
        </w:tabs>
        <w:rPr>
          <w:sz w:val="20"/>
          <w:szCs w:val="20"/>
          <w:color w:val="auto"/>
        </w:rPr>
      </w:pPr>
      <w:r>
        <w:rPr>
          <w:rFonts w:ascii="Arial" w:cs="Arial" w:eastAsia="Arial" w:hAnsi="Arial"/>
          <w:sz w:val="18"/>
          <w:szCs w:val="18"/>
          <w:color w:val="auto"/>
        </w:rPr>
        <w:t>(h)(2)</w:t>
      </w:r>
      <w:r>
        <w:rPr>
          <w:sz w:val="20"/>
          <w:szCs w:val="20"/>
          <w:color w:val="auto"/>
        </w:rPr>
        <w:tab/>
      </w:r>
      <w:r>
        <w:rPr>
          <w:rFonts w:ascii="Arial" w:cs="Arial" w:eastAsia="Arial" w:hAnsi="Arial"/>
          <w:sz w:val="18"/>
          <w:szCs w:val="18"/>
          <w:color w:val="auto"/>
        </w:rPr>
        <w:t>Form of Underwriting Agreement for Debt Securities (incorporated by reference to Exhibit (h)(2) to the Company’s Registration Statement on Form N-2 filed on March 31, 2016)</w:t>
      </w:r>
    </w:p>
    <w:p>
      <w:pPr>
        <w:spacing w:after="0" w:line="62"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color w:val="auto"/>
        </w:rPr>
        <w:t>(h)(3)</w:t>
      </w:r>
      <w:r>
        <w:rPr>
          <w:sz w:val="20"/>
          <w:szCs w:val="20"/>
          <w:color w:val="auto"/>
        </w:rPr>
        <w:tab/>
      </w:r>
      <w:r>
        <w:rPr>
          <w:rFonts w:ascii="Arial" w:cs="Arial" w:eastAsia="Arial" w:hAnsi="Arial"/>
          <w:sz w:val="16"/>
          <w:szCs w:val="16"/>
          <w:color w:val="auto"/>
        </w:rPr>
        <w:t>Underwriting Agreement, dated January 17, 2018, between the Company, the Adviser and the several underwriters named in Schedule 1 thereto</w:t>
      </w:r>
    </w:p>
    <w:p>
      <w:pPr>
        <w:spacing w:after="0" w:line="140" w:lineRule="exact"/>
        <w:rPr>
          <w:sz w:val="20"/>
          <w:szCs w:val="20"/>
          <w:color w:val="auto"/>
        </w:rPr>
      </w:pPr>
    </w:p>
    <w:p>
      <w:pPr>
        <w:ind w:left="720" w:hanging="712"/>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720" w:right="140" w:hanging="712"/>
        <w:spacing w:after="0" w:line="27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Custodian Agreement dated November 29, 2012 between TPG Specialty Lending, Inc. and State Street Bank and Trust Company (incorporated by reference to Exhibit 10.1 to the Company’s Current Report on Form 8-K filed on December 4, 2012)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20"/>
          </w:cols>
          <w:pgMar w:left="240" w:top="382" w:right="239" w:bottom="1440" w:gutter="0" w:footer="0" w:header="0"/>
        </w:sectPr>
      </w:pPr>
    </w:p>
    <w:bookmarkStart w:id="4" w:name="page5"/>
    <w:bookmarkEnd w:id="4"/>
    <w:p>
      <w:pPr>
        <w:ind w:left="740" w:right="700" w:hanging="759"/>
        <w:spacing w:after="0" w:line="277" w:lineRule="auto"/>
        <w:tabs>
          <w:tab w:leader="none" w:pos="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(k)(1)</w:t>
      </w:r>
      <w:r>
        <w:rPr>
          <w:sz w:val="20"/>
          <w:szCs w:val="20"/>
          <w:color w:val="auto"/>
        </w:rPr>
        <w:tab/>
      </w:r>
      <w:r>
        <w:rPr>
          <w:rFonts w:ascii="Arial" w:cs="Arial" w:eastAsia="Arial" w:hAnsi="Arial"/>
          <w:sz w:val="18"/>
          <w:szCs w:val="18"/>
          <w:color w:val="auto"/>
        </w:rPr>
        <w:t>Form of Indemnification Agreement between the Company and certain officers and directors (incorporated by reference to Exhibit 10.3 to Amendment No. 1 to the Company’s Registration Statement on Form 10 filed on March 14, 2011)</w:t>
      </w:r>
    </w:p>
    <w:p>
      <w:pPr>
        <w:spacing w:after="0" w:line="62" w:lineRule="exact"/>
        <w:rPr>
          <w:sz w:val="20"/>
          <w:szCs w:val="20"/>
          <w:color w:val="auto"/>
        </w:rPr>
      </w:pPr>
    </w:p>
    <w:p>
      <w:pPr>
        <w:ind w:left="740" w:hanging="759"/>
        <w:spacing w:after="0" w:line="264" w:lineRule="auto"/>
        <w:tabs>
          <w:tab w:leader="none" w:pos="720" w:val="left"/>
        </w:tabs>
        <w:rPr>
          <w:sz w:val="20"/>
          <w:szCs w:val="20"/>
          <w:color w:val="auto"/>
        </w:rPr>
      </w:pPr>
      <w:r>
        <w:rPr>
          <w:rFonts w:ascii="Arial" w:cs="Arial" w:eastAsia="Arial" w:hAnsi="Arial"/>
          <w:sz w:val="18"/>
          <w:szCs w:val="18"/>
          <w:color w:val="auto"/>
        </w:rPr>
        <w:t>(k)(2)</w:t>
      </w:r>
      <w:r>
        <w:rPr>
          <w:sz w:val="20"/>
          <w:szCs w:val="20"/>
          <w:color w:val="auto"/>
        </w:rPr>
        <w:tab/>
      </w:r>
      <w:r>
        <w:rPr>
          <w:rFonts w:ascii="Arial" w:cs="Arial" w:eastAsia="Arial" w:hAnsi="Arial"/>
          <w:sz w:val="18"/>
          <w:szCs w:val="18"/>
          <w:color w:val="auto"/>
        </w:rPr>
        <w:t>Senior Secured Revolving Credit Agreement, dated as of August 23, 2012, among TPG Specialty Lending, Inc., as Borrower, the Lenders Party Hereto and SunTrust Bank, as Administrative Agent, JPMorgan Chase Bank, N.A., as Syndication Agent (incorporated by reference to Exhibit 10.1 to the Company’s Quarterly Report on Form 10-Q filed on November 14, 2012)</w:t>
      </w:r>
    </w:p>
    <w:p>
      <w:pPr>
        <w:spacing w:after="0" w:line="73" w:lineRule="exact"/>
        <w:rPr>
          <w:sz w:val="20"/>
          <w:szCs w:val="20"/>
          <w:color w:val="auto"/>
        </w:rPr>
      </w:pPr>
    </w:p>
    <w:p>
      <w:pPr>
        <w:ind w:left="740" w:right="340" w:hanging="759"/>
        <w:spacing w:after="0" w:line="264" w:lineRule="auto"/>
        <w:tabs>
          <w:tab w:leader="none" w:pos="720" w:val="left"/>
        </w:tabs>
        <w:rPr>
          <w:sz w:val="20"/>
          <w:szCs w:val="20"/>
          <w:color w:val="auto"/>
        </w:rPr>
      </w:pPr>
      <w:r>
        <w:rPr>
          <w:rFonts w:ascii="Arial" w:cs="Arial" w:eastAsia="Arial" w:hAnsi="Arial"/>
          <w:sz w:val="18"/>
          <w:szCs w:val="18"/>
          <w:color w:val="auto"/>
        </w:rPr>
        <w:t>(k)(3)</w:t>
      </w:r>
      <w:r>
        <w:rPr>
          <w:sz w:val="20"/>
          <w:szCs w:val="20"/>
          <w:color w:val="auto"/>
        </w:rPr>
        <w:tab/>
      </w:r>
      <w:r>
        <w:rPr>
          <w:rFonts w:ascii="Arial" w:cs="Arial" w:eastAsia="Arial" w:hAnsi="Arial"/>
          <w:sz w:val="18"/>
          <w:szCs w:val="18"/>
          <w:color w:val="auto"/>
        </w:rPr>
        <w:t>Amended and Restated Senior Secured Revolving Credit Agreement, dated as of July 2, 2013, among TPG Specialty Lending, Inc., the lenders party thereto, SunTrust Bank as administrative agent and JPMorgan Chase Bank N.A. as syndication agent (incorporated by reference to Exhibit 10.1 to the Company’s Current Report on Form 8-K filed on July 9, 2013)</w:t>
      </w:r>
    </w:p>
    <w:p>
      <w:pPr>
        <w:spacing w:after="0" w:line="73" w:lineRule="exact"/>
        <w:rPr>
          <w:sz w:val="20"/>
          <w:szCs w:val="20"/>
          <w:color w:val="auto"/>
        </w:rPr>
      </w:pPr>
    </w:p>
    <w:p>
      <w:pPr>
        <w:ind w:left="740" w:right="120" w:hanging="759"/>
        <w:spacing w:after="0" w:line="286" w:lineRule="auto"/>
        <w:tabs>
          <w:tab w:leader="none" w:pos="720" w:val="left"/>
        </w:tabs>
        <w:rPr>
          <w:sz w:val="20"/>
          <w:szCs w:val="20"/>
          <w:color w:val="auto"/>
        </w:rPr>
      </w:pPr>
      <w:r>
        <w:rPr>
          <w:rFonts w:ascii="Arial" w:cs="Arial" w:eastAsia="Arial" w:hAnsi="Arial"/>
          <w:sz w:val="17"/>
          <w:szCs w:val="17"/>
          <w:color w:val="auto"/>
        </w:rPr>
        <w:t>(k)(4)</w:t>
      </w:r>
      <w:r>
        <w:rPr>
          <w:sz w:val="20"/>
          <w:szCs w:val="20"/>
          <w:color w:val="auto"/>
        </w:rPr>
        <w:tab/>
      </w:r>
      <w:r>
        <w:rPr>
          <w:rFonts w:ascii="Arial" w:cs="Arial" w:eastAsia="Arial" w:hAnsi="Arial"/>
          <w:sz w:val="17"/>
          <w:szCs w:val="17"/>
          <w:color w:val="auto"/>
        </w:rPr>
        <w:t>Second Amended and Restated Senior Secured Credit Agreement, dated February 27, 2014, among TPG Specialty Lending, Inc., as Borrower, the Lenders Party Hereto and SunTrust Bank, as Administrative Agent, and JPMorgan Chase Bank, N.A., as Syndication Agent (incorporated by reference to Exhibit 10.20 to the Company’s Annual Report on Form 10-K filed on March 4, 2014)</w:t>
      </w:r>
    </w:p>
    <w:p>
      <w:pPr>
        <w:spacing w:after="0" w:line="57" w:lineRule="exact"/>
        <w:rPr>
          <w:sz w:val="20"/>
          <w:szCs w:val="20"/>
          <w:color w:val="auto"/>
        </w:rPr>
      </w:pPr>
    </w:p>
    <w:p>
      <w:pPr>
        <w:ind w:left="740" w:right="120" w:hanging="759"/>
        <w:spacing w:after="0" w:line="312" w:lineRule="auto"/>
        <w:tabs>
          <w:tab w:leader="none" w:pos="720" w:val="left"/>
        </w:tabs>
        <w:rPr>
          <w:sz w:val="20"/>
          <w:szCs w:val="20"/>
          <w:color w:val="auto"/>
        </w:rPr>
      </w:pPr>
      <w:r>
        <w:rPr>
          <w:rFonts w:ascii="Arial" w:cs="Arial" w:eastAsia="Arial" w:hAnsi="Arial"/>
          <w:sz w:val="16"/>
          <w:szCs w:val="16"/>
          <w:color w:val="auto"/>
        </w:rPr>
        <w:t>(k)(5)</w:t>
      </w:r>
      <w:r>
        <w:rPr>
          <w:sz w:val="20"/>
          <w:szCs w:val="20"/>
          <w:color w:val="auto"/>
        </w:rPr>
        <w:tab/>
      </w:r>
      <w:r>
        <w:rPr>
          <w:rFonts w:ascii="Arial" w:cs="Arial" w:eastAsia="Arial" w:hAnsi="Arial"/>
          <w:sz w:val="16"/>
          <w:szCs w:val="16"/>
          <w:color w:val="auto"/>
        </w:rPr>
        <w:t>Form of Increase Letter pursuant to the Second Amended and Restated Senior Secured Credit Agreement, dated February 27, 2014, among TPG Specialty Lending, Inc., as Borrower, the Lenders Party Hereto and SunTrust Bank, as Administrative Agent, and JPMorgan Chase Bank, N.A., as Syndication Agent (incorporated by reference to Exhibit 10.3 to the Company’s Quarterly Report on Form 10-Q filed on August 4, 2014)</w:t>
      </w:r>
    </w:p>
    <w:p>
      <w:pPr>
        <w:spacing w:after="0" w:line="39" w:lineRule="exact"/>
        <w:rPr>
          <w:sz w:val="20"/>
          <w:szCs w:val="20"/>
          <w:color w:val="auto"/>
        </w:rPr>
      </w:pPr>
    </w:p>
    <w:p>
      <w:pPr>
        <w:ind w:left="740" w:right="60" w:hanging="759"/>
        <w:spacing w:after="0" w:line="264" w:lineRule="auto"/>
        <w:tabs>
          <w:tab w:leader="none" w:pos="720" w:val="left"/>
        </w:tabs>
        <w:rPr>
          <w:sz w:val="20"/>
          <w:szCs w:val="20"/>
          <w:color w:val="auto"/>
        </w:rPr>
      </w:pPr>
      <w:r>
        <w:rPr>
          <w:rFonts w:ascii="Arial" w:cs="Arial" w:eastAsia="Arial" w:hAnsi="Arial"/>
          <w:sz w:val="18"/>
          <w:szCs w:val="18"/>
          <w:color w:val="auto"/>
        </w:rPr>
        <w:t>(k)(6)</w:t>
      </w:r>
      <w:r>
        <w:rPr>
          <w:sz w:val="20"/>
          <w:szCs w:val="20"/>
          <w:color w:val="auto"/>
        </w:rPr>
        <w:tab/>
      </w:r>
      <w:r>
        <w:rPr>
          <w:rFonts w:ascii="Arial" w:cs="Arial" w:eastAsia="Arial" w:hAnsi="Arial"/>
          <w:sz w:val="18"/>
          <w:szCs w:val="18"/>
          <w:color w:val="auto"/>
        </w:rPr>
        <w:t>First Amendment to the Second Amended and Restated Senior Secured Revolving Credit Agreement, dated June 3, 2014, among TPG Specialty Lending, Inc., as Borrower, the Lenders party thereto and SunTrust Bank, as Administrative Agent and Collateral Agent (incorporated by reference to Exhibit 10.4 to the Company’s Quarterly Report on Form 10-Q filed on August 4, 2014)</w:t>
      </w:r>
    </w:p>
    <w:p>
      <w:pPr>
        <w:spacing w:after="0" w:line="73" w:lineRule="exact"/>
        <w:rPr>
          <w:sz w:val="20"/>
          <w:szCs w:val="20"/>
          <w:color w:val="auto"/>
        </w:rPr>
      </w:pPr>
    </w:p>
    <w:p>
      <w:pPr>
        <w:ind w:left="740" w:right="440" w:hanging="759"/>
        <w:spacing w:after="0" w:line="286" w:lineRule="auto"/>
        <w:tabs>
          <w:tab w:leader="none" w:pos="720" w:val="left"/>
        </w:tabs>
        <w:rPr>
          <w:sz w:val="20"/>
          <w:szCs w:val="20"/>
          <w:color w:val="auto"/>
        </w:rPr>
      </w:pPr>
      <w:r>
        <w:rPr>
          <w:rFonts w:ascii="Arial" w:cs="Arial" w:eastAsia="Arial" w:hAnsi="Arial"/>
          <w:sz w:val="17"/>
          <w:szCs w:val="17"/>
          <w:color w:val="auto"/>
        </w:rPr>
        <w:t>(k)(7)</w:t>
      </w:r>
      <w:r>
        <w:rPr>
          <w:sz w:val="20"/>
          <w:szCs w:val="20"/>
          <w:color w:val="auto"/>
        </w:rPr>
        <w:tab/>
      </w:r>
      <w:r>
        <w:rPr>
          <w:rFonts w:ascii="Arial" w:cs="Arial" w:eastAsia="Arial" w:hAnsi="Arial"/>
          <w:sz w:val="17"/>
          <w:szCs w:val="17"/>
          <w:color w:val="auto"/>
        </w:rPr>
        <w:t>Second Amendment to the Second Amended and Restated Senior Secured Revolving Credit Agreement, dated June 27, 2014, among TPG Specialty Lending, Inc., as Borrower, Morgan Stanley Bank, N.A., as a Lender, and SunTrust Bank, as Administrative Agent (incorporated by reference to Exhibit 10.5 to the Company’s Quarterly Report on Form 10-Q filed on August 4, 2014)</w:t>
      </w:r>
    </w:p>
    <w:p>
      <w:pPr>
        <w:spacing w:after="0" w:line="57" w:lineRule="exact"/>
        <w:rPr>
          <w:sz w:val="20"/>
          <w:szCs w:val="20"/>
          <w:color w:val="auto"/>
        </w:rPr>
      </w:pPr>
    </w:p>
    <w:p>
      <w:pPr>
        <w:ind w:left="740" w:right="140" w:hanging="759"/>
        <w:spacing w:after="0" w:line="264" w:lineRule="auto"/>
        <w:tabs>
          <w:tab w:leader="none" w:pos="720" w:val="left"/>
        </w:tabs>
        <w:rPr>
          <w:sz w:val="20"/>
          <w:szCs w:val="20"/>
          <w:color w:val="auto"/>
        </w:rPr>
      </w:pPr>
      <w:r>
        <w:rPr>
          <w:rFonts w:ascii="Arial" w:cs="Arial" w:eastAsia="Arial" w:hAnsi="Arial"/>
          <w:sz w:val="18"/>
          <w:szCs w:val="18"/>
          <w:color w:val="auto"/>
        </w:rPr>
        <w:t>(k)(8)</w:t>
      </w:r>
      <w:r>
        <w:rPr>
          <w:sz w:val="20"/>
          <w:szCs w:val="20"/>
          <w:color w:val="auto"/>
        </w:rPr>
        <w:tab/>
      </w:r>
      <w:r>
        <w:rPr>
          <w:rFonts w:ascii="Arial" w:cs="Arial" w:eastAsia="Arial" w:hAnsi="Arial"/>
          <w:sz w:val="18"/>
          <w:szCs w:val="18"/>
          <w:color w:val="auto"/>
        </w:rPr>
        <w:t>Third Amendment to the Second Amended and Restated Senior Secured Revolving Credit Agreement, dated October 17, 2014, among TPG Specialty Lending, Inc., as Borrower, the Lenders party thereto and SunTrust Bank, as Administrative Agent (incorporated by reference to Exhibit 10.1 to the Company’s Quarterly Report on Form 10-Q filed on November 3, 2014)</w:t>
      </w:r>
    </w:p>
    <w:p>
      <w:pPr>
        <w:spacing w:after="0" w:line="73" w:lineRule="exact"/>
        <w:rPr>
          <w:sz w:val="20"/>
          <w:szCs w:val="20"/>
          <w:color w:val="auto"/>
        </w:rPr>
      </w:pPr>
    </w:p>
    <w:p>
      <w:pPr>
        <w:jc w:val="both"/>
        <w:ind w:left="740" w:right="100" w:hanging="759"/>
        <w:spacing w:after="0" w:line="264" w:lineRule="auto"/>
        <w:tabs>
          <w:tab w:leader="none" w:pos="720" w:val="left"/>
        </w:tabs>
        <w:rPr>
          <w:sz w:val="20"/>
          <w:szCs w:val="20"/>
          <w:color w:val="auto"/>
        </w:rPr>
      </w:pPr>
      <w:r>
        <w:rPr>
          <w:rFonts w:ascii="Arial" w:cs="Arial" w:eastAsia="Arial" w:hAnsi="Arial"/>
          <w:sz w:val="18"/>
          <w:szCs w:val="18"/>
          <w:color w:val="auto"/>
        </w:rPr>
        <w:t>(k)(9)</w:t>
      </w:r>
      <w:r>
        <w:rPr>
          <w:sz w:val="20"/>
          <w:szCs w:val="20"/>
          <w:color w:val="auto"/>
        </w:rPr>
        <w:tab/>
      </w:r>
      <w:r>
        <w:rPr>
          <w:rFonts w:ascii="Arial" w:cs="Arial" w:eastAsia="Arial" w:hAnsi="Arial"/>
          <w:sz w:val="18"/>
          <w:szCs w:val="18"/>
          <w:color w:val="auto"/>
        </w:rPr>
        <w:t>Fourth Amendment to Second Amended and Restated Senior Secured Revolving Credit Agreement, dated October 2, 2015, among TPG Specialty Lending, Inc., as Borrower, the Lenders party thereto and Suntrust Bank, as Administrative Agent (incorporated by reference to Exhibit 10.1 to the Company’s Quarterly Report on Form 10-Q filed on November 3, 2015)</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00"/>
          </w:cols>
          <w:pgMar w:left="260" w:top="382" w:right="239" w:bottom="1440" w:gutter="0" w:footer="0" w:header="0"/>
        </w:sectPr>
      </w:pPr>
    </w:p>
    <w:bookmarkStart w:id="5" w:name="page6"/>
    <w:bookmarkEnd w:id="5"/>
    <w:p>
      <w:pPr>
        <w:jc w:val="both"/>
        <w:ind w:left="940" w:right="460" w:hanging="939"/>
        <w:spacing w:after="0" w:line="264" w:lineRule="auto"/>
        <w:tabs>
          <w:tab w:leader="none" w:pos="9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(k)(10)</w:t>
      </w:r>
      <w:r>
        <w:rPr>
          <w:sz w:val="20"/>
          <w:szCs w:val="20"/>
          <w:color w:val="auto"/>
        </w:rPr>
        <w:tab/>
      </w:r>
      <w:r>
        <w:rPr>
          <w:rFonts w:ascii="Arial" w:cs="Arial" w:eastAsia="Arial" w:hAnsi="Arial"/>
          <w:sz w:val="18"/>
          <w:szCs w:val="18"/>
          <w:color w:val="auto"/>
        </w:rPr>
        <w:t>Fifth Amendment to Second Amended and Restated Senior Secured Revolving Credit Agreement, dated December 22, 2016, among TPG Specialty Lending, Inc., as Borrower, the Lenders party thereto and SunTrust Bank, as Administrative Agent (incorporated by reference to Exhibit 10.15 to the Company’s Annual Report on Form 10-K filed on February 22, 2017)</w:t>
      </w:r>
    </w:p>
    <w:p>
      <w:pPr>
        <w:spacing w:after="0" w:line="73" w:lineRule="exact"/>
        <w:rPr>
          <w:sz w:val="20"/>
          <w:szCs w:val="20"/>
          <w:color w:val="auto"/>
        </w:rPr>
      </w:pPr>
    </w:p>
    <w:p>
      <w:pPr>
        <w:ind w:left="940" w:right="380" w:hanging="939"/>
        <w:spacing w:after="0" w:line="277" w:lineRule="auto"/>
        <w:tabs>
          <w:tab w:leader="none" w:pos="920" w:val="left"/>
        </w:tabs>
        <w:rPr>
          <w:sz w:val="20"/>
          <w:szCs w:val="20"/>
          <w:color w:val="auto"/>
        </w:rPr>
      </w:pPr>
      <w:r>
        <w:rPr>
          <w:rFonts w:ascii="Arial" w:cs="Arial" w:eastAsia="Arial" w:hAnsi="Arial"/>
          <w:sz w:val="18"/>
          <w:szCs w:val="18"/>
          <w:color w:val="auto"/>
        </w:rPr>
        <w:t>(k)(11)</w:t>
      </w:r>
      <w:r>
        <w:rPr>
          <w:sz w:val="20"/>
          <w:szCs w:val="20"/>
          <w:color w:val="auto"/>
        </w:rPr>
        <w:tab/>
      </w:r>
      <w:r>
        <w:rPr>
          <w:rFonts w:ascii="Arial" w:cs="Arial" w:eastAsia="Arial" w:hAnsi="Arial"/>
          <w:sz w:val="18"/>
          <w:szCs w:val="18"/>
          <w:color w:val="auto"/>
        </w:rPr>
        <w:t>Amended and Restated Administration Agreement, dated as of February 22, 2017, between the Company and the Adviser (incorporated by reference to Exhibit 10.16 to the Company’s Annual Report on Form 10-K filed on February 22, 2017)</w:t>
      </w:r>
    </w:p>
    <w:p>
      <w:pPr>
        <w:spacing w:after="0" w:line="6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(l)(1)</w:t>
      </w:r>
      <w:r>
        <w:rPr>
          <w:sz w:val="20"/>
          <w:szCs w:val="20"/>
          <w:color w:val="auto"/>
        </w:rPr>
        <w:tab/>
      </w:r>
      <w:r>
        <w:rPr>
          <w:rFonts w:ascii="Arial" w:cs="Arial" w:eastAsia="Arial" w:hAnsi="Arial"/>
          <w:sz w:val="18"/>
          <w:szCs w:val="18"/>
          <w:color w:val="auto"/>
        </w:rPr>
        <w:t>Opinion and Consent of Cleary Gottlieb Steen &amp; Hamilton LLP, dated April 7, 2017 (1)</w:t>
      </w:r>
    </w:p>
    <w:p>
      <w:pPr>
        <w:spacing w:after="0" w:line="11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Opinion and Consent of Cleary Gottlieb Steen &amp; Hamilton LLP, dated January 22, 2018</w:t>
      </w:r>
    </w:p>
    <w:p>
      <w:pPr>
        <w:spacing w:after="0" w:line="117" w:lineRule="exact"/>
        <w:rPr>
          <w:sz w:val="20"/>
          <w:szCs w:val="20"/>
          <w:color w:val="auto"/>
        </w:rPr>
      </w:pPr>
    </w:p>
    <w:p>
      <w:pPr>
        <w:ind w:left="940" w:hanging="932"/>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(n)(1)</w:t>
      </w:r>
      <w:r>
        <w:rPr>
          <w:sz w:val="20"/>
          <w:szCs w:val="20"/>
          <w:color w:val="auto"/>
        </w:rPr>
        <w:tab/>
      </w:r>
      <w:r>
        <w:rPr>
          <w:rFonts w:ascii="Arial" w:cs="Arial" w:eastAsia="Arial" w:hAnsi="Arial"/>
          <w:sz w:val="18"/>
          <w:szCs w:val="18"/>
          <w:color w:val="auto"/>
        </w:rPr>
        <w:t>Consent of Cleary Gottlieb Steen &amp; Hamilton LLP, dated April 7, 2017 (1)</w:t>
      </w:r>
    </w:p>
    <w:p>
      <w:pPr>
        <w:spacing w:after="0" w:line="11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(n)(2)</w:t>
      </w:r>
      <w:r>
        <w:rPr>
          <w:sz w:val="20"/>
          <w:szCs w:val="20"/>
          <w:color w:val="auto"/>
        </w:rPr>
        <w:tab/>
      </w:r>
      <w:r>
        <w:rPr>
          <w:rFonts w:ascii="Arial" w:cs="Arial" w:eastAsia="Arial" w:hAnsi="Arial"/>
          <w:sz w:val="18"/>
          <w:szCs w:val="18"/>
          <w:color w:val="auto"/>
        </w:rPr>
        <w:t>Consent of KPMG LLP, dated May 19, 2017 (1)</w:t>
      </w:r>
    </w:p>
    <w:p>
      <w:pPr>
        <w:spacing w:after="0" w:line="11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(n)(3)</w:t>
      </w:r>
      <w:r>
        <w:rPr>
          <w:sz w:val="20"/>
          <w:szCs w:val="20"/>
          <w:color w:val="auto"/>
        </w:rPr>
        <w:tab/>
      </w:r>
      <w:r>
        <w:rPr>
          <w:rFonts w:ascii="Arial" w:cs="Arial" w:eastAsia="Arial" w:hAnsi="Arial"/>
          <w:sz w:val="18"/>
          <w:szCs w:val="18"/>
          <w:color w:val="auto"/>
        </w:rPr>
        <w:t>Report of KPMG LLP, dated April 7, 2017 (1)</w:t>
      </w:r>
    </w:p>
    <w:p>
      <w:pPr>
        <w:spacing w:after="0" w:line="11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(n)(4)</w:t>
      </w:r>
      <w:r>
        <w:rPr>
          <w:sz w:val="20"/>
          <w:szCs w:val="20"/>
          <w:color w:val="auto"/>
        </w:rPr>
        <w:tab/>
      </w:r>
      <w:r>
        <w:rPr>
          <w:rFonts w:ascii="Arial" w:cs="Arial" w:eastAsia="Arial" w:hAnsi="Arial"/>
          <w:sz w:val="18"/>
          <w:szCs w:val="18"/>
          <w:color w:val="auto"/>
        </w:rPr>
        <w:t>Consent of Cleary Gottlieb Steen &amp; Hamilton LLP, dated January 22, 2018 (included in Exhibit (1)(2))</w:t>
      </w:r>
    </w:p>
    <w:p>
      <w:pPr>
        <w:spacing w:after="0" w:line="117" w:lineRule="exact"/>
        <w:rPr>
          <w:sz w:val="20"/>
          <w:szCs w:val="20"/>
          <w:color w:val="auto"/>
        </w:rPr>
      </w:pPr>
    </w:p>
    <w:p>
      <w:pPr>
        <w:ind w:left="940" w:hanging="932"/>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940" w:hanging="932"/>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940" w:hanging="932"/>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(r)(1)</w:t>
            </w:r>
          </w:p>
        </w:tc>
        <w:tc>
          <w:tcPr>
            <w:tcW w:w="10680" w:type="dxa"/>
            <w:vAlign w:val="bottom"/>
          </w:tcPr>
          <w:p>
            <w:pPr>
              <w:ind w:left="280"/>
              <w:spacing w:after="0"/>
              <w:rPr>
                <w:sz w:val="20"/>
                <w:szCs w:val="20"/>
                <w:color w:val="auto"/>
              </w:rPr>
            </w:pPr>
            <w:r>
              <w:rPr>
                <w:rFonts w:ascii="Arial" w:cs="Arial" w:eastAsia="Arial" w:hAnsi="Arial"/>
                <w:sz w:val="18"/>
                <w:szCs w:val="18"/>
                <w:color w:val="auto"/>
                <w:w w:val="91"/>
              </w:rPr>
              <w:t>Code of Ethics of TPG Specialty Lending, Inc. (incorporated by reference to Exhibit (r)(1) to Pre-Effective Amendment No. 4 to the Company’s</w:t>
            </w:r>
          </w:p>
        </w:tc>
      </w:tr>
      <w:tr>
        <w:trPr>
          <w:trHeight w:val="230"/>
        </w:trPr>
        <w:tc>
          <w:tcPr>
            <w:tcW w:w="660" w:type="dxa"/>
            <w:vAlign w:val="bottom"/>
          </w:tcPr>
          <w:p>
            <w:pPr>
              <w:spacing w:after="0"/>
              <w:rPr>
                <w:sz w:val="20"/>
                <w:szCs w:val="20"/>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rPr>
              <w:t>Registration Statement on Form N-2 filed on March 17, 2014)</w:t>
            </w:r>
          </w:p>
        </w:tc>
      </w:tr>
      <w:tr>
        <w:trPr>
          <w:trHeight w:val="310"/>
        </w:trPr>
        <w:tc>
          <w:tcPr>
            <w:tcW w:w="660" w:type="dxa"/>
            <w:vAlign w:val="bottom"/>
          </w:tcPr>
          <w:p>
            <w:pPr>
              <w:spacing w:after="0"/>
              <w:rPr>
                <w:sz w:val="20"/>
                <w:szCs w:val="20"/>
                <w:color w:val="auto"/>
              </w:rPr>
            </w:pPr>
            <w:r>
              <w:rPr>
                <w:rFonts w:ascii="Arial" w:cs="Arial" w:eastAsia="Arial" w:hAnsi="Arial"/>
                <w:sz w:val="18"/>
                <w:szCs w:val="18"/>
                <w:color w:val="auto"/>
              </w:rPr>
              <w:t>(r)(2)</w:t>
            </w:r>
          </w:p>
        </w:tc>
        <w:tc>
          <w:tcPr>
            <w:tcW w:w="10680" w:type="dxa"/>
            <w:vAlign w:val="bottom"/>
          </w:tcPr>
          <w:p>
            <w:pPr>
              <w:ind w:left="280"/>
              <w:spacing w:after="0"/>
              <w:rPr>
                <w:sz w:val="20"/>
                <w:szCs w:val="20"/>
                <w:color w:val="auto"/>
              </w:rPr>
            </w:pPr>
            <w:r>
              <w:rPr>
                <w:rFonts w:ascii="Arial" w:cs="Arial" w:eastAsia="Arial" w:hAnsi="Arial"/>
                <w:sz w:val="18"/>
                <w:szCs w:val="18"/>
                <w:color w:val="auto"/>
                <w:w w:val="98"/>
              </w:rPr>
              <w:t>Code of Ethics of TSL Advisers, LLC (incorporated by reference to Exhibit (r)(2) to Pre-Effective Amendment No. 4 to the Company’s</w:t>
            </w:r>
          </w:p>
        </w:tc>
      </w:tr>
      <w:tr>
        <w:trPr>
          <w:trHeight w:val="230"/>
        </w:trPr>
        <w:tc>
          <w:tcPr>
            <w:tcW w:w="660" w:type="dxa"/>
            <w:vAlign w:val="bottom"/>
          </w:tcPr>
          <w:p>
            <w:pPr>
              <w:spacing w:after="0"/>
              <w:rPr>
                <w:sz w:val="20"/>
                <w:szCs w:val="20"/>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rPr>
              <w:t>Registration Statement on Form N-2 filed on March 17, 2014)</w:t>
            </w:r>
          </w:p>
        </w:tc>
      </w:tr>
      <w:tr>
        <w:trPr>
          <w:trHeight w:val="310"/>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10680" w:type="dxa"/>
            <w:vAlign w:val="bottom"/>
          </w:tcPr>
          <w:p>
            <w:pPr>
              <w:ind w:left="280"/>
              <w:spacing w:after="0"/>
              <w:rPr>
                <w:sz w:val="20"/>
                <w:szCs w:val="20"/>
                <w:color w:val="auto"/>
              </w:rPr>
            </w:pPr>
            <w:r>
              <w:rPr>
                <w:rFonts w:ascii="Arial" w:cs="Arial" w:eastAsia="Arial" w:hAnsi="Arial"/>
                <w:sz w:val="18"/>
                <w:szCs w:val="18"/>
                <w:color w:val="auto"/>
                <w:w w:val="98"/>
              </w:rPr>
              <w:t>Form of Preliminary Prospectus Supplement For Common Stock Offerings (incorporated by reference to Exhibit 99.1 to Pre-Effective</w:t>
            </w:r>
          </w:p>
        </w:tc>
      </w:tr>
      <w:tr>
        <w:trPr>
          <w:trHeight w:val="230"/>
        </w:trPr>
        <w:tc>
          <w:tcPr>
            <w:tcW w:w="660" w:type="dxa"/>
            <w:vAlign w:val="bottom"/>
          </w:tcPr>
          <w:p>
            <w:pPr>
              <w:spacing w:after="0"/>
              <w:rPr>
                <w:sz w:val="20"/>
                <w:szCs w:val="20"/>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rPr>
              <w:t>Amendment No. 1 to the Company’s Registration Statement on Form N-2 filed on July 25, 2014)</w:t>
            </w:r>
          </w:p>
        </w:tc>
      </w:tr>
      <w:tr>
        <w:trPr>
          <w:trHeight w:val="310"/>
        </w:trPr>
        <w:tc>
          <w:tcPr>
            <w:tcW w:w="660" w:type="dxa"/>
            <w:vAlign w:val="bottom"/>
          </w:tcPr>
          <w:p>
            <w:pPr>
              <w:spacing w:after="0"/>
              <w:rPr>
                <w:sz w:val="20"/>
                <w:szCs w:val="20"/>
                <w:color w:val="auto"/>
              </w:rPr>
            </w:pPr>
            <w:r>
              <w:rPr>
                <w:rFonts w:ascii="Arial" w:cs="Arial" w:eastAsia="Arial" w:hAnsi="Arial"/>
                <w:sz w:val="18"/>
                <w:szCs w:val="18"/>
                <w:color w:val="auto"/>
              </w:rPr>
              <w:t>99.2</w:t>
            </w:r>
          </w:p>
        </w:tc>
        <w:tc>
          <w:tcPr>
            <w:tcW w:w="10680" w:type="dxa"/>
            <w:vAlign w:val="bottom"/>
          </w:tcPr>
          <w:p>
            <w:pPr>
              <w:ind w:left="280"/>
              <w:spacing w:after="0"/>
              <w:rPr>
                <w:sz w:val="20"/>
                <w:szCs w:val="20"/>
                <w:color w:val="auto"/>
              </w:rPr>
            </w:pPr>
            <w:r>
              <w:rPr>
                <w:rFonts w:ascii="Arial" w:cs="Arial" w:eastAsia="Arial" w:hAnsi="Arial"/>
                <w:sz w:val="18"/>
                <w:szCs w:val="18"/>
                <w:color w:val="auto"/>
                <w:w w:val="98"/>
              </w:rPr>
              <w:t>Form of Preliminary Prospectus Supplement For Preferred Stock Offerings (incorporated by reference to Exhibit 99.2 to Pre-Effective</w:t>
            </w:r>
          </w:p>
        </w:tc>
      </w:tr>
      <w:tr>
        <w:trPr>
          <w:trHeight w:val="230"/>
        </w:trPr>
        <w:tc>
          <w:tcPr>
            <w:tcW w:w="660" w:type="dxa"/>
            <w:vAlign w:val="bottom"/>
          </w:tcPr>
          <w:p>
            <w:pPr>
              <w:spacing w:after="0"/>
              <w:rPr>
                <w:sz w:val="20"/>
                <w:szCs w:val="20"/>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rPr>
              <w:t>Amendment No. 1 to the Company’s Registration Statement on Form N-2 filed on July 25, 2014)</w:t>
            </w:r>
          </w:p>
        </w:tc>
      </w:tr>
      <w:tr>
        <w:trPr>
          <w:trHeight w:val="310"/>
        </w:trPr>
        <w:tc>
          <w:tcPr>
            <w:tcW w:w="660" w:type="dxa"/>
            <w:vAlign w:val="bottom"/>
          </w:tcPr>
          <w:p>
            <w:pPr>
              <w:spacing w:after="0"/>
              <w:rPr>
                <w:sz w:val="20"/>
                <w:szCs w:val="20"/>
                <w:color w:val="auto"/>
              </w:rPr>
            </w:pPr>
            <w:r>
              <w:rPr>
                <w:rFonts w:ascii="Arial" w:cs="Arial" w:eastAsia="Arial" w:hAnsi="Arial"/>
                <w:sz w:val="18"/>
                <w:szCs w:val="18"/>
                <w:color w:val="auto"/>
              </w:rPr>
              <w:t>99.3</w:t>
            </w:r>
          </w:p>
        </w:tc>
        <w:tc>
          <w:tcPr>
            <w:tcW w:w="10680" w:type="dxa"/>
            <w:vAlign w:val="bottom"/>
          </w:tcPr>
          <w:p>
            <w:pPr>
              <w:ind w:left="280"/>
              <w:spacing w:after="0"/>
              <w:rPr>
                <w:sz w:val="20"/>
                <w:szCs w:val="20"/>
                <w:color w:val="auto"/>
              </w:rPr>
            </w:pPr>
            <w:r>
              <w:rPr>
                <w:rFonts w:ascii="Arial" w:cs="Arial" w:eastAsia="Arial" w:hAnsi="Arial"/>
                <w:sz w:val="18"/>
                <w:szCs w:val="18"/>
                <w:color w:val="auto"/>
                <w:w w:val="98"/>
              </w:rPr>
              <w:t>Form of Preliminary Prospectus Supplement For Debt Securities Offerings (incorporated by reference to Exhibit 99.3 to Pre-Effective</w:t>
            </w:r>
          </w:p>
        </w:tc>
      </w:tr>
      <w:tr>
        <w:trPr>
          <w:trHeight w:val="230"/>
        </w:trPr>
        <w:tc>
          <w:tcPr>
            <w:tcW w:w="660" w:type="dxa"/>
            <w:vAlign w:val="bottom"/>
          </w:tcPr>
          <w:p>
            <w:pPr>
              <w:spacing w:after="0"/>
              <w:rPr>
                <w:sz w:val="20"/>
                <w:szCs w:val="20"/>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rPr>
              <w:t>Amendment No. 1 to the Company’s Registration Statement on Form N-2 filed on July 25, 2014)</w:t>
            </w:r>
          </w:p>
        </w:tc>
      </w:tr>
      <w:tr>
        <w:trPr>
          <w:trHeight w:val="310"/>
        </w:trPr>
        <w:tc>
          <w:tcPr>
            <w:tcW w:w="660" w:type="dxa"/>
            <w:vAlign w:val="bottom"/>
          </w:tcPr>
          <w:p>
            <w:pPr>
              <w:spacing w:after="0"/>
              <w:rPr>
                <w:sz w:val="20"/>
                <w:szCs w:val="20"/>
                <w:color w:val="auto"/>
              </w:rPr>
            </w:pPr>
            <w:r>
              <w:rPr>
                <w:rFonts w:ascii="Arial" w:cs="Arial" w:eastAsia="Arial" w:hAnsi="Arial"/>
                <w:sz w:val="18"/>
                <w:szCs w:val="18"/>
                <w:color w:val="auto"/>
              </w:rPr>
              <w:t>99.4</w:t>
            </w:r>
          </w:p>
        </w:tc>
        <w:tc>
          <w:tcPr>
            <w:tcW w:w="10680" w:type="dxa"/>
            <w:vAlign w:val="bottom"/>
          </w:tcPr>
          <w:p>
            <w:pPr>
              <w:ind w:left="280"/>
              <w:spacing w:after="0"/>
              <w:rPr>
                <w:sz w:val="20"/>
                <w:szCs w:val="20"/>
                <w:color w:val="auto"/>
              </w:rPr>
            </w:pPr>
            <w:r>
              <w:rPr>
                <w:rFonts w:ascii="Arial" w:cs="Arial" w:eastAsia="Arial" w:hAnsi="Arial"/>
                <w:sz w:val="18"/>
                <w:szCs w:val="18"/>
                <w:color w:val="auto"/>
                <w:w w:val="91"/>
              </w:rPr>
              <w:t>Form of Preliminary Prospectus Supplement For Rights Offerings (incorporated by reference to Exhibit 99.4 to Pre-Effective Amendment No. 1</w:t>
            </w:r>
          </w:p>
        </w:tc>
      </w:tr>
      <w:tr>
        <w:trPr>
          <w:trHeight w:val="230"/>
        </w:trPr>
        <w:tc>
          <w:tcPr>
            <w:tcW w:w="660" w:type="dxa"/>
            <w:vAlign w:val="bottom"/>
          </w:tcPr>
          <w:p>
            <w:pPr>
              <w:spacing w:after="0"/>
              <w:rPr>
                <w:sz w:val="20"/>
                <w:szCs w:val="20"/>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rPr>
              <w:t>to the Company’s Registration Statement on Form N-2 filed on July 25, 2014)</w:t>
            </w:r>
          </w:p>
        </w:tc>
      </w:tr>
      <w:tr>
        <w:trPr>
          <w:trHeight w:val="365"/>
        </w:trPr>
        <w:tc>
          <w:tcPr>
            <w:tcW w:w="660" w:type="dxa"/>
            <w:vAlign w:val="bottom"/>
          </w:tcPr>
          <w:p>
            <w:pPr>
              <w:spacing w:after="0"/>
              <w:rPr>
                <w:sz w:val="24"/>
                <w:szCs w:val="24"/>
                <w:color w:val="auto"/>
              </w:rPr>
            </w:pPr>
          </w:p>
        </w:tc>
        <w:tc>
          <w:tcPr>
            <w:tcW w:w="10680" w:type="dxa"/>
            <w:vAlign w:val="bottom"/>
          </w:tcPr>
          <w:p>
            <w:pPr>
              <w:ind w:left="4920"/>
              <w:spacing w:after="0"/>
              <w:rPr>
                <w:sz w:val="20"/>
                <w:szCs w:val="20"/>
                <w:color w:val="auto"/>
              </w:rPr>
            </w:pPr>
            <w:r>
              <w:rPr>
                <w:rFonts w:ascii="Arial" w:cs="Arial" w:eastAsia="Arial" w:hAnsi="Arial"/>
                <w:sz w:val="18"/>
                <w:szCs w:val="18"/>
                <w:color w:val="auto"/>
              </w:rPr>
              <w:t>C-4</w:t>
            </w:r>
          </w:p>
        </w:tc>
      </w:tr>
    </w:tbl>
    <w:p>
      <w:pPr>
        <w:sectPr>
          <w:pgSz w:w="11900" w:h="16838" w:orient="portrait"/>
          <w:cols w:equalWidth="0" w:num="1">
            <w:col w:w="11340"/>
          </w:cols>
          <w:pgMar w:left="240" w:top="382" w:right="319" w:bottom="1440" w:gutter="0" w:footer="0" w:header="0"/>
        </w:sectPr>
      </w:pPr>
    </w:p>
    <w:bookmarkStart w:id="6" w:name="page7"/>
    <w:bookmarkEnd w:id="6"/>
    <w:p>
      <w:pPr>
        <w:ind w:left="700" w:hanging="688"/>
        <w:spacing w:after="0" w:line="277" w:lineRule="auto"/>
        <w:tabs>
          <w:tab w:leader="none" w:pos="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99.5</w:t>
      </w:r>
      <w:r>
        <w:rPr>
          <w:sz w:val="20"/>
          <w:szCs w:val="20"/>
          <w:color w:val="auto"/>
        </w:rPr>
        <w:tab/>
      </w:r>
      <w:r>
        <w:rPr>
          <w:rFonts w:ascii="Arial" w:cs="Arial" w:eastAsia="Arial" w:hAnsi="Arial"/>
          <w:sz w:val="18"/>
          <w:szCs w:val="18"/>
          <w:color w:val="auto"/>
        </w:rPr>
        <w:t>Form of Preliminary Prospectus Supplement For Warrant Offerings (incorporated by reference to Exhibit 99.5 to Pre-Effective Amendment No. 1 to the Company’s Registration Statement on Form N-2 filed on July 25, 2014)</w:t>
      </w:r>
    </w:p>
    <w:p>
      <w:pPr>
        <w:spacing w:after="0" w:line="6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99.6</w:t>
      </w:r>
      <w:r>
        <w:rPr>
          <w:sz w:val="20"/>
          <w:szCs w:val="20"/>
          <w:color w:val="auto"/>
        </w:rPr>
        <w:tab/>
      </w:r>
      <w:r>
        <w:rPr>
          <w:rFonts w:ascii="Arial" w:cs="Arial" w:eastAsia="Arial" w:hAnsi="Arial"/>
          <w:sz w:val="16"/>
          <w:szCs w:val="16"/>
          <w:color w:val="auto"/>
        </w:rPr>
        <w:t>Statement of Computation of Ratio of Earnings to Fixed Charges (1)</w:t>
      </w:r>
    </w:p>
    <w:p>
      <w:pPr>
        <w:spacing w:after="0" w:line="252"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Previously filed as an exhibit to this registration statement.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26. Marketing Arrangements</w:t>
      </w:r>
    </w:p>
    <w:p>
      <w:pPr>
        <w:spacing w:after="0" w:line="121" w:lineRule="exact"/>
        <w:rPr>
          <w:sz w:val="20"/>
          <w:szCs w:val="20"/>
          <w:color w:val="auto"/>
        </w:rPr>
      </w:pPr>
    </w:p>
    <w:p>
      <w:pPr>
        <w:ind w:right="220" w:firstLine="913"/>
        <w:spacing w:after="0" w:line="308" w:lineRule="auto"/>
        <w:rPr>
          <w:sz w:val="20"/>
          <w:szCs w:val="20"/>
          <w:color w:val="auto"/>
        </w:rPr>
      </w:pPr>
      <w:r>
        <w:rPr>
          <w:rFonts w:ascii="Arial" w:cs="Arial" w:eastAsia="Arial" w:hAnsi="Arial"/>
          <w:sz w:val="17"/>
          <w:szCs w:val="17"/>
          <w:color w:val="auto"/>
        </w:rPr>
        <w:t>The information contained under the heading “Plan of Distribution” in this Registration Statement is incorporated herein by reference and any information concerning any underwriters for a particular offering will be contained in the prospectus supplement related to that offering.</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Item 27. Other Expenses of Issuance and Distribution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40" w:type="dxa"/>
            <w:vAlign w:val="bottom"/>
            <w:vMerge w:val="restart"/>
          </w:tcPr>
          <w:p>
            <w:pPr>
              <w:spacing w:after="0"/>
              <w:rPr>
                <w:sz w:val="21"/>
                <w:szCs w:val="21"/>
                <w:color w:val="auto"/>
              </w:rPr>
            </w:pPr>
          </w:p>
        </w:tc>
        <w:tc>
          <w:tcPr>
            <w:tcW w:w="6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86,925*</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FINRA filing fee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6"/>
              </w:rPr>
              <w:t>113,000**</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NYSE listing fee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100,000(1)</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Printing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50,000(1)</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300,000(1)</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40,000(1)</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10,075(1)</w:t>
            </w: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680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700,000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These amounts are estimates.</w:t>
      </w:r>
    </w:p>
    <w:p>
      <w:pPr>
        <w:spacing w:after="0" w:line="23" w:lineRule="exact"/>
        <w:rPr>
          <w:sz w:val="20"/>
          <w:szCs w:val="20"/>
          <w:color w:val="auto"/>
        </w:rPr>
      </w:pPr>
    </w:p>
    <w:p>
      <w:pPr>
        <w:ind w:right="460" w:firstLine="8"/>
        <w:spacing w:after="0" w:line="323" w:lineRule="auto"/>
        <w:tabs>
          <w:tab w:leader="none" w:pos="446" w:val="left"/>
        </w:tabs>
        <w:numPr>
          <w:ilvl w:val="0"/>
          <w:numId w:val="9"/>
        </w:numPr>
        <w:rPr>
          <w:rFonts w:ascii="Arial" w:cs="Arial" w:eastAsia="Arial" w:hAnsi="Arial"/>
          <w:sz w:val="16"/>
          <w:szCs w:val="16"/>
          <w:color w:val="auto"/>
        </w:rPr>
      </w:pPr>
      <w:r>
        <w:rPr>
          <w:rFonts w:ascii="Arial" w:cs="Arial" w:eastAsia="Arial" w:hAnsi="Arial"/>
          <w:sz w:val="16"/>
          <w:szCs w:val="16"/>
          <w:color w:val="auto"/>
        </w:rPr>
        <w:t>$77,609.98 of this amount has been offset against filing fees associated with unsold securities registered under a previous registration statement. ** $101,185.00 of this amount has been offset against filing fees associated with unsold securities registered under a previous registration statement.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28. Persons Controlled by or Under Common Control</w:t>
      </w:r>
    </w:p>
    <w:p>
      <w:pPr>
        <w:spacing w:after="0" w:line="121"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The information contained under the headings “The Company,” “Management,” “Related-Party Transactions and Certain Relationships” and “Control Persons and Principal Stockholders” in this Registration Statement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29. Number of Holders of Securities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sets forth the approximate number of record holders of our common stock as of May 15, 2017.</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3040" w:type="dxa"/>
            <w:vAlign w:val="bottom"/>
            <w:gridSpan w:val="2"/>
          </w:tcPr>
          <w:p>
            <w:pPr>
              <w:spacing w:after="0"/>
              <w:rPr>
                <w:sz w:val="20"/>
                <w:szCs w:val="20"/>
                <w:color w:val="auto"/>
              </w:rPr>
            </w:pPr>
            <w:r>
              <w:rPr>
                <w:rFonts w:ascii="Arial" w:cs="Arial" w:eastAsia="Arial" w:hAnsi="Arial"/>
                <w:sz w:val="14"/>
                <w:szCs w:val="14"/>
                <w:b w:val="1"/>
                <w:bCs w:val="1"/>
                <w:color w:val="auto"/>
              </w:rPr>
              <w:t>Title of Class</w:t>
            </w:r>
          </w:p>
        </w:tc>
        <w:tc>
          <w:tcPr>
            <w:tcW w:w="47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Number of Record Holders</w:t>
            </w:r>
          </w:p>
        </w:tc>
      </w:tr>
      <w:tr>
        <w:trPr>
          <w:trHeight w:val="20"/>
        </w:trPr>
        <w:tc>
          <w:tcPr>
            <w:tcW w:w="800" w:type="dxa"/>
            <w:vAlign w:val="bottom"/>
            <w:tcBorders>
              <w:bottom w:val="single" w:sz="8" w:color="CCEEFF"/>
            </w:tcBorders>
            <w:shd w:val="clear" w:color="auto" w:fill="000000"/>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3"/>
        </w:trPr>
        <w:tc>
          <w:tcPr>
            <w:tcW w:w="30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Common Stock, $0.01 par value</w:t>
            </w:r>
          </w:p>
        </w:tc>
        <w:tc>
          <w:tcPr>
            <w:tcW w:w="29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7"/>
                <w:szCs w:val="17"/>
                <w:color w:val="auto"/>
              </w:rPr>
            </w:pPr>
          </w:p>
        </w:tc>
      </w:tr>
      <w:tr>
        <w:trPr>
          <w:trHeight w:val="365"/>
        </w:trPr>
        <w:tc>
          <w:tcPr>
            <w:tcW w:w="8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720" w:type="dxa"/>
            <w:vAlign w:val="bottom"/>
            <w:gridSpan w:val="3"/>
          </w:tcPr>
          <w:p>
            <w:pPr>
              <w:ind w:left="700"/>
              <w:spacing w:after="0"/>
              <w:rPr>
                <w:sz w:val="20"/>
                <w:szCs w:val="20"/>
                <w:color w:val="auto"/>
              </w:rPr>
            </w:pPr>
            <w:r>
              <w:rPr>
                <w:rFonts w:ascii="Arial" w:cs="Arial" w:eastAsia="Arial" w:hAnsi="Arial"/>
                <w:sz w:val="18"/>
                <w:szCs w:val="18"/>
                <w:color w:val="auto"/>
              </w:rPr>
              <w:t>C-5</w:t>
            </w:r>
          </w:p>
        </w:tc>
      </w:tr>
    </w:tbl>
    <w:p>
      <w:pPr>
        <w:sectPr>
          <w:pgSz w:w="11900" w:h="16838" w:orient="portrait"/>
          <w:cols w:equalWidth="0" w:num="1">
            <w:col w:w="11380"/>
          </w:cols>
          <w:pgMar w:left="240" w:top="382"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30. Indemnification</w:t>
      </w:r>
    </w:p>
    <w:p>
      <w:pPr>
        <w:spacing w:after="0" w:line="121"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Section 145 of the DGCL allows for the indemnification of officers, directors and any corporate agents in terms sufficiently broad to indemnify these persons under certain circumstances for liabilities, including reimbursement for expenses, incurred arising under the Securities Act. Our certificate of incorporation and bylaws provide that we shall indemnify our directors and officers to the fullest extent authorized or permitted by law and this right to indemnification shall continue as to a person who has ceased to be a director or officer and shall inure to the benefit of his or her heirs, executors and personal and legal representatives; provided, however, that, except for proceedings to enforce rights to indemnification, we are not obligated to indemnify any director or officer (or his or her heirs, executors or personal or legal representatives) in connection with a proceeding (or part thereof) initiated by the person unless the proceeding (or part thereof) was authorized or consented to by the Board. The right to indemnification conferred includes the right to be paid by us the expenses incurred in defending or otherwise participating in any proceeding in advance of its final disposition.</w:t>
      </w:r>
    </w:p>
    <w:p>
      <w:pPr>
        <w:spacing w:after="0" w:line="166"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So long as we are regulated under the 1940 Act, the above indemnification is limited by the 1940 Act or by any valid rule, regulation or order of the SEC thereunder. The 1940 Act provides, among other things, that a company may not indemnify any director or officer against liability to it or its security holders to which he or she might otherwise be subject by reason of his or her willful misfeasance, bad faith, gross negligence or reckless disregard of the duties involved in the conduct of his or her office unless a determination is made by final decision of a court, by vote of a majority of a quorum of directors who are disinterested, non-party directors or by independent legal counsel that the liability for which indemnification is sought did not arise out of the foregoing conduct.</w:t>
      </w:r>
    </w:p>
    <w:p>
      <w:pPr>
        <w:spacing w:after="0" w:line="193" w:lineRule="exact"/>
        <w:rPr>
          <w:sz w:val="20"/>
          <w:szCs w:val="20"/>
          <w:color w:val="auto"/>
        </w:rPr>
      </w:pPr>
    </w:p>
    <w:p>
      <w:pPr>
        <w:ind w:right="60" w:firstLine="913"/>
        <w:spacing w:after="0" w:line="342" w:lineRule="auto"/>
        <w:rPr>
          <w:sz w:val="20"/>
          <w:szCs w:val="20"/>
          <w:color w:val="auto"/>
        </w:rPr>
      </w:pPr>
      <w:r>
        <w:rPr>
          <w:rFonts w:ascii="Arial" w:cs="Arial" w:eastAsia="Arial" w:hAnsi="Arial"/>
          <w:sz w:val="16"/>
          <w:szCs w:val="16"/>
          <w:color w:val="auto"/>
        </w:rPr>
        <w:t>In addition, we have entered into indemnification agreements with our directors and officers that provide for a contractual right to indemnification to the fullest extent permitted by the DGCL. A form of indemnification agreement has been filed as an exhibit to this Registration Statement.</w:t>
      </w:r>
    </w:p>
    <w:p>
      <w:pPr>
        <w:spacing w:after="0" w:line="124"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 of expenses are subject to the requirements of the 1940 Act to the extent applicable. Any repeal or modification of our certificate of incorporation by our stockholders will not adversely affect any rights to indemnification and to the advancement of expenses of a director or officer existing at the time of such repeal or modification with respect to any acts or omissions occurring prior to such repeal or modification.</w:t>
      </w:r>
    </w:p>
    <w:p>
      <w:pPr>
        <w:spacing w:after="0" w:line="188"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these Agreements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or any other person or entity affiliated with the Adviser, including without limitation the Administrator, or is or was a member of the Adviser’s Investment Review Committee (each such person hereinafter an “Indemnitee”), on the same general terms set forth in the certificate of incorporation.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420"/>
          </w:cols>
          <w:pgMar w:left="240" w:top="270" w:right="239" w:bottom="1440" w:gutter="0" w:footer="0" w:header="0"/>
        </w:sectPr>
      </w:pPr>
    </w:p>
    <w:bookmarkStart w:id="8" w:name="page9"/>
    <w:bookmarkEnd w:id="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have agreed to indemnify the underwriters against certain liabilities, including liabilities under the Securities Act.</w:t>
      </w:r>
    </w:p>
    <w:p>
      <w:pPr>
        <w:spacing w:after="0" w:line="225" w:lineRule="exact"/>
        <w:rPr>
          <w:sz w:val="20"/>
          <w:szCs w:val="20"/>
          <w:color w:val="auto"/>
        </w:rPr>
      </w:pPr>
    </w:p>
    <w:p>
      <w:pPr>
        <w:ind w:right="160" w:firstLine="913"/>
        <w:spacing w:after="0" w:line="291" w:lineRule="auto"/>
        <w:rPr>
          <w:sz w:val="20"/>
          <w:szCs w:val="20"/>
          <w:color w:val="auto"/>
        </w:rPr>
      </w:pPr>
      <w:r>
        <w:rPr>
          <w:rFonts w:ascii="Arial" w:cs="Arial" w:eastAsia="Arial" w:hAnsi="Arial"/>
          <w:sz w:val="16"/>
          <w:szCs w:val="16"/>
          <w:color w:val="auto"/>
        </w:rPr>
        <w:t>Insofar as indemnification for liability arising under the Securities Act may be permitted to directors, officers and controlling persons of the Registrant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of the Registrant in the successful defense of any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31. Business and Other Connections of Investment Advisor</w:t>
      </w:r>
    </w:p>
    <w:p>
      <w:pPr>
        <w:spacing w:after="0" w:line="121"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A description of any other business, profession, vocation or employment of a substantial nature in which the Adviser, and each managing director, director or executive officer of the Adviser, is or has been during the past two fiscal years, engaged in for his or her own account or in the capacity of director, officer, employee, partner or trustee, is set forth in this Registration Statement in the sections entitled “The Company,” “Management” and “Management and Other Agreements.” Additional information regarding the Adviser and its officers is set forth in its Form ADV, filed with the SEC (SEC File No. 801-72185), and is incorporated herein by reference.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32. Location of Accounts and Records</w:t>
      </w:r>
    </w:p>
    <w:p>
      <w:pPr>
        <w:spacing w:after="0" w:line="121"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All accounts, books and other documents required to be maintained by Section 31(a) of the 1940 Act, and the rules thereunder are maintained at the offices of:</w:t>
      </w:r>
    </w:p>
    <w:p>
      <w:pPr>
        <w:spacing w:after="0" w:line="76"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 301 Commerce Street, Suite 3300, Fort Worth, TX 76102;</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transfer agent, State Street Bank and Trust Company, 200 Clarendon Street, Boston, MA 02116;</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custodian, State Street Bank and Trust Company, 1 Lincoln Street Boston, MA 02111;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Adviser, 301 Commerce Street, Suite 3300, Fort Worth, TX 76102.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33. Management Services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34. Undertakings</w:t>
      </w:r>
    </w:p>
    <w:p>
      <w:pPr>
        <w:spacing w:after="0" w:line="135" w:lineRule="exact"/>
        <w:rPr>
          <w:sz w:val="20"/>
          <w:szCs w:val="20"/>
          <w:color w:val="auto"/>
        </w:rPr>
      </w:pPr>
    </w:p>
    <w:p>
      <w:pPr>
        <w:ind w:left="900" w:right="40" w:hanging="446"/>
        <w:spacing w:after="0" w:line="264"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undertake to suspend the offering of shares until the prospectus is amended if (1) subsequent to the effective date of its registration statement, the net asset value declines more than 10% from its net asset value as of the effective date of the registration statement; or (2) the net asset value increases to an amount greater than the net proceeds as stated in the prospectus.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400"/>
          </w:cols>
          <w:pgMar w:left="240" w:top="274" w:right="259" w:bottom="1440" w:gutter="0" w:footer="0" w:header="0"/>
        </w:sectPr>
      </w:pPr>
    </w:p>
    <w:bookmarkStart w:id="9" w:name="page10"/>
    <w:bookmarkEnd w:id="9"/>
    <w:p>
      <w:pPr>
        <w:ind w:left="446" w:hanging="446"/>
        <w:spacing w:after="0"/>
        <w:tabs>
          <w:tab w:leader="none" w:pos="446"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 applicable.</w:t>
      </w:r>
    </w:p>
    <w:p>
      <w:pPr>
        <w:spacing w:after="0" w:line="130" w:lineRule="exact"/>
        <w:rPr>
          <w:rFonts w:ascii="Arial" w:cs="Arial" w:eastAsia="Arial" w:hAnsi="Arial"/>
          <w:sz w:val="18"/>
          <w:szCs w:val="18"/>
          <w:color w:val="auto"/>
        </w:rPr>
      </w:pPr>
    </w:p>
    <w:p>
      <w:pPr>
        <w:ind w:left="446" w:hanging="446"/>
        <w:spacing w:after="0" w:line="273" w:lineRule="auto"/>
        <w:tabs>
          <w:tab w:leader="none" w:pos="446"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undertake, in the event that the securities being registered are to be offered to existing stockholders pursuant to warrants or rights and any securities not taken by shareholders are to be reoffered to the public, to supplement the prospectus, after the expiration of the subscription period, to set forth the results of the subscription offer, the transactions by the underwriters during the subscription period, the amount of unsubscribed securities to be purchased by underwriters, and the terms of any subsequent underwriting thereof. We further undertake that if any public offering by the underwriters of the securities being registered is to be made on terms differing from those set forth on the cover page of the prospectus, we shall file a post-effective amendment to set forth the terms of such offering.</w:t>
      </w:r>
    </w:p>
    <w:p>
      <w:pPr>
        <w:spacing w:after="0" w:line="83" w:lineRule="exact"/>
        <w:rPr>
          <w:rFonts w:ascii="Arial" w:cs="Arial" w:eastAsia="Arial" w:hAnsi="Arial"/>
          <w:sz w:val="17"/>
          <w:szCs w:val="17"/>
          <w:color w:val="auto"/>
        </w:rPr>
      </w:pPr>
    </w:p>
    <w:p>
      <w:pPr>
        <w:ind w:left="446" w:hanging="446"/>
        <w:spacing w:after="0"/>
        <w:tabs>
          <w:tab w:leader="none" w:pos="446"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hereby undertake:</w:t>
      </w:r>
    </w:p>
    <w:p>
      <w:pPr>
        <w:spacing w:after="0" w:line="130" w:lineRule="exact"/>
        <w:rPr>
          <w:rFonts w:ascii="Arial" w:cs="Arial" w:eastAsia="Arial" w:hAnsi="Arial"/>
          <w:sz w:val="18"/>
          <w:szCs w:val="18"/>
          <w:color w:val="auto"/>
        </w:rPr>
      </w:pPr>
    </w:p>
    <w:p>
      <w:pPr>
        <w:ind w:left="1026" w:hanging="567"/>
        <w:spacing w:after="0"/>
        <w:tabs>
          <w:tab w:leader="none" w:pos="1026"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the registration statement:</w:t>
      </w:r>
    </w:p>
    <w:p>
      <w:pPr>
        <w:spacing w:after="0" w:line="130" w:lineRule="exact"/>
        <w:rPr>
          <w:rFonts w:ascii="Arial" w:cs="Arial" w:eastAsia="Arial" w:hAnsi="Arial"/>
          <w:sz w:val="18"/>
          <w:szCs w:val="18"/>
          <w:color w:val="auto"/>
        </w:rPr>
      </w:pPr>
    </w:p>
    <w:p>
      <w:pPr>
        <w:ind w:left="1466" w:hanging="440"/>
        <w:spacing w:after="0"/>
        <w:tabs>
          <w:tab w:leader="none" w:pos="1466" w:val="left"/>
        </w:tabs>
        <w:numPr>
          <w:ilvl w:val="2"/>
          <w:numId w:val="1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color w:val="auto"/>
        </w:rPr>
      </w:pPr>
    </w:p>
    <w:p>
      <w:pPr>
        <w:ind w:left="1466" w:hanging="440"/>
        <w:spacing w:after="0" w:line="264" w:lineRule="auto"/>
        <w:tabs>
          <w:tab w:leader="none" w:pos="1466" w:val="left"/>
        </w:tabs>
        <w:numPr>
          <w:ilvl w:val="2"/>
          <w:numId w:val="12"/>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and</w:t>
      </w:r>
    </w:p>
    <w:p>
      <w:pPr>
        <w:spacing w:after="0" w:line="86" w:lineRule="exact"/>
        <w:rPr>
          <w:rFonts w:ascii="Arial" w:cs="Arial" w:eastAsia="Arial" w:hAnsi="Arial"/>
          <w:sz w:val="18"/>
          <w:szCs w:val="18"/>
          <w:color w:val="auto"/>
        </w:rPr>
      </w:pPr>
    </w:p>
    <w:p>
      <w:pPr>
        <w:ind w:left="1466" w:right="80" w:hanging="440"/>
        <w:spacing w:after="0" w:line="277" w:lineRule="auto"/>
        <w:tabs>
          <w:tab w:leader="none" w:pos="1466" w:val="left"/>
        </w:tabs>
        <w:numPr>
          <w:ilvl w:val="2"/>
          <w:numId w:val="1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75" w:lineRule="exact"/>
        <w:rPr>
          <w:rFonts w:ascii="Arial" w:cs="Arial" w:eastAsia="Arial" w:hAnsi="Arial"/>
          <w:sz w:val="18"/>
          <w:szCs w:val="18"/>
          <w:color w:val="auto"/>
        </w:rPr>
      </w:pPr>
    </w:p>
    <w:p>
      <w:pPr>
        <w:ind w:left="1026" w:right="140" w:hanging="567"/>
        <w:spacing w:after="0" w:line="264" w:lineRule="auto"/>
        <w:tabs>
          <w:tab w:leader="none" w:pos="1026"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w:t>
      </w:r>
    </w:p>
    <w:p>
      <w:pPr>
        <w:spacing w:after="0" w:line="86" w:lineRule="exact"/>
        <w:rPr>
          <w:rFonts w:ascii="Arial" w:cs="Arial" w:eastAsia="Arial" w:hAnsi="Arial"/>
          <w:sz w:val="18"/>
          <w:szCs w:val="18"/>
          <w:color w:val="auto"/>
        </w:rPr>
      </w:pPr>
    </w:p>
    <w:p>
      <w:pPr>
        <w:ind w:left="1026" w:right="260" w:hanging="567"/>
        <w:spacing w:after="0" w:line="277" w:lineRule="auto"/>
        <w:tabs>
          <w:tab w:leader="none" w:pos="1026"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 and</w:t>
      </w:r>
    </w:p>
    <w:p>
      <w:pPr>
        <w:spacing w:after="0" w:line="75" w:lineRule="exact"/>
        <w:rPr>
          <w:rFonts w:ascii="Arial" w:cs="Arial" w:eastAsia="Arial" w:hAnsi="Arial"/>
          <w:sz w:val="18"/>
          <w:szCs w:val="18"/>
          <w:color w:val="auto"/>
        </w:rPr>
      </w:pPr>
    </w:p>
    <w:p>
      <w:pPr>
        <w:ind w:left="1026" w:right="80" w:hanging="567"/>
        <w:spacing w:after="0" w:line="290" w:lineRule="auto"/>
        <w:tabs>
          <w:tab w:leader="none" w:pos="1026"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Securities Act to any purchaser, if we are subject to Rule 430C: Each prospectus filed pursuant to Rule 497(b), (c), (d) or (e) under the Securities Act as part of a registration statement relating to an offering, other than prospectuses filed in reliance on Rule 430A under the Securities Act,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99"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C-8</w:t>
      </w:r>
    </w:p>
    <w:p>
      <w:pPr>
        <w:sectPr>
          <w:pgSz w:w="11900" w:h="16838" w:orient="portrait"/>
          <w:cols w:equalWidth="0" w:num="1">
            <w:col w:w="10926"/>
          </w:cols>
          <w:pgMar w:left="694" w:top="274" w:right="279" w:bottom="1440" w:gutter="0" w:footer="0" w:header="0"/>
        </w:sectPr>
      </w:pPr>
    </w:p>
    <w:bookmarkStart w:id="10" w:name="page11"/>
    <w:bookmarkEnd w:id="10"/>
    <w:p>
      <w:pPr>
        <w:ind w:left="1026" w:hanging="567"/>
        <w:spacing w:after="0" w:line="279" w:lineRule="auto"/>
        <w:tabs>
          <w:tab w:leader="none" w:pos="1026" w:val="left"/>
        </w:tabs>
        <w:numPr>
          <w:ilvl w:val="1"/>
          <w:numId w:val="1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for the purpose of determining our liability under the Securities Act to any purchaser in the initial distribution of securities, we undertake that in a primary offering of our securities pursuant to this registration statement, regardless of the underwriting method used to sell the securities to the purchaser, if the securities are offered or sold to such purchaser by means of any of the following communications, we will be a seller to the purchaser and will be considered to offer or sell such securities to the purchaser:</w:t>
      </w:r>
    </w:p>
    <w:p>
      <w:pPr>
        <w:spacing w:after="0" w:line="76" w:lineRule="exact"/>
        <w:rPr>
          <w:rFonts w:ascii="Arial" w:cs="Arial" w:eastAsia="Arial" w:hAnsi="Arial"/>
          <w:sz w:val="17"/>
          <w:szCs w:val="17"/>
          <w:color w:val="auto"/>
        </w:rPr>
      </w:pPr>
    </w:p>
    <w:p>
      <w:pPr>
        <w:ind w:left="1466" w:right="600" w:hanging="440"/>
        <w:spacing w:after="0" w:line="277" w:lineRule="auto"/>
        <w:tabs>
          <w:tab w:leader="none" w:pos="1466" w:val="left"/>
        </w:tabs>
        <w:numPr>
          <w:ilvl w:val="2"/>
          <w:numId w:val="13"/>
        </w:numPr>
        <w:rPr>
          <w:rFonts w:ascii="Arial" w:cs="Arial" w:eastAsia="Arial" w:hAnsi="Arial"/>
          <w:sz w:val="18"/>
          <w:szCs w:val="18"/>
          <w:color w:val="auto"/>
        </w:rPr>
      </w:pPr>
      <w:r>
        <w:rPr>
          <w:rFonts w:ascii="Arial" w:cs="Arial" w:eastAsia="Arial" w:hAnsi="Arial"/>
          <w:sz w:val="18"/>
          <w:szCs w:val="18"/>
          <w:color w:val="auto"/>
        </w:rPr>
        <w:t>any preliminary prospectus or prospectus of ours relating to the offering required to be filed pursuant to Rule 497 under the Securities Act;</w:t>
      </w:r>
    </w:p>
    <w:p>
      <w:pPr>
        <w:spacing w:after="0" w:line="75" w:lineRule="exact"/>
        <w:rPr>
          <w:rFonts w:ascii="Arial" w:cs="Arial" w:eastAsia="Arial" w:hAnsi="Arial"/>
          <w:sz w:val="18"/>
          <w:szCs w:val="18"/>
          <w:color w:val="auto"/>
        </w:rPr>
      </w:pPr>
    </w:p>
    <w:p>
      <w:pPr>
        <w:ind w:left="1466" w:right="700" w:hanging="440"/>
        <w:spacing w:after="0" w:line="277" w:lineRule="auto"/>
        <w:tabs>
          <w:tab w:leader="none" w:pos="1466" w:val="left"/>
        </w:tabs>
        <w:numPr>
          <w:ilvl w:val="2"/>
          <w:numId w:val="13"/>
        </w:numPr>
        <w:rPr>
          <w:rFonts w:ascii="Arial" w:cs="Arial" w:eastAsia="Arial" w:hAnsi="Arial"/>
          <w:sz w:val="18"/>
          <w:szCs w:val="18"/>
          <w:color w:val="auto"/>
        </w:rPr>
      </w:pPr>
      <w:r>
        <w:rPr>
          <w:rFonts w:ascii="Arial" w:cs="Arial" w:eastAsia="Arial" w:hAnsi="Arial"/>
          <w:sz w:val="18"/>
          <w:szCs w:val="18"/>
          <w:color w:val="auto"/>
        </w:rPr>
        <w:t>the portion of any advertisement pursuant to Rule 482 under the Securities Act relating to the offering containing material information about us or our securities provided by or on behalf of us; and</w:t>
      </w:r>
    </w:p>
    <w:p>
      <w:pPr>
        <w:spacing w:after="0" w:line="75" w:lineRule="exact"/>
        <w:rPr>
          <w:rFonts w:ascii="Arial" w:cs="Arial" w:eastAsia="Arial" w:hAnsi="Arial"/>
          <w:sz w:val="18"/>
          <w:szCs w:val="18"/>
          <w:color w:val="auto"/>
        </w:rPr>
      </w:pPr>
    </w:p>
    <w:p>
      <w:pPr>
        <w:ind w:left="1466" w:hanging="440"/>
        <w:spacing w:after="0"/>
        <w:tabs>
          <w:tab w:leader="none" w:pos="1466" w:val="left"/>
        </w:tabs>
        <w:numPr>
          <w:ilvl w:val="2"/>
          <w:numId w:val="13"/>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us to the purchaser.</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undertake that:</w:t>
      </w:r>
    </w:p>
    <w:p>
      <w:pPr>
        <w:spacing w:after="0" w:line="130" w:lineRule="exact"/>
        <w:rPr>
          <w:rFonts w:ascii="Arial" w:cs="Arial" w:eastAsia="Arial" w:hAnsi="Arial"/>
          <w:sz w:val="18"/>
          <w:szCs w:val="18"/>
          <w:color w:val="auto"/>
        </w:rPr>
      </w:pPr>
    </w:p>
    <w:p>
      <w:pPr>
        <w:ind w:left="1026" w:right="80" w:hanging="567"/>
        <w:spacing w:after="0" w:line="312" w:lineRule="auto"/>
        <w:tabs>
          <w:tab w:leader="none" w:pos="1026" w:val="left"/>
        </w:tabs>
        <w:numPr>
          <w:ilvl w:val="1"/>
          <w:numId w:val="14"/>
        </w:numPr>
        <w:rPr>
          <w:rFonts w:ascii="Arial" w:cs="Arial" w:eastAsia="Arial" w:hAnsi="Arial"/>
          <w:sz w:val="16"/>
          <w:szCs w:val="16"/>
          <w:color w:val="auto"/>
        </w:rPr>
      </w:pPr>
      <w:r>
        <w:rPr>
          <w:rFonts w:ascii="Arial" w:cs="Arial" w:eastAsia="Arial" w:hAnsi="Arial"/>
          <w:sz w:val="16"/>
          <w:szCs w:val="16"/>
          <w:color w:val="auto"/>
        </w:rPr>
        <w:t>for the purpose of determining any liability under the Securities Act, the information omitted from the form of prospectus filed as part of this registration statement in reliance upon Rule 430A and contained in a form of prospectus filed by us pursuant to Rule 497(h) under the Securities Act shall be deemed to be part of this registration statement as of the time it was declared effective; and</w:t>
      </w:r>
    </w:p>
    <w:p>
      <w:pPr>
        <w:spacing w:after="0" w:line="52" w:lineRule="exact"/>
        <w:rPr>
          <w:rFonts w:ascii="Arial" w:cs="Arial" w:eastAsia="Arial" w:hAnsi="Arial"/>
          <w:sz w:val="16"/>
          <w:szCs w:val="16"/>
          <w:color w:val="auto"/>
        </w:rPr>
      </w:pPr>
    </w:p>
    <w:p>
      <w:pPr>
        <w:ind w:left="1026" w:right="20" w:hanging="567"/>
        <w:spacing w:after="0" w:line="264" w:lineRule="auto"/>
        <w:tabs>
          <w:tab w:leader="none" w:pos="1026" w:val="left"/>
        </w:tabs>
        <w:numPr>
          <w:ilvl w:val="1"/>
          <w:numId w:val="14"/>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86" w:lineRule="exact"/>
        <w:rPr>
          <w:rFonts w:ascii="Arial" w:cs="Arial" w:eastAsia="Arial" w:hAnsi="Arial"/>
          <w:sz w:val="18"/>
          <w:szCs w:val="18"/>
          <w:color w:val="auto"/>
        </w:rPr>
      </w:pPr>
    </w:p>
    <w:p>
      <w:pPr>
        <w:ind w:left="446" w:right="420" w:hanging="446"/>
        <w:spacing w:after="0" w:line="277" w:lineRule="auto"/>
        <w:tabs>
          <w:tab w:leader="none" w:pos="446"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undertake to send by first class mail or other means designed to ensure equally prompt delivery, within two business days of receipt of a written or oral request, any Statement of Additional Information.</w:t>
      </w:r>
    </w:p>
    <w:p>
      <w:pPr>
        <w:spacing w:after="0" w:line="75" w:lineRule="exact"/>
        <w:rPr>
          <w:rFonts w:ascii="Arial" w:cs="Arial" w:eastAsia="Arial" w:hAnsi="Arial"/>
          <w:sz w:val="18"/>
          <w:szCs w:val="18"/>
          <w:color w:val="auto"/>
        </w:rPr>
      </w:pPr>
    </w:p>
    <w:p>
      <w:pPr>
        <w:jc w:val="both"/>
        <w:ind w:left="446" w:right="280" w:hanging="446"/>
        <w:spacing w:after="0" w:line="264" w:lineRule="auto"/>
        <w:tabs>
          <w:tab w:leader="none" w:pos="446"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undertake to file a post-effective amendment to the registration statement pursuant to Section 8(c) of the Securities Act in connection with any rights offering off of the registration statement that will result in greater than 15% dilution to the net asset value per share of our common stock.</w:t>
      </w:r>
    </w:p>
    <w:p>
      <w:pPr>
        <w:spacing w:after="0" w:line="86" w:lineRule="exact"/>
        <w:rPr>
          <w:rFonts w:ascii="Arial" w:cs="Arial" w:eastAsia="Arial" w:hAnsi="Arial"/>
          <w:sz w:val="18"/>
          <w:szCs w:val="18"/>
          <w:color w:val="auto"/>
        </w:rPr>
      </w:pPr>
    </w:p>
    <w:p>
      <w:pPr>
        <w:ind w:left="446" w:hanging="446"/>
        <w:spacing w:after="0"/>
        <w:tabs>
          <w:tab w:leader="none" w:pos="446"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undertake to file a post-effective amendment or a new registration statement for any offering of debt securities referred to as “senior.”</w:t>
      </w:r>
    </w:p>
    <w:p>
      <w:pPr>
        <w:spacing w:after="0" w:line="169"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C-9</w:t>
      </w:r>
    </w:p>
    <w:p>
      <w:pPr>
        <w:sectPr>
          <w:pgSz w:w="11900" w:h="16838" w:orient="portrait"/>
          <w:cols w:equalWidth="0" w:num="1">
            <w:col w:w="10946"/>
          </w:cols>
          <w:pgMar w:left="694" w:top="274" w:right="2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has duly caused this Post-Effective Amendment No. 2 to the Registration Statement on Form N-2 to be signed on its behalf by the undersigned, thereunto duly authorized, in the City of New York, and the State of New York on the 22nd day of January, 2018.</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Ian T. Simmonds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Ian T.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tabs>
          <w:tab w:leader="none" w:pos="780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7"/>
          <w:szCs w:val="17"/>
          <w:color w:val="auto"/>
        </w:rPr>
        <w:t>Chief Financial Officer</w:t>
      </w:r>
    </w:p>
    <w:p>
      <w:pPr>
        <w:spacing w:after="0" w:line="21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No. 2 to the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tcPr>
          <w:p>
            <w:pPr>
              <w:jc w:val="center"/>
              <w:ind w:right="332"/>
              <w:spacing w:after="0"/>
              <w:rPr>
                <w:sz w:val="20"/>
                <w:szCs w:val="20"/>
                <w:color w:val="auto"/>
              </w:rPr>
            </w:pPr>
            <w:r>
              <w:rPr>
                <w:rFonts w:ascii="Arial" w:cs="Arial" w:eastAsia="Arial" w:hAnsi="Arial"/>
                <w:sz w:val="14"/>
                <w:szCs w:val="14"/>
                <w:b w:val="1"/>
                <w:bCs w:val="1"/>
                <w:color w:val="auto"/>
                <w:w w:val="92"/>
              </w:rPr>
              <w:t>Signature</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880" w:type="dxa"/>
            <w:vAlign w:val="bottom"/>
            <w:tcBorders>
              <w:bottom w:val="single" w:sz="8" w:color="auto"/>
            </w:tcBorders>
          </w:tcPr>
          <w:p>
            <w:pPr>
              <w:ind w:left="220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12"/>
        </w:trPr>
        <w:tc>
          <w:tcPr>
            <w:tcW w:w="42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Chief Executive Officer, Director and Chairman of the Board of</w:t>
            </w: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January 22, 2018</w:t>
            </w:r>
          </w:p>
        </w:tc>
      </w:tr>
      <w:tr>
        <w:trPr>
          <w:trHeight w:val="224"/>
        </w:trPr>
        <w:tc>
          <w:tcPr>
            <w:tcW w:w="420" w:type="dxa"/>
            <w:vAlign w:val="bottom"/>
          </w:tcPr>
          <w:p>
            <w:pPr>
              <w:spacing w:after="0"/>
              <w:rPr>
                <w:sz w:val="19"/>
                <w:szCs w:val="19"/>
                <w:color w:val="auto"/>
              </w:rPr>
            </w:pPr>
          </w:p>
        </w:tc>
        <w:tc>
          <w:tcPr>
            <w:tcW w:w="3860" w:type="dxa"/>
            <w:vAlign w:val="bottom"/>
          </w:tcPr>
          <w:p>
            <w:pPr>
              <w:jc w:val="center"/>
              <w:ind w:right="332"/>
              <w:spacing w:after="0"/>
              <w:rPr>
                <w:sz w:val="20"/>
                <w:szCs w:val="20"/>
                <w:color w:val="auto"/>
              </w:rPr>
            </w:pPr>
            <w:r>
              <w:rPr>
                <w:rFonts w:ascii="Arial" w:cs="Arial" w:eastAsia="Arial" w:hAnsi="Arial"/>
                <w:sz w:val="18"/>
                <w:szCs w:val="18"/>
                <w:color w:val="auto"/>
                <w:w w:val="87"/>
              </w:rPr>
              <w:t>Joshua Easterly</w:t>
            </w:r>
          </w:p>
        </w:tc>
        <w:tc>
          <w:tcPr>
            <w:tcW w:w="100" w:type="dxa"/>
            <w:vAlign w:val="bottom"/>
          </w:tcPr>
          <w:p>
            <w:pPr>
              <w:spacing w:after="0"/>
              <w:rPr>
                <w:sz w:val="19"/>
                <w:szCs w:val="19"/>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Directors (Principal Executive Officer)</w:t>
            </w:r>
          </w:p>
        </w:tc>
        <w:tc>
          <w:tcPr>
            <w:tcW w:w="1740" w:type="dxa"/>
            <w:vAlign w:val="bottom"/>
          </w:tcPr>
          <w:p>
            <w:pPr>
              <w:spacing w:after="0"/>
              <w:rPr>
                <w:sz w:val="19"/>
                <w:szCs w:val="19"/>
                <w:color w:val="auto"/>
              </w:rPr>
            </w:pPr>
          </w:p>
        </w:tc>
      </w:tr>
      <w:tr>
        <w:trPr>
          <w:trHeight w:val="431"/>
        </w:trPr>
        <w:tc>
          <w:tcPr>
            <w:tcW w:w="4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jc w:val="center"/>
              <w:ind w:right="332"/>
              <w:spacing w:after="0"/>
              <w:rPr>
                <w:sz w:val="20"/>
                <w:szCs w:val="20"/>
                <w:color w:val="auto"/>
              </w:rPr>
            </w:pPr>
            <w:r>
              <w:rPr>
                <w:rFonts w:ascii="Arial" w:cs="Arial" w:eastAsia="Arial" w:hAnsi="Arial"/>
                <w:sz w:val="18"/>
                <w:szCs w:val="18"/>
                <w:color w:val="auto"/>
                <w:w w:val="89"/>
              </w:rPr>
              <w:t>/s/ Ian T. Simmonds</w:t>
            </w:r>
          </w:p>
        </w:tc>
        <w:tc>
          <w:tcPr>
            <w:tcW w:w="100" w:type="dxa"/>
            <w:vAlign w:val="bottom"/>
          </w:tcPr>
          <w:p>
            <w:pPr>
              <w:spacing w:after="0"/>
              <w:rPr>
                <w:sz w:val="24"/>
                <w:szCs w:val="24"/>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Chief Financial Officer (Principal Financial Officer)</w:t>
            </w: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January 22, 2018</w:t>
            </w:r>
          </w:p>
        </w:tc>
      </w:tr>
      <w:tr>
        <w:trPr>
          <w:trHeight w:val="224"/>
        </w:trPr>
        <w:tc>
          <w:tcPr>
            <w:tcW w:w="420" w:type="dxa"/>
            <w:vAlign w:val="bottom"/>
          </w:tcPr>
          <w:p>
            <w:pPr>
              <w:spacing w:after="0"/>
              <w:rPr>
                <w:sz w:val="19"/>
                <w:szCs w:val="19"/>
                <w:color w:val="auto"/>
              </w:rPr>
            </w:pPr>
          </w:p>
        </w:tc>
        <w:tc>
          <w:tcPr>
            <w:tcW w:w="3860" w:type="dxa"/>
            <w:vAlign w:val="bottom"/>
          </w:tcPr>
          <w:p>
            <w:pPr>
              <w:jc w:val="center"/>
              <w:ind w:right="332"/>
              <w:spacing w:after="0"/>
              <w:rPr>
                <w:sz w:val="20"/>
                <w:szCs w:val="20"/>
                <w:color w:val="auto"/>
              </w:rPr>
            </w:pPr>
            <w:r>
              <w:rPr>
                <w:rFonts w:ascii="Arial" w:cs="Arial" w:eastAsia="Arial" w:hAnsi="Arial"/>
                <w:sz w:val="18"/>
                <w:szCs w:val="18"/>
                <w:color w:val="auto"/>
                <w:w w:val="91"/>
              </w:rPr>
              <w:t>Ian T. Simmonds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Vice President and Principal Accounting Officer (Principal</w:t>
            </w: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January 22, 2018</w:t>
            </w:r>
          </w:p>
        </w:tc>
      </w:tr>
      <w:tr>
        <w:trPr>
          <w:trHeight w:val="224"/>
        </w:trPr>
        <w:tc>
          <w:tcPr>
            <w:tcW w:w="420" w:type="dxa"/>
            <w:vAlign w:val="bottom"/>
          </w:tcPr>
          <w:p>
            <w:pPr>
              <w:spacing w:after="0"/>
              <w:rPr>
                <w:sz w:val="19"/>
                <w:szCs w:val="19"/>
                <w:color w:val="auto"/>
              </w:rPr>
            </w:pPr>
          </w:p>
        </w:tc>
        <w:tc>
          <w:tcPr>
            <w:tcW w:w="3860" w:type="dxa"/>
            <w:vAlign w:val="bottom"/>
          </w:tcPr>
          <w:p>
            <w:pPr>
              <w:jc w:val="center"/>
              <w:ind w:right="332"/>
              <w:spacing w:after="0"/>
              <w:rPr>
                <w:sz w:val="20"/>
                <w:szCs w:val="20"/>
                <w:color w:val="auto"/>
              </w:rPr>
            </w:pPr>
            <w:r>
              <w:rPr>
                <w:rFonts w:ascii="Arial" w:cs="Arial" w:eastAsia="Arial" w:hAnsi="Arial"/>
                <w:sz w:val="18"/>
                <w:szCs w:val="18"/>
                <w:color w:val="auto"/>
                <w:w w:val="94"/>
              </w:rPr>
              <w:t>Michael Graf</w:t>
            </w:r>
          </w:p>
        </w:tc>
        <w:tc>
          <w:tcPr>
            <w:tcW w:w="100" w:type="dxa"/>
            <w:vAlign w:val="bottom"/>
          </w:tcPr>
          <w:p>
            <w:pPr>
              <w:spacing w:after="0"/>
              <w:rPr>
                <w:sz w:val="19"/>
                <w:szCs w:val="19"/>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Accounting Officer)</w:t>
            </w: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Director and Chairman of the Audit Committee</w:t>
            </w: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January 22, 2018</w:t>
            </w:r>
          </w:p>
        </w:tc>
      </w:tr>
      <w:tr>
        <w:trPr>
          <w:trHeight w:val="224"/>
        </w:trPr>
        <w:tc>
          <w:tcPr>
            <w:tcW w:w="420" w:type="dxa"/>
            <w:vAlign w:val="bottom"/>
          </w:tcPr>
          <w:p>
            <w:pPr>
              <w:spacing w:after="0"/>
              <w:rPr>
                <w:sz w:val="19"/>
                <w:szCs w:val="19"/>
                <w:color w:val="auto"/>
              </w:rPr>
            </w:pPr>
          </w:p>
        </w:tc>
        <w:tc>
          <w:tcPr>
            <w:tcW w:w="3860" w:type="dxa"/>
            <w:vAlign w:val="bottom"/>
          </w:tcPr>
          <w:p>
            <w:pPr>
              <w:jc w:val="center"/>
              <w:ind w:right="332"/>
              <w:spacing w:after="0"/>
              <w:rPr>
                <w:sz w:val="20"/>
                <w:szCs w:val="20"/>
                <w:color w:val="auto"/>
              </w:rPr>
            </w:pPr>
            <w:r>
              <w:rPr>
                <w:rFonts w:ascii="Arial" w:cs="Arial" w:eastAsia="Arial" w:hAnsi="Arial"/>
                <w:sz w:val="18"/>
                <w:szCs w:val="18"/>
                <w:color w:val="auto"/>
                <w:w w:val="89"/>
              </w:rPr>
              <w:t>John A. Ross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January 22, 2018</w:t>
            </w:r>
          </w:p>
        </w:tc>
      </w:tr>
      <w:tr>
        <w:trPr>
          <w:trHeight w:val="224"/>
        </w:trPr>
        <w:tc>
          <w:tcPr>
            <w:tcW w:w="420" w:type="dxa"/>
            <w:vAlign w:val="bottom"/>
          </w:tcPr>
          <w:p>
            <w:pPr>
              <w:spacing w:after="0"/>
              <w:rPr>
                <w:sz w:val="19"/>
                <w:szCs w:val="19"/>
                <w:color w:val="auto"/>
              </w:rPr>
            </w:pPr>
          </w:p>
        </w:tc>
        <w:tc>
          <w:tcPr>
            <w:tcW w:w="3860" w:type="dxa"/>
            <w:vAlign w:val="bottom"/>
          </w:tcPr>
          <w:p>
            <w:pPr>
              <w:jc w:val="center"/>
              <w:ind w:right="332"/>
              <w:spacing w:after="0"/>
              <w:rPr>
                <w:sz w:val="20"/>
                <w:szCs w:val="20"/>
                <w:color w:val="auto"/>
              </w:rPr>
            </w:pPr>
            <w:r>
              <w:rPr>
                <w:rFonts w:ascii="Arial" w:cs="Arial" w:eastAsia="Arial" w:hAnsi="Arial"/>
                <w:sz w:val="18"/>
                <w:szCs w:val="18"/>
                <w:color w:val="auto"/>
                <w:w w:val="93"/>
              </w:rPr>
              <w:t>Richard A. Higginbotham</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January 22, 2018</w:t>
            </w:r>
          </w:p>
        </w:tc>
      </w:tr>
      <w:tr>
        <w:trPr>
          <w:trHeight w:val="224"/>
        </w:trPr>
        <w:tc>
          <w:tcPr>
            <w:tcW w:w="420" w:type="dxa"/>
            <w:vAlign w:val="bottom"/>
          </w:tcPr>
          <w:p>
            <w:pPr>
              <w:spacing w:after="0"/>
              <w:rPr>
                <w:sz w:val="19"/>
                <w:szCs w:val="19"/>
                <w:color w:val="auto"/>
              </w:rPr>
            </w:pPr>
          </w:p>
        </w:tc>
        <w:tc>
          <w:tcPr>
            <w:tcW w:w="3860" w:type="dxa"/>
            <w:vAlign w:val="bottom"/>
          </w:tcPr>
          <w:p>
            <w:pPr>
              <w:jc w:val="center"/>
              <w:ind w:right="312"/>
              <w:spacing w:after="0"/>
              <w:rPr>
                <w:sz w:val="20"/>
                <w:szCs w:val="20"/>
                <w:color w:val="auto"/>
              </w:rPr>
            </w:pPr>
            <w:r>
              <w:rPr>
                <w:rFonts w:ascii="Arial" w:cs="Arial" w:eastAsia="Arial" w:hAnsi="Arial"/>
                <w:sz w:val="18"/>
                <w:szCs w:val="18"/>
                <w:color w:val="auto"/>
                <w:w w:val="90"/>
              </w:rPr>
              <w:t>Ronald K. Tanemura</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January 22, 2018</w:t>
            </w:r>
          </w:p>
        </w:tc>
      </w:tr>
      <w:tr>
        <w:trPr>
          <w:trHeight w:val="224"/>
        </w:trPr>
        <w:tc>
          <w:tcPr>
            <w:tcW w:w="420" w:type="dxa"/>
            <w:vAlign w:val="bottom"/>
          </w:tcPr>
          <w:p>
            <w:pPr>
              <w:spacing w:after="0"/>
              <w:rPr>
                <w:sz w:val="19"/>
                <w:szCs w:val="19"/>
                <w:color w:val="auto"/>
              </w:rPr>
            </w:pPr>
          </w:p>
        </w:tc>
        <w:tc>
          <w:tcPr>
            <w:tcW w:w="3860" w:type="dxa"/>
            <w:vAlign w:val="bottom"/>
          </w:tcPr>
          <w:p>
            <w:pPr>
              <w:jc w:val="center"/>
              <w:ind w:right="332"/>
              <w:spacing w:after="0"/>
              <w:rPr>
                <w:sz w:val="20"/>
                <w:szCs w:val="20"/>
                <w:color w:val="auto"/>
              </w:rPr>
            </w:pPr>
            <w:r>
              <w:rPr>
                <w:rFonts w:ascii="Arial" w:cs="Arial" w:eastAsia="Arial" w:hAnsi="Arial"/>
                <w:sz w:val="18"/>
                <w:szCs w:val="18"/>
                <w:color w:val="auto"/>
                <w:w w:val="91"/>
              </w:rPr>
              <w:t>Michael Fishman</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58"/>
        </w:trPr>
        <w:tc>
          <w:tcPr>
            <w:tcW w:w="4280" w:type="dxa"/>
            <w:vAlign w:val="bottom"/>
            <w:gridSpan w:val="2"/>
          </w:tcPr>
          <w:p>
            <w:pPr>
              <w:spacing w:after="0"/>
              <w:rPr>
                <w:sz w:val="20"/>
                <w:szCs w:val="20"/>
                <w:color w:val="auto"/>
              </w:rPr>
            </w:pPr>
            <w:r>
              <w:rPr>
                <w:rFonts w:ascii="Arial" w:cs="Arial" w:eastAsia="Arial" w:hAnsi="Arial"/>
                <w:sz w:val="18"/>
                <w:szCs w:val="18"/>
                <w:color w:val="auto"/>
              </w:rPr>
              <w:t>*By:  /s/ Ian T. Simmonds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24"/>
        </w:trPr>
        <w:tc>
          <w:tcPr>
            <w:tcW w:w="420" w:type="dxa"/>
            <w:vAlign w:val="bottom"/>
          </w:tcPr>
          <w:p>
            <w:pPr>
              <w:spacing w:after="0"/>
              <w:rPr>
                <w:sz w:val="19"/>
                <w:szCs w:val="19"/>
                <w:color w:val="auto"/>
              </w:rPr>
            </w:pPr>
          </w:p>
        </w:tc>
        <w:tc>
          <w:tcPr>
            <w:tcW w:w="38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Attorney-in-fact</w:t>
            </w: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bl>
    <w:p>
      <w:pPr>
        <w:sectPr>
          <w:pgSz w:w="11900" w:h="16838" w:orient="portrait"/>
          <w:cols w:equalWidth="0" w:num="1">
            <w:col w:w="11420"/>
          </w:cols>
          <w:pgMar w:left="240" w:top="270"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(h)(3)</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4.500% Notes due 2023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225" w:lineRule="exact"/>
        <w:rPr>
          <w:sz w:val="20"/>
          <w:szCs w:val="20"/>
          <w:color w:val="auto"/>
        </w:rPr>
      </w:pPr>
    </w:p>
    <w:p>
      <w:pPr>
        <w:ind w:left="10180"/>
        <w:spacing w:after="0"/>
        <w:rPr>
          <w:sz w:val="20"/>
          <w:szCs w:val="20"/>
          <w:color w:val="auto"/>
        </w:rPr>
      </w:pPr>
      <w:r>
        <w:rPr>
          <w:rFonts w:ascii="Arial" w:cs="Arial" w:eastAsia="Arial" w:hAnsi="Arial"/>
          <w:sz w:val="16"/>
          <w:szCs w:val="16"/>
          <w:color w:val="auto"/>
        </w:rPr>
        <w:t>January 17, 2018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several Underwriters listed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Schedule 1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TPG Specialty Lending, Inc., a Delaware corporation (the “Company”), proposes, subject to the terms and conditions stated herein, to issue and sell to the several Underwriters listed in Schedule 1 hereto (the “Underwriters”), for whom you are acting as representative (the “Representative”), $150,000,000 aggregate principal amount of 4.500% Notes due 2023 of the Company (the “Securities”).</w:t>
      </w:r>
    </w:p>
    <w:p>
      <w:pPr>
        <w:spacing w:after="0" w:line="18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Securities will be issued under an indenture, to be dated as of the Closing Date (as defined below), as supplemented by the First Supplemental Indenture, to be dated as of the Closing Date (collectively, the “Indenture”), between the Company and Wells Fargo Bank, National Association, as trustee (the “Trustee”). The Securities will be issued in book-entry form to Cede &amp; Co. as nominee of the Depository Trust Company (“DTC”) pursuant to a blanket letter of representations, dated as of March 24, 2014, between the Company and DTC.</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Company understands that the Underwriters propose to make a public offering of the Securities as soon as the Representative deems advisable after this Agreement has been executed and delivered.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hereby confirms its agreement with the several Underwriters concerning the purchase and sale of the Securities, as follows:</w:t>
      </w:r>
    </w:p>
    <w:p>
      <w:pPr>
        <w:spacing w:after="0" w:line="237" w:lineRule="exact"/>
        <w:rPr>
          <w:sz w:val="20"/>
          <w:szCs w:val="20"/>
          <w:color w:val="auto"/>
        </w:rPr>
      </w:pPr>
    </w:p>
    <w:p>
      <w:pPr>
        <w:ind w:right="620" w:firstLine="464"/>
        <w:spacing w:after="0" w:line="277" w:lineRule="auto"/>
        <w:tabs>
          <w:tab w:leader="none" w:pos="771"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Registration Statement</w:t>
      </w:r>
      <w:r>
        <w:rPr>
          <w:rFonts w:ascii="Arial" w:cs="Arial" w:eastAsia="Arial" w:hAnsi="Arial"/>
          <w:sz w:val="18"/>
          <w:szCs w:val="18"/>
          <w:color w:val="auto"/>
        </w:rPr>
        <w:t>. The Company has prepared and filed with the Securities and Exchange Commission (the “Commission”) under the Securities Act of 1933, as amended,</w:t>
      </w:r>
    </w:p>
    <w:p>
      <w:pPr>
        <w:sectPr>
          <w:pgSz w:w="11900" w:h="16838" w:orient="portrait"/>
          <w:cols w:equalWidth="0" w:num="1">
            <w:col w:w="11420"/>
          </w:cols>
          <w:pgMar w:left="240" w:top="121" w:right="239" w:bottom="1440" w:gutter="0" w:footer="0" w:header="0"/>
        </w:sectPr>
      </w:pPr>
    </w:p>
    <w:bookmarkStart w:id="13" w:name="page14"/>
    <w:bookmarkEnd w:id="13"/>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the rules and regulations of the Commission thereunder (collectively, the “Securities Act”), a shelf registration statement on Form N-2 (File No. 333-217207), relating to the Securities, which registration statement was declared effective on May 30, 2017 by the Commission. The Company has also filed with the Commission a preliminary prospectus supplement, dated January 17, 2018, as such prospectus may be amended, which contains a base prospectus, dated May 30, 2017 (the “Base Prospectus” and, collectively, the “Preliminary Prospectus”). Promptly after execution and delivery of this Agreement, the Company will prepare and file a prospectus in accordance with the provisions of Rule 430C (“Rule 430C”) of the rules and regulations of the Commission under the Securities Act and Rule 497 under the Securities Act. The information included in such prospectus that was omitted from such registration statement at the time it became effective but that is deemed to be part of such registration statement pursuant to Rule 430C is referred to as “Rule 430C Information.” Unless the context otherwise requires, such registration statement, including all documents filed as a part thereof, and including all post-effective amendments thereto filed on or prior to the date hereof and any Rule 430C Information contained in a prospectus subsequently filed with the Commission pursuant to Rule 497 under the Securities Act and deemed to be part of the registration statement, is herein called the “Registration Statement.” The final prospectus in the form first used in connection with confirmation of sales of the Securities, which will include the Base Prospectus, together with a final prospectus supplement, is herein called the “Prospectus.” If the Company has filed an abbreviated registration statement pursuant to Rule 462(b) under the Securities Act (the “Rule 462 Registration Statement”), then any reference herein to the term “Registration Statement” shall be deemed to include such Rule 462 Registration Statement. Capitalized terms used but not defined herein shall have the meanings given to such terms in the Registration Statement and the Prospectus.</w:t>
      </w:r>
    </w:p>
    <w:p>
      <w:pPr>
        <w:spacing w:after="0" w:line="183"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A Form N-6F Notice of Intent to Elect to be Subject to Sections 55 through 65 of the Investment Company Act of 1940 (File No. 814-00854) (the “Notice of Intent”) was filed, pursuant to Section 6(f) of the Investment Company Act of 1940, as amended, and the rules and regulations of the Commission thereunder (collectively, the “Investment Company Act”) with the Commission on January 14, 2011. A Form N-54A Notification of Election to be Subject to Sections 55 through 65 of the Investment Company Act filed pursuant to Section 54(a) of the Investment Company Act (File No. 814-00854) (the “Notification of Election”) was filed under the Investment Company Act with the Commission on April 15, 2011.</w:t>
      </w:r>
    </w:p>
    <w:p>
      <w:pPr>
        <w:spacing w:after="0" w:line="173"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The Company has entered into an Amended and Restated Investment Advisory and Management Agreement, dated as of December 12, 2011 (the “Investment Management Agreement”), with TSL Advisers, LLC, a Delaware limited liability company registered as an investment adviser (the “Adviser”) under the Investment Advisers Act of 1940, as amended, and the rules and regulations thereunder (the “Advisers Act”).</w:t>
      </w:r>
    </w:p>
    <w:p>
      <w:pPr>
        <w:spacing w:after="0" w:line="166"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The Company has also entered into an Amended and Restated Administration Agreement, dated as of February 22, 2017 (the “Administration Agreement”) with the Adviser.</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At or prior to the Applicable Time (as defined below), the Company had prepared the Preliminary Prospectus, which together with the information set forth on Schedule 2 hereto, comprises the “Pricing Disclosure Package.”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14" w:name="page15"/>
    <w:bookmarkEnd w:id="1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“Applicable Time” means 1:30 P.M., New York City time, on January 17, 2018.</w:t>
      </w:r>
    </w:p>
    <w:p>
      <w:pPr>
        <w:spacing w:after="0" w:line="333" w:lineRule="exact"/>
        <w:rPr>
          <w:sz w:val="20"/>
          <w:szCs w:val="20"/>
          <w:color w:val="auto"/>
        </w:rPr>
      </w:pPr>
    </w:p>
    <w:p>
      <w:pPr>
        <w:ind w:left="780" w:hanging="31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Purchase of the Securities by the Underwriters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right="160" w:firstLine="921"/>
        <w:spacing w:after="0" w:line="259" w:lineRule="auto"/>
        <w:tabs>
          <w:tab w:leader="none" w:pos="1289"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Company agrees to issue and sell the Securities to the several Underwriters as provided in this Agreement, and each Underwriter, on the basis of the representations, warranties and agreements set forth herein and subject to the conditions set forth herein, agrees, severally and not jointly, to purchase from the Company the respective aggregate principal amount of Securities set forth opposite such Underwriter’s name in Schedule 1 hereto at the price (the “Purchase Price”) set forth in Schedule 1 hereto.</w:t>
      </w:r>
    </w:p>
    <w:p>
      <w:pPr>
        <w:spacing w:after="0" w:line="186" w:lineRule="exact"/>
        <w:rPr>
          <w:rFonts w:ascii="Arial" w:cs="Arial" w:eastAsia="Arial" w:hAnsi="Arial"/>
          <w:sz w:val="18"/>
          <w:szCs w:val="18"/>
          <w:color w:val="auto"/>
        </w:rPr>
      </w:pPr>
    </w:p>
    <w:p>
      <w:pPr>
        <w:ind w:right="180" w:firstLine="921"/>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Company understands that the Underwriters intend to offer the Securities for resale on the terms set forth in the Pricing Disclosure Package and the Prospectus, as in the judgment of the Representative is advisable. The Company acknowledges and agrees that the Underwriters may offer and sell Securities to or through any affiliate of an Underwriter.</w:t>
      </w:r>
    </w:p>
    <w:p>
      <w:pPr>
        <w:spacing w:after="0" w:line="181" w:lineRule="exact"/>
        <w:rPr>
          <w:rFonts w:ascii="Arial" w:cs="Arial" w:eastAsia="Arial" w:hAnsi="Arial"/>
          <w:sz w:val="18"/>
          <w:szCs w:val="18"/>
          <w:color w:val="auto"/>
        </w:rPr>
      </w:pPr>
    </w:p>
    <w:p>
      <w:pPr>
        <w:ind w:firstLine="921"/>
        <w:spacing w:after="0" w:line="302" w:lineRule="auto"/>
        <w:tabs>
          <w:tab w:leader="none" w:pos="1293" w:val="left"/>
        </w:tabs>
        <w:numPr>
          <w:ilvl w:val="1"/>
          <w:numId w:val="16"/>
        </w:numPr>
        <w:rPr>
          <w:rFonts w:ascii="Arial" w:cs="Arial" w:eastAsia="Arial" w:hAnsi="Arial"/>
          <w:sz w:val="16"/>
          <w:szCs w:val="16"/>
          <w:color w:val="auto"/>
        </w:rPr>
      </w:pPr>
      <w:r>
        <w:rPr>
          <w:rFonts w:ascii="Arial" w:cs="Arial" w:eastAsia="Arial" w:hAnsi="Arial"/>
          <w:sz w:val="16"/>
          <w:szCs w:val="16"/>
          <w:color w:val="auto"/>
        </w:rPr>
        <w:t>Payment for the Securities shall be made by wire transfer in immediately available funds to the account specified by the Company to the Representative, at the offices of Freshfields Bruckhaus Deringer US LLP, 601 Lexington Avenue, 31</w:t>
      </w:r>
      <w:r>
        <w:rPr>
          <w:rFonts w:ascii="Arial" w:cs="Arial" w:eastAsia="Arial" w:hAnsi="Arial"/>
          <w:sz w:val="13"/>
          <w:szCs w:val="13"/>
          <w:color w:val="auto"/>
        </w:rPr>
        <w:t>st</w:t>
      </w:r>
      <w:r>
        <w:rPr>
          <w:rFonts w:ascii="Arial" w:cs="Arial" w:eastAsia="Arial" w:hAnsi="Arial"/>
          <w:sz w:val="16"/>
          <w:szCs w:val="16"/>
          <w:color w:val="auto"/>
        </w:rPr>
        <w:t xml:space="preserve"> Floor, New York, NY 10022, at 10:00 A.M., New York City time, on January 22, 2018, or at such other time or place on the same or such other date, not later than the fifth business day thereafter, as the Representative and the Company may agree upon in writing. The time and date of such payment for the Securities is referred to herein as the “Closing Date.”</w:t>
      </w:r>
    </w:p>
    <w:p>
      <w:pPr>
        <w:spacing w:after="0" w:line="154" w:lineRule="exact"/>
        <w:rPr>
          <w:sz w:val="20"/>
          <w:szCs w:val="20"/>
          <w:color w:val="auto"/>
        </w:rPr>
      </w:pPr>
    </w:p>
    <w:p>
      <w:pPr>
        <w:jc w:val="both"/>
        <w:ind w:right="280" w:firstLine="913"/>
        <w:spacing w:after="0" w:line="286" w:lineRule="auto"/>
        <w:rPr>
          <w:sz w:val="20"/>
          <w:szCs w:val="20"/>
          <w:color w:val="auto"/>
        </w:rPr>
      </w:pPr>
      <w:r>
        <w:rPr>
          <w:rFonts w:ascii="Arial" w:cs="Arial" w:eastAsia="Arial" w:hAnsi="Arial"/>
          <w:sz w:val="17"/>
          <w:szCs w:val="17"/>
          <w:color w:val="auto"/>
        </w:rPr>
        <w:t>Payment for the Securities shall be made against delivery to the Representative for the respective accounts of the several Underwriters of the principal amount of Securities to be purchased on such date with any transfer taxes payable in connection with the sale of such Securities duly paid by the Company. Delivery of the Securities shall be made through the facilities of DTC unless the Representative shall otherwise instruct.</w:t>
      </w:r>
    </w:p>
    <w:p>
      <w:pPr>
        <w:spacing w:after="0" w:line="166" w:lineRule="exact"/>
        <w:rPr>
          <w:sz w:val="20"/>
          <w:szCs w:val="20"/>
          <w:color w:val="auto"/>
        </w:rPr>
      </w:pPr>
    </w:p>
    <w:p>
      <w:pPr>
        <w:ind w:right="20" w:firstLine="921"/>
        <w:spacing w:after="0" w:line="271" w:lineRule="auto"/>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Company acknowledges and agrees that the Underwriters are acting solely in the capacity of an arm’s-length contractual counterparty to the Company with respect to the offering of Securities contemplated hereby (including in connection with determining the terms of the offering) and not as a financial advisor or a fiduciary to, or an agent of, the Company or any other person. Additionally, neither the Representative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15" w:name="page16"/>
    <w:bookmarkEnd w:id="15"/>
    <w:p>
      <w:pPr>
        <w:ind w:left="772" w:hanging="316"/>
        <w:spacing w:after="0"/>
        <w:tabs>
          <w:tab w:leader="none" w:pos="772"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Representations and Warranties of the Company</w:t>
      </w:r>
      <w:r>
        <w:rPr>
          <w:rFonts w:ascii="Arial" w:cs="Arial" w:eastAsia="Arial" w:hAnsi="Arial"/>
          <w:sz w:val="18"/>
          <w:szCs w:val="18"/>
          <w:color w:val="auto"/>
        </w:rPr>
        <w:t>. The Company represents and warrants to, and agrees with, each Underwriter that:</w:t>
      </w:r>
    </w:p>
    <w:p>
      <w:pPr>
        <w:spacing w:after="0" w:line="225" w:lineRule="exact"/>
        <w:rPr>
          <w:rFonts w:ascii="Arial" w:cs="Arial" w:eastAsia="Arial" w:hAnsi="Arial"/>
          <w:sz w:val="18"/>
          <w:szCs w:val="18"/>
          <w:color w:val="auto"/>
        </w:rPr>
      </w:pPr>
    </w:p>
    <w:p>
      <w:pPr>
        <w:ind w:left="-8" w:firstLine="921"/>
        <w:spacing w:after="0" w:line="291" w:lineRule="auto"/>
        <w:tabs>
          <w:tab w:leader="none" w:pos="1285" w:val="left"/>
        </w:tabs>
        <w:numPr>
          <w:ilvl w:val="2"/>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Preliminary Prospectus. </w:t>
      </w:r>
      <w:r>
        <w:rPr>
          <w:rFonts w:ascii="Arial" w:cs="Arial" w:eastAsia="Arial" w:hAnsi="Arial"/>
          <w:sz w:val="16"/>
          <w:szCs w:val="16"/>
          <w:color w:val="auto"/>
        </w:rPr>
        <w:t>No order preventing or suspending the use of the Preliminary Prospectus has been issued by the Commission,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Preliminary Prospectus included in the Pricing Disclosure Package, at the time of filing thereof, complied in all material respects with the Securities Act, and the Preliminary Prospectus, at the time of filing thereof, did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 expressly for use in any Preliminary Prospectus, it being understood and agreed that the only such information furnished by any Underwriter consists of the information described as such in Section 8(b) hereof.</w:t>
      </w:r>
    </w:p>
    <w:p>
      <w:pPr>
        <w:spacing w:after="0" w:line="167" w:lineRule="exact"/>
        <w:rPr>
          <w:rFonts w:ascii="Arial" w:cs="Arial" w:eastAsia="Arial" w:hAnsi="Arial"/>
          <w:sz w:val="16"/>
          <w:szCs w:val="16"/>
          <w:color w:val="auto"/>
        </w:rPr>
      </w:pPr>
    </w:p>
    <w:p>
      <w:pPr>
        <w:ind w:left="-8" w:right="40" w:firstLine="921"/>
        <w:spacing w:after="0" w:line="255" w:lineRule="auto"/>
        <w:tabs>
          <w:tab w:leader="none" w:pos="1295" w:val="left"/>
        </w:tabs>
        <w:numPr>
          <w:ilvl w:val="2"/>
          <w:numId w:val="18"/>
        </w:numPr>
        <w:rPr>
          <w:rFonts w:ascii="Arial" w:cs="Arial" w:eastAsia="Arial" w:hAnsi="Arial"/>
          <w:sz w:val="18"/>
          <w:szCs w:val="18"/>
          <w:color w:val="auto"/>
        </w:rPr>
      </w:pPr>
      <w:r>
        <w:rPr>
          <w:rFonts w:ascii="Arial" w:cs="Arial" w:eastAsia="Arial" w:hAnsi="Arial"/>
          <w:sz w:val="18"/>
          <w:szCs w:val="18"/>
          <w:i w:val="1"/>
          <w:iCs w:val="1"/>
          <w:color w:val="auto"/>
        </w:rPr>
        <w:t>Pricing Disclosure Package</w:t>
      </w:r>
      <w:r>
        <w:rPr>
          <w:rFonts w:ascii="Arial" w:cs="Arial" w:eastAsia="Arial" w:hAnsi="Arial"/>
          <w:sz w:val="18"/>
          <w:szCs w:val="18"/>
          <w:color w:val="auto"/>
        </w:rPr>
        <w:t>. The Pricing Disclosure Package as of the Applicable Time did not, and the Pricing Disclosure Package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(together with any amendment or supplement thereto) as of the Closing Date,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 expressly for use in such Pricing Disclosure Package, it being understood and agreed that the only such information furnished by any Underwriter consists of the information described as such in Section 8(b) hereof.</w:t>
      </w:r>
    </w:p>
    <w:p>
      <w:pPr>
        <w:spacing w:after="0" w:line="189" w:lineRule="exact"/>
        <w:rPr>
          <w:rFonts w:ascii="Arial" w:cs="Arial" w:eastAsia="Arial" w:hAnsi="Arial"/>
          <w:sz w:val="18"/>
          <w:szCs w:val="18"/>
          <w:color w:val="auto"/>
        </w:rPr>
      </w:pPr>
    </w:p>
    <w:p>
      <w:pPr>
        <w:ind w:left="-8" w:firstLine="921"/>
        <w:spacing w:after="0" w:line="283" w:lineRule="auto"/>
        <w:tabs>
          <w:tab w:leader="none" w:pos="1285" w:val="left"/>
        </w:tabs>
        <w:numPr>
          <w:ilvl w:val="2"/>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Registration Statement and Prospectus. </w:t>
      </w:r>
      <w:r>
        <w:rPr>
          <w:rFonts w:ascii="Arial" w:cs="Arial" w:eastAsia="Arial" w:hAnsi="Arial"/>
          <w:sz w:val="16"/>
          <w:szCs w:val="16"/>
          <w:color w:val="auto"/>
        </w:rPr>
        <w:t>The Company is eligible to use Form N-2. The Registration Statement has been declared 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by the Commission. No order suspending the effectiveness of the Registration Statement has been issued by the Commission, and, no proceeding for that purpose or pursuant to Section 8A of the Securities Act against the Company or related to the offering of the Securities has been initiated or threatened by the Commission; as of the applicable effective date of the Registration Statement and any post-effective amendment thereto, the Registration Statement and any such post-effective amendment complied and will comply in all material respects with the Securities Act, the applicable rules and regulations of the Commission thereunder, the Investment Company Act and the Trust Indenture Act of 1939, as amended (the “TIA”),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the Prospectus and any amendment or supplement thereto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makes no representation and warranty with respect to</w:t>
      </w:r>
    </w:p>
    <w:p>
      <w:pPr>
        <w:spacing w:after="0" w:line="5" w:lineRule="exact"/>
        <w:rPr>
          <w:rFonts w:ascii="Arial" w:cs="Arial" w:eastAsia="Arial" w:hAnsi="Arial"/>
          <w:sz w:val="16"/>
          <w:szCs w:val="16"/>
          <w:color w:val="auto"/>
        </w:rPr>
      </w:pPr>
    </w:p>
    <w:p>
      <w:pPr>
        <w:ind w:left="-8" w:right="160" w:firstLine="8"/>
        <w:spacing w:after="0" w:line="255" w:lineRule="auto"/>
        <w:tabs>
          <w:tab w:leader="none" w:pos="207"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that part of the Registration Statement that constitutes the Statement of Eligibility and Qualification (Form T-1) of the Trustee under the TIA or (ii) any statements or omissions made in reliance upon and in conformity with information relating to any Underwriter furnished to the Company in writing by such Underwriter through the Representative expressly for use in the Registration</w:t>
      </w:r>
    </w:p>
    <w:p>
      <w:pPr>
        <w:spacing w:after="0" w:line="12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92"/>
          </w:cols>
          <w:pgMar w:left="248" w:top="274" w:right="259" w:bottom="1440" w:gutter="0" w:footer="0" w:header="0"/>
        </w:sectPr>
      </w:pPr>
    </w:p>
    <w:bookmarkStart w:id="16" w:name="page17"/>
    <w:bookmarkEnd w:id="16"/>
    <w:p>
      <w:pPr>
        <w:ind w:right="4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Statement and the Prospectus and any amendment or supplement thereto, it being understood and agreed that the only such information furnished by any Underwriter consists of the information described as such in Section 8(b) hereof.</w:t>
      </w:r>
    </w:p>
    <w:p>
      <w:pPr>
        <w:spacing w:after="0" w:line="170" w:lineRule="exact"/>
        <w:rPr>
          <w:sz w:val="20"/>
          <w:szCs w:val="20"/>
          <w:color w:val="auto"/>
        </w:rPr>
      </w:pPr>
    </w:p>
    <w:p>
      <w:pPr>
        <w:ind w:right="80" w:firstLine="921"/>
        <w:spacing w:after="0" w:line="290" w:lineRule="auto"/>
        <w:tabs>
          <w:tab w:leader="none" w:pos="1303" w:val="left"/>
        </w:tabs>
        <w:numPr>
          <w:ilvl w:val="1"/>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Financial Statements. </w:t>
      </w:r>
      <w:r>
        <w:rPr>
          <w:rFonts w:ascii="Arial" w:cs="Arial" w:eastAsia="Arial" w:hAnsi="Arial"/>
          <w:sz w:val="16"/>
          <w:szCs w:val="16"/>
          <w:color w:val="auto"/>
        </w:rPr>
        <w:t>The financial statements (including the related notes thereto) of the Company and its consolidated subsidiaries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included in the Registration Statement, the Pricing Disclosure Package and the Prospectus comply in all material respects with the applicable requirements of the Securities Act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in the United States applied on a consistent basis throughout the periods covered thereby, and any supporting schedules included in the Registration Statement present fairly in all material respects the information required to be stated therein; and the other financial information included in the Registration Statement, the Pricing Disclosure Package and the Prospectus has been derived from the accounting records and other books and records of the Company and its consolidated subsidiaries and presents fairly in all material respects the information shown thereby.</w:t>
      </w:r>
    </w:p>
    <w:p>
      <w:pPr>
        <w:spacing w:after="0" w:line="166" w:lineRule="exact"/>
        <w:rPr>
          <w:rFonts w:ascii="Arial" w:cs="Arial" w:eastAsia="Arial" w:hAnsi="Arial"/>
          <w:sz w:val="16"/>
          <w:szCs w:val="16"/>
          <w:color w:val="auto"/>
        </w:rPr>
      </w:pPr>
    </w:p>
    <w:p>
      <w:pPr>
        <w:ind w:right="180" w:firstLine="921"/>
        <w:spacing w:after="0" w:line="291" w:lineRule="auto"/>
        <w:tabs>
          <w:tab w:leader="none" w:pos="1293" w:val="left"/>
        </w:tabs>
        <w:numPr>
          <w:ilvl w:val="1"/>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No Material Adverse Change. </w:t>
      </w:r>
      <w:r>
        <w:rPr>
          <w:rFonts w:ascii="Arial" w:cs="Arial" w:eastAsia="Arial" w:hAnsi="Arial"/>
          <w:sz w:val="16"/>
          <w:szCs w:val="16"/>
          <w:color w:val="auto"/>
        </w:rPr>
        <w:t>Except as disclosed in the Registration Statement, the Pricing Disclosure Package and the Prospectus, since</w:t>
      </w:r>
      <w:r>
        <w:rPr>
          <w:rFonts w:ascii="Arial" w:cs="Arial" w:eastAsia="Arial" w:hAnsi="Arial"/>
          <w:sz w:val="16"/>
          <w:szCs w:val="16"/>
          <w:i w:val="1"/>
          <w:iCs w:val="1"/>
          <w:color w:val="auto"/>
        </w:rPr>
        <w:t xml:space="preserve"> </w:t>
      </w:r>
      <w:r>
        <w:rPr>
          <w:rFonts w:ascii="Arial" w:cs="Arial" w:eastAsia="Arial" w:hAnsi="Arial"/>
          <w:sz w:val="16"/>
          <w:szCs w:val="16"/>
          <w:color w:val="auto"/>
        </w:rPr>
        <w:t>the date of the most recent financial statements of the Company included in the Registration Statement, the Pricing Disclosure Package and the Prospectus,</w:t>
      </w:r>
    </w:p>
    <w:p>
      <w:pPr>
        <w:ind w:firstLine="8"/>
        <w:spacing w:after="0" w:line="267" w:lineRule="auto"/>
        <w:tabs>
          <w:tab w:leader="none" w:pos="21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there has not been any material change in the capital stock of the Company, short-term debt or long-term debt of the Company or any of its subsidiaries, or any dividend or distribution of any kind declared, set aside for payment, paid or made by the Company on any class of capital stock (other than with respect to 125,519, 22,327, and 153,295 shares of common stock of the Company issued on October 13, 2017, December 29, 2017, and January 12, 2018, respectively, pursuant to the Company’s dividend reinvestment plan), or any material adverse change, or any development that would reasonably be expected to result in a material adverse change, in or affecting the business, properties, management, financial position, stockholders’ equity, results of operations or prospects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w:t>
      </w:r>
    </w:p>
    <w:p>
      <w:pPr>
        <w:spacing w:after="0" w:line="186" w:lineRule="exact"/>
        <w:rPr>
          <w:rFonts w:ascii="Arial" w:cs="Arial" w:eastAsia="Arial" w:hAnsi="Arial"/>
          <w:sz w:val="17"/>
          <w:szCs w:val="17"/>
          <w:color w:val="auto"/>
        </w:rPr>
      </w:pPr>
    </w:p>
    <w:p>
      <w:pPr>
        <w:ind w:right="140" w:firstLine="921"/>
        <w:spacing w:after="0" w:line="312" w:lineRule="auto"/>
        <w:tabs>
          <w:tab w:leader="none" w:pos="1273" w:val="left"/>
        </w:tabs>
        <w:numPr>
          <w:ilvl w:val="1"/>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Organization and Good Standing. </w:t>
      </w:r>
      <w:r>
        <w:rPr>
          <w:rFonts w:ascii="Arial" w:cs="Arial" w:eastAsia="Arial" w:hAnsi="Arial"/>
          <w:sz w:val="16"/>
          <w:szCs w:val="16"/>
          <w:color w:val="auto"/>
        </w:rPr>
        <w:t>The Company and each of its subsidiaries have been duly organized and are validly existing and in good</w:t>
      </w:r>
      <w:r>
        <w:rPr>
          <w:rFonts w:ascii="Arial" w:cs="Arial" w:eastAsia="Arial" w:hAnsi="Arial"/>
          <w:sz w:val="16"/>
          <w:szCs w:val="16"/>
          <w:i w:val="1"/>
          <w:iCs w:val="1"/>
          <w:color w:val="auto"/>
        </w:rPr>
        <w:t xml:space="preserve"> </w:t>
      </w:r>
      <w:r>
        <w:rPr>
          <w:rFonts w:ascii="Arial" w:cs="Arial" w:eastAsia="Arial" w:hAnsi="Arial"/>
          <w:sz w:val="16"/>
          <w:szCs w:val="16"/>
          <w:color w:val="auto"/>
        </w:rPr>
        <w:t>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7" w:name="page18"/>
    <w:bookmarkEnd w:id="17"/>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authority necessary to own or hold their respective properties and to conduct the businesses in which they are engaged, except where the failure to be so qualified or in good standing or have such power or authority would not reasonably be expected, individually or in the aggregate, to have a material adverse effect on the business, properties, management, financial position, stockholders’ equity, results of operations or prospects of the Company and its subsidiaries taken as a whole or on the performance by the Company of its obligations under this Agreement, the Indenture, the Securities, the Investment Management Agreement and the Administration Agreement (a “Material Adverse Effect”). The subsidiaries listed in Schedule 3 to this Agreement are the only subsidiaries of the Company.</w:t>
      </w:r>
    </w:p>
    <w:p>
      <w:pPr>
        <w:spacing w:after="0" w:line="193" w:lineRule="exact"/>
        <w:rPr>
          <w:sz w:val="20"/>
          <w:szCs w:val="20"/>
          <w:color w:val="auto"/>
        </w:rPr>
      </w:pPr>
    </w:p>
    <w:p>
      <w:pPr>
        <w:ind w:right="60" w:firstLine="921"/>
        <w:spacing w:after="0" w:line="268" w:lineRule="auto"/>
        <w:tabs>
          <w:tab w:leader="none" w:pos="1303"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 xml:space="preserve">Capitalization. </w:t>
      </w:r>
      <w:r>
        <w:rPr>
          <w:rFonts w:ascii="Arial" w:cs="Arial" w:eastAsia="Arial" w:hAnsi="Arial"/>
          <w:sz w:val="17"/>
          <w:szCs w:val="17"/>
          <w:color w:val="auto"/>
        </w:rPr>
        <w:t>As of September 30, 2017, the Company had authorized and outstanding capital stock and material indebtedness as set forth</w:t>
      </w:r>
      <w:r>
        <w:rPr>
          <w:rFonts w:ascii="Arial" w:cs="Arial" w:eastAsia="Arial" w:hAnsi="Arial"/>
          <w:sz w:val="17"/>
          <w:szCs w:val="17"/>
          <w:i w:val="1"/>
          <w:iCs w:val="1"/>
          <w:color w:val="auto"/>
        </w:rPr>
        <w:t xml:space="preserve"> </w:t>
      </w:r>
      <w:r>
        <w:rPr>
          <w:rFonts w:ascii="Arial" w:cs="Arial" w:eastAsia="Arial" w:hAnsi="Arial"/>
          <w:sz w:val="17"/>
          <w:szCs w:val="17"/>
          <w:color w:val="auto"/>
        </w:rPr>
        <w:t>in the Registration Statement, the Pricing Disclosure Package and the Prospectus in “Capitalization” under the heading “Actual”, all the outstanding shares of capital stock of the Company have been duly authorized and validly issued and are fully paid and non-assessable and are not subject to any pre-emptive or similar rights; except as described in or expressly contemplated by the Pricing Disclosure Package and the Prospectus,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Registration Statement, the Pricing Disclosure Package and the Prospectus; and all the outstanding shares of capital stock or other equity interests of each subsidiary owned, directly or indirectly, by the Company have been duly authorized and validly issued, are fully paid and non-assessable (except as otherwise described in the Registration Statement, the Pricing Disclosure Package and the Prospectus), and are owned directly or indirectly by the Company, free and clear of any lien, charge, encumbrance, security interest, restriction on voting or transfer or any other claim of any third party, except as described in the Registration Statement, the Pricing Disclosure Package and the Prospectus.</w:t>
      </w:r>
    </w:p>
    <w:p>
      <w:pPr>
        <w:spacing w:after="0" w:line="187" w:lineRule="exact"/>
        <w:rPr>
          <w:rFonts w:ascii="Arial" w:cs="Arial" w:eastAsia="Arial" w:hAnsi="Arial"/>
          <w:sz w:val="17"/>
          <w:szCs w:val="17"/>
          <w:color w:val="auto"/>
        </w:rPr>
      </w:pPr>
    </w:p>
    <w:p>
      <w:pPr>
        <w:ind w:left="1320" w:hanging="399"/>
        <w:spacing w:after="0"/>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The Company has not granted, and has no policy or expectation of granting stock options.</w:t>
      </w:r>
    </w:p>
    <w:p>
      <w:pPr>
        <w:spacing w:after="0" w:line="225" w:lineRule="exact"/>
        <w:rPr>
          <w:rFonts w:ascii="Arial" w:cs="Arial" w:eastAsia="Arial" w:hAnsi="Arial"/>
          <w:sz w:val="18"/>
          <w:szCs w:val="18"/>
          <w:color w:val="auto"/>
        </w:rPr>
      </w:pPr>
    </w:p>
    <w:p>
      <w:pPr>
        <w:ind w:firstLine="921"/>
        <w:spacing w:after="0" w:line="276" w:lineRule="auto"/>
        <w:tabs>
          <w:tab w:leader="none" w:pos="1263"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 xml:space="preserve">Due Authorization. </w:t>
      </w:r>
      <w:r>
        <w:rPr>
          <w:rFonts w:ascii="Arial" w:cs="Arial" w:eastAsia="Arial" w:hAnsi="Arial"/>
          <w:sz w:val="17"/>
          <w:szCs w:val="17"/>
          <w:color w:val="auto"/>
        </w:rPr>
        <w:t>The Company has corporate power and authority to execute and deliver this Agreement, the Indenture and the Securities,</w:t>
      </w:r>
      <w:r>
        <w:rPr>
          <w:rFonts w:ascii="Arial" w:cs="Arial" w:eastAsia="Arial" w:hAnsi="Arial"/>
          <w:sz w:val="17"/>
          <w:szCs w:val="17"/>
          <w:i w:val="1"/>
          <w:iCs w:val="1"/>
          <w:color w:val="auto"/>
        </w:rPr>
        <w:t xml:space="preserve"> </w:t>
      </w:r>
      <w:r>
        <w:rPr>
          <w:rFonts w:ascii="Arial" w:cs="Arial" w:eastAsia="Arial" w:hAnsi="Arial"/>
          <w:sz w:val="17"/>
          <w:szCs w:val="17"/>
          <w:color w:val="auto"/>
        </w:rPr>
        <w:t>and at the applicable time had corporate power and authority to execute and deliver the Investment Management Agreement and the Administration Agreement and to perform its obligations hereunder and thereunder; and all action required to be taken for the due and proper authorization, execution and delivery by it of this Agreement, the Indenture, the Securities and each of the Investment Management Agreement and the Administration Agreement and the consummation by it of the transactions contemplated hereby and thereby has been duly and validly taken.</w:t>
      </w:r>
    </w:p>
    <w:p>
      <w:pPr>
        <w:spacing w:after="0" w:line="172" w:lineRule="exact"/>
        <w:rPr>
          <w:rFonts w:ascii="Arial" w:cs="Arial" w:eastAsia="Arial" w:hAnsi="Arial"/>
          <w:sz w:val="17"/>
          <w:szCs w:val="17"/>
          <w:color w:val="auto"/>
        </w:rPr>
      </w:pPr>
    </w:p>
    <w:p>
      <w:pPr>
        <w:ind w:left="1280" w:hanging="359"/>
        <w:spacing w:after="0"/>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Underwriting Agreement. </w:t>
      </w:r>
      <w:r>
        <w:rPr>
          <w:rFonts w:ascii="Arial" w:cs="Arial" w:eastAsia="Arial" w:hAnsi="Arial"/>
          <w:sz w:val="18"/>
          <w:szCs w:val="18"/>
          <w:color w:val="auto"/>
        </w:rPr>
        <w:t>This Agreement has been duly authorized, executed and delivered by the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8" w:name="page19"/>
    <w:bookmarkEnd w:id="18"/>
    <w:p>
      <w:pPr>
        <w:jc w:val="both"/>
        <w:ind w:left="-20" w:right="200" w:firstLine="921"/>
        <w:spacing w:after="0" w:line="259" w:lineRule="auto"/>
        <w:tabs>
          <w:tab w:leader="none" w:pos="1283"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Investment Management Agreement and Administration Agreement. </w:t>
      </w:r>
      <w:r>
        <w:rPr>
          <w:rFonts w:ascii="Arial" w:cs="Arial" w:eastAsia="Arial" w:hAnsi="Arial"/>
          <w:sz w:val="18"/>
          <w:szCs w:val="18"/>
          <w:color w:val="auto"/>
        </w:rPr>
        <w:t>The Investment Management Agreement and the Administration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have each been duly authorized, executed and delivered by the Company and are valid and binding obligations of the Company, enforceable against the Company in accordance with their terms, except as enforceability may be limited by applicable bankruptcy, insolvency or similar laws affecting creditors’ rights generally or by equitable principles relating to enforceability.</w:t>
      </w:r>
    </w:p>
    <w:p>
      <w:pPr>
        <w:spacing w:after="0" w:line="186" w:lineRule="exact"/>
        <w:rPr>
          <w:rFonts w:ascii="Arial" w:cs="Arial" w:eastAsia="Arial" w:hAnsi="Arial"/>
          <w:sz w:val="18"/>
          <w:szCs w:val="18"/>
          <w:color w:val="auto"/>
        </w:rPr>
      </w:pPr>
    </w:p>
    <w:p>
      <w:pPr>
        <w:ind w:left="-20" w:right="180" w:firstLine="921"/>
        <w:spacing w:after="0" w:line="259" w:lineRule="auto"/>
        <w:tabs>
          <w:tab w:leader="none" w:pos="1243"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Indenture</w:t>
      </w:r>
      <w:r>
        <w:rPr>
          <w:rFonts w:ascii="Arial" w:cs="Arial" w:eastAsia="Arial" w:hAnsi="Arial"/>
          <w:sz w:val="18"/>
          <w:szCs w:val="18"/>
          <w:color w:val="auto"/>
        </w:rPr>
        <w:t>. The Indenture has been duly authorized, and, on the Closing Date, will be duly executed and delivered by the Company and,</w:t>
      </w:r>
      <w:r>
        <w:rPr>
          <w:rFonts w:ascii="Arial" w:cs="Arial" w:eastAsia="Arial" w:hAnsi="Arial"/>
          <w:sz w:val="18"/>
          <w:szCs w:val="18"/>
          <w:i w:val="1"/>
          <w:iCs w:val="1"/>
          <w:color w:val="auto"/>
        </w:rPr>
        <w:t xml:space="preserve"> </w:t>
      </w:r>
      <w:r>
        <w:rPr>
          <w:rFonts w:ascii="Arial" w:cs="Arial" w:eastAsia="Arial" w:hAnsi="Arial"/>
          <w:sz w:val="18"/>
          <w:szCs w:val="18"/>
          <w:color w:val="auto"/>
        </w:rPr>
        <w:t>when executed and delivered by the Trustee, will constitute a valid and binding obligation of the Company, enforceable against the Company in accordance with its terms, except as enforceability may be limited by applicable bankruptcy, insolvency or similar laws affecting creditors’ rights generally or by equitable principles relating to enforceability. The Indenture has been qualified under the TIA.</w:t>
      </w:r>
    </w:p>
    <w:p>
      <w:pPr>
        <w:spacing w:after="0" w:line="186" w:lineRule="exact"/>
        <w:rPr>
          <w:rFonts w:ascii="Arial" w:cs="Arial" w:eastAsia="Arial" w:hAnsi="Arial"/>
          <w:sz w:val="18"/>
          <w:szCs w:val="18"/>
          <w:color w:val="auto"/>
        </w:rPr>
      </w:pPr>
    </w:p>
    <w:p>
      <w:pPr>
        <w:ind w:left="-20" w:firstLine="921"/>
        <w:spacing w:after="0" w:line="293" w:lineRule="auto"/>
        <w:tabs>
          <w:tab w:leader="none" w:pos="1333"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The Securities</w:t>
      </w:r>
      <w:r>
        <w:rPr>
          <w:rFonts w:ascii="Arial" w:cs="Arial" w:eastAsia="Arial" w:hAnsi="Arial"/>
          <w:sz w:val="16"/>
          <w:szCs w:val="16"/>
          <w:color w:val="auto"/>
        </w:rPr>
        <w:t>. The Securities to be issued and sold by the Company hereunder have been duly authorized and, when issued, authenticated</w:t>
      </w:r>
      <w:r>
        <w:rPr>
          <w:rFonts w:ascii="Arial" w:cs="Arial" w:eastAsia="Arial" w:hAnsi="Arial"/>
          <w:sz w:val="16"/>
          <w:szCs w:val="16"/>
          <w:i w:val="1"/>
          <w:iCs w:val="1"/>
          <w:color w:val="auto"/>
        </w:rPr>
        <w:t xml:space="preserve"> </w:t>
      </w:r>
      <w:r>
        <w:rPr>
          <w:rFonts w:ascii="Arial" w:cs="Arial" w:eastAsia="Arial" w:hAnsi="Arial"/>
          <w:sz w:val="16"/>
          <w:szCs w:val="16"/>
          <w:color w:val="auto"/>
        </w:rPr>
        <w:t>and delivered by the Company and when authenticated by the Trustee as provided herein and in the Indenture relating thereto, against payment of the consideration set forth herein, will be valid and binding obligations of the Company, enforceable against the Company in accordance with their terms, except as enforceability may be limited by applicable bankruptcy, insolvency or similar laws affecting creditors’ rights generally or by equitable principles relating to enforceability, and will be entitled to the benefits of the Indenture relating thereto; and the Securities and the Indenture conform in all material respects to the statements relating thereto contained in the Registration Statement, the Pricing Disclosure Package and the Prospectus.</w:t>
      </w:r>
    </w:p>
    <w:p>
      <w:pPr>
        <w:spacing w:after="0" w:line="164" w:lineRule="exact"/>
        <w:rPr>
          <w:rFonts w:ascii="Arial" w:cs="Arial" w:eastAsia="Arial" w:hAnsi="Arial"/>
          <w:sz w:val="16"/>
          <w:szCs w:val="16"/>
          <w:color w:val="auto"/>
        </w:rPr>
      </w:pPr>
    </w:p>
    <w:p>
      <w:pPr>
        <w:ind w:left="-20" w:firstLine="921"/>
        <w:spacing w:after="0" w:line="264" w:lineRule="auto"/>
        <w:tabs>
          <w:tab w:leader="none" w:pos="1283"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Descriptions of Investment Management Agreement and Administration Agreement</w:t>
      </w:r>
      <w:r>
        <w:rPr>
          <w:rFonts w:ascii="Arial" w:cs="Arial" w:eastAsia="Arial" w:hAnsi="Arial"/>
          <w:sz w:val="18"/>
          <w:szCs w:val="18"/>
          <w:color w:val="auto"/>
        </w:rPr>
        <w:t>. Both the Investment Management Agreement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Administration Agreement conform in all material respects to the descriptions thereof contained in the Registration Statement, the Pricing Disclosure Package and the Prospectus.</w:t>
      </w:r>
    </w:p>
    <w:p>
      <w:pPr>
        <w:spacing w:after="0" w:line="181" w:lineRule="exact"/>
        <w:rPr>
          <w:rFonts w:ascii="Arial" w:cs="Arial" w:eastAsia="Arial" w:hAnsi="Arial"/>
          <w:sz w:val="18"/>
          <w:szCs w:val="18"/>
          <w:color w:val="auto"/>
        </w:rPr>
      </w:pPr>
    </w:p>
    <w:p>
      <w:pPr>
        <w:ind w:left="-20" w:right="20" w:firstLine="921"/>
        <w:spacing w:after="0" w:line="254" w:lineRule="auto"/>
        <w:tabs>
          <w:tab w:leader="none" w:pos="1283"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No Violation or Default. </w:t>
      </w:r>
      <w:r>
        <w:rPr>
          <w:rFonts w:ascii="Arial" w:cs="Arial" w:eastAsia="Arial" w:hAnsi="Arial"/>
          <w:sz w:val="18"/>
          <w:szCs w:val="18"/>
          <w:color w:val="auto"/>
        </w:rPr>
        <w:t>Neither the Company nor any of its subsidiaries is (i) in violation of its charter or by-laws or similar organizational</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(iii) in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(ii) and (iii) above, for any such default or violation that would not reasonably be expected, individually or in the aggregate, to have a Material Adverse Effect.</w:t>
      </w:r>
    </w:p>
    <w:p>
      <w:pPr>
        <w:spacing w:after="0" w:line="192" w:lineRule="exact"/>
        <w:rPr>
          <w:rFonts w:ascii="Arial" w:cs="Arial" w:eastAsia="Arial" w:hAnsi="Arial"/>
          <w:sz w:val="18"/>
          <w:szCs w:val="18"/>
          <w:color w:val="auto"/>
        </w:rPr>
      </w:pPr>
    </w:p>
    <w:p>
      <w:pPr>
        <w:ind w:left="-20" w:right="200" w:firstLine="921"/>
        <w:spacing w:after="0" w:line="308" w:lineRule="auto"/>
        <w:tabs>
          <w:tab w:leader="none" w:pos="1283"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 xml:space="preserve">No Conflicts. </w:t>
      </w:r>
      <w:r>
        <w:rPr>
          <w:rFonts w:ascii="Arial" w:cs="Arial" w:eastAsia="Arial" w:hAnsi="Arial"/>
          <w:sz w:val="17"/>
          <w:szCs w:val="17"/>
          <w:color w:val="auto"/>
        </w:rPr>
        <w:t>The execution, delivery and performance by the Company of this Agreement and the Indenture, the issuance and sale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and the consummation of the transactions contemplated by this Agreement and the Indenture and the performance by the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60" w:top="274" w:right="259" w:bottom="1440" w:gutter="0" w:footer="0" w:header="0"/>
        </w:sectPr>
      </w:pPr>
    </w:p>
    <w:bookmarkStart w:id="19" w:name="page20"/>
    <w:bookmarkEnd w:id="19"/>
    <w:p>
      <w:pPr>
        <w:ind w:right="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of the Investment Management Agreement and the Administration Agreement will not (i) conflict with or result in a breach or violation of any of the terms or provisions of, or constitute a default under, or result in the creation or imposition of any lien, charge or encumbrance upon any property or assets of the Company or any of its subsidiaries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charter or by-laws or similar organizational documents of the Company or any of its subsidiaries or (iii) result in the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 and (iii) above, for any such conflict, breach, violation, default, lien, charge or encumbrance that would not reasonably be expected, individually or in the aggregate, to have a Material Adverse Effect.</w:t>
      </w:r>
    </w:p>
    <w:p>
      <w:pPr>
        <w:spacing w:after="0" w:line="182" w:lineRule="exact"/>
        <w:rPr>
          <w:sz w:val="20"/>
          <w:szCs w:val="20"/>
          <w:color w:val="auto"/>
        </w:rPr>
      </w:pPr>
    </w:p>
    <w:p>
      <w:pPr>
        <w:ind w:right="80" w:firstLine="921"/>
        <w:spacing w:after="0" w:line="270" w:lineRule="auto"/>
        <w:tabs>
          <w:tab w:leader="none" w:pos="1303"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 xml:space="preserve">No Consents Required. </w:t>
      </w:r>
      <w:r>
        <w:rPr>
          <w:rFonts w:ascii="Arial" w:cs="Arial" w:eastAsia="Arial" w:hAnsi="Arial"/>
          <w:sz w:val="17"/>
          <w:szCs w:val="17"/>
          <w:color w:val="auto"/>
        </w:rPr>
        <w:t>No consent, approval, authorization, order, license, registration or qualification of or with any court or arbitrator or</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governmental or regulatory authority is required for the execution, delivery and performance by the Company of this Agreement and the Indenture, the issuance and sale of the Securities and the consummation of the transactions contemplated by this Agreement and the Indenture or the performance by the Company of the Investment Management Agreement and the Administration Agreement, except for (i) the registration of the Securities under the Securities Act, (ii) such consents, approvals, authorizations, orders, licenses, registrations or qualifications as have already been obtained or made, (iii) the qualification of the Indenture under the TIA, (iv) such consents, approvals, authorizations, orders and registrations or qualifications as may be required by the Financial Industry Regulatory Authority, Inc. (“FINRA”) or under applicable state securities laws in connection with the purchase and distribution of the Securities by the Underwriters and (v) where the failure to obtain any such consent, approval, authorization, order, license, registration or qualification would not reasonably be expected, individually or in the aggregate, to have a Material Adverse Effect.</w:t>
      </w:r>
    </w:p>
    <w:p>
      <w:pPr>
        <w:spacing w:after="0" w:line="181" w:lineRule="exact"/>
        <w:rPr>
          <w:rFonts w:ascii="Arial" w:cs="Arial" w:eastAsia="Arial" w:hAnsi="Arial"/>
          <w:sz w:val="17"/>
          <w:szCs w:val="17"/>
          <w:color w:val="auto"/>
        </w:rPr>
      </w:pPr>
    </w:p>
    <w:p>
      <w:pPr>
        <w:ind w:firstLine="921"/>
        <w:spacing w:after="0" w:line="290" w:lineRule="auto"/>
        <w:tabs>
          <w:tab w:leader="none" w:pos="1273"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Legal Proceedings. </w:t>
      </w:r>
      <w:r>
        <w:rPr>
          <w:rFonts w:ascii="Arial" w:cs="Arial" w:eastAsia="Arial" w:hAnsi="Arial"/>
          <w:sz w:val="16"/>
          <w:szCs w:val="16"/>
          <w:color w:val="auto"/>
        </w:rPr>
        <w:t>Except as described in the Registration Statement, the Pricing Disclosure Package and the Prospectus, there are no legal,</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governmental or regulatory investigations, actions, suits or proceedings pending to which the Company or any of its subsidiaries is or, to the knowledge of the Company, may be reasonably expected to become a party or to which any property of the Company or any of its subsidiaries is or, to the knowledge of the Company, may be reasonably expected to become the subject that, individually or in the aggregate, if determined adversely to the Company or any of its subsidiaries, would reasonably be expected to have a Material Adverse Effect; no such investigations, actions, suits or proceedings are threatened or, to the knowledge of the Company, contemplated by any governmental or regulatory authority or threatened by others, except as would not reasonably be expected, individually or in the aggregate, to have a Material Adverse Effect; and (i) there are no current or pending legal, governmental or regulatory actions, suits or proceedings that are required under the Securities Act to be described in the Registration Statement, the Pricing Disclosure Package or the Prospectus that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20" w:name="page21"/>
    <w:bookmarkEnd w:id="20"/>
    <w:p>
      <w:pPr>
        <w:ind w:right="1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are not so described in the Registration Statement, the Pricing Disclosure Package and the Prospectus and (ii) there are no contracts or other documents that are required under the Securities Act to be filed as exhibits to the Registration Statement that are not so filed as exhibits to the Registration Statement.</w:t>
      </w:r>
    </w:p>
    <w:p>
      <w:pPr>
        <w:spacing w:after="0" w:line="124" w:lineRule="exact"/>
        <w:rPr>
          <w:sz w:val="20"/>
          <w:szCs w:val="20"/>
          <w:color w:val="auto"/>
        </w:rPr>
      </w:pPr>
    </w:p>
    <w:p>
      <w:pPr>
        <w:ind w:right="20" w:firstLine="921"/>
        <w:spacing w:after="0" w:line="259" w:lineRule="auto"/>
        <w:tabs>
          <w:tab w:leader="none" w:pos="1283"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Notification of Election</w:t>
      </w:r>
      <w:r>
        <w:rPr>
          <w:rFonts w:ascii="Arial" w:cs="Arial" w:eastAsia="Arial" w:hAnsi="Arial"/>
          <w:sz w:val="18"/>
          <w:szCs w:val="18"/>
          <w:color w:val="auto"/>
        </w:rPr>
        <w:t>. When the Notification of Election was filed with the Commission, it (i) contained all statements required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stated therein in accordance with, and complied in all material respects with the requirements of, the Investment Company Act and (ii) did not include any untrue statement of a material fact or omit to state a material fact necessary to make the statements therein, in the light of the circumstances under which they were made, not misleading.</w:t>
      </w:r>
    </w:p>
    <w:p>
      <w:pPr>
        <w:spacing w:after="0" w:line="186" w:lineRule="exact"/>
        <w:rPr>
          <w:rFonts w:ascii="Arial" w:cs="Arial" w:eastAsia="Arial" w:hAnsi="Arial"/>
          <w:sz w:val="18"/>
          <w:szCs w:val="18"/>
          <w:color w:val="auto"/>
        </w:rPr>
      </w:pPr>
    </w:p>
    <w:p>
      <w:pPr>
        <w:ind w:firstLine="921"/>
        <w:spacing w:after="0" w:line="254" w:lineRule="auto"/>
        <w:tabs>
          <w:tab w:leader="none" w:pos="1263"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Election to be Treated as a Business Development Company</w:t>
      </w:r>
      <w:r>
        <w:rPr>
          <w:rFonts w:ascii="Arial" w:cs="Arial" w:eastAsia="Arial" w:hAnsi="Arial"/>
          <w:sz w:val="18"/>
          <w:szCs w:val="18"/>
          <w:color w:val="auto"/>
        </w:rPr>
        <w:t>. (A) The Company has duly elected to be treated by the Commission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Company Act as a business development company, such election is effective and the Company has not withdrawn such election and, to the Company’s knowledge, the Commission has not ordered such election to be withdrawn nor, to the Company’s knowledge have proceedings to effectuate such withdrawal been initiated or threatened by the Commission; (B) the provisions of the certificate of incorporation and by-laws of the Company and the investment objectives, policies and restrictions of the Company described in the Prospectus, assuming they are implemented as described, will comply in all material respects with the requirements of the Investment Company Act; and (C) as of the time of the sale of the Securities and as of the Closing Date, the operations of the Company are in compliance in all material respects with the provisions of the Investment Company Act applicable to business development companies.</w:t>
      </w:r>
    </w:p>
    <w:p>
      <w:pPr>
        <w:spacing w:after="0" w:line="192" w:lineRule="exact"/>
        <w:rPr>
          <w:rFonts w:ascii="Arial" w:cs="Arial" w:eastAsia="Arial" w:hAnsi="Arial"/>
          <w:sz w:val="18"/>
          <w:szCs w:val="18"/>
          <w:color w:val="auto"/>
        </w:rPr>
      </w:pPr>
    </w:p>
    <w:p>
      <w:pPr>
        <w:ind w:right="300" w:firstLine="921"/>
        <w:spacing w:after="0" w:line="286" w:lineRule="auto"/>
        <w:tabs>
          <w:tab w:leader="none" w:pos="1303"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Independent Accountants</w:t>
      </w:r>
      <w:r>
        <w:rPr>
          <w:rFonts w:ascii="Arial" w:cs="Arial" w:eastAsia="Arial" w:hAnsi="Arial"/>
          <w:sz w:val="17"/>
          <w:szCs w:val="17"/>
          <w:color w:val="auto"/>
        </w:rPr>
        <w:t>. KPMG LLP, who have certified certain financial statements of the Company and its subsidiaries, is an</w:t>
      </w:r>
      <w:r>
        <w:rPr>
          <w:rFonts w:ascii="Arial" w:cs="Arial" w:eastAsia="Arial" w:hAnsi="Arial"/>
          <w:sz w:val="17"/>
          <w:szCs w:val="17"/>
          <w:i w:val="1"/>
          <w:iCs w:val="1"/>
          <w:color w:val="auto"/>
        </w:rPr>
        <w:t xml:space="preserve"> </w:t>
      </w:r>
      <w:r>
        <w:rPr>
          <w:rFonts w:ascii="Arial" w:cs="Arial" w:eastAsia="Arial" w:hAnsi="Arial"/>
          <w:sz w:val="17"/>
          <w:szCs w:val="17"/>
          <w:color w:val="auto"/>
        </w:rPr>
        <w:t>independent registered public accounting firm with respect to the Company and its subsidiaries within the applicable rules and regulations adopted by the Commission and the Public Company Accounting Oversight Board (United States) and as required by the Securities Act.</w:t>
      </w:r>
    </w:p>
    <w:p>
      <w:pPr>
        <w:spacing w:after="0" w:line="165" w:lineRule="exact"/>
        <w:rPr>
          <w:rFonts w:ascii="Arial" w:cs="Arial" w:eastAsia="Arial" w:hAnsi="Arial"/>
          <w:sz w:val="17"/>
          <w:szCs w:val="17"/>
          <w:color w:val="auto"/>
        </w:rPr>
      </w:pPr>
    </w:p>
    <w:p>
      <w:pPr>
        <w:ind w:right="100" w:firstLine="921"/>
        <w:spacing w:after="0" w:line="293" w:lineRule="auto"/>
        <w:tabs>
          <w:tab w:leader="none" w:pos="1303"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Title to Real and Personal Property</w:t>
      </w:r>
      <w:r>
        <w:rPr>
          <w:rFonts w:ascii="Arial" w:cs="Arial" w:eastAsia="Arial" w:hAnsi="Arial"/>
          <w:sz w:val="16"/>
          <w:szCs w:val="16"/>
          <w:color w:val="auto"/>
        </w:rPr>
        <w:t>. Except as would not reasonably be expected, individually or in the aggregate, to have a Material</w:t>
      </w:r>
      <w:r>
        <w:rPr>
          <w:rFonts w:ascii="Arial" w:cs="Arial" w:eastAsia="Arial" w:hAnsi="Arial"/>
          <w:sz w:val="16"/>
          <w:szCs w:val="16"/>
          <w:i w:val="1"/>
          <w:iCs w:val="1"/>
          <w:color w:val="auto"/>
        </w:rPr>
        <w:t xml:space="preserve"> </w:t>
      </w:r>
      <w:r>
        <w:rPr>
          <w:rFonts w:ascii="Arial" w:cs="Arial" w:eastAsia="Arial" w:hAnsi="Arial"/>
          <w:sz w:val="16"/>
          <w:szCs w:val="16"/>
          <w:color w:val="auto"/>
        </w:rPr>
        <w:t>Adverse Effect, the Company and its subsidiaries have good and marketable title in fee simple (in the case of real property) to, or have valid and marketable rights to lease or otherwise use, all items of real and personal property and assets (other than intellectual property, which is subject to Section 3(w)) that are material to the business of the Company and its subsidiaries, in each case free and clear of all liens, encumbrances, claims and defects and imperfections of title except (i) as otherwise described in the Registration Statement, the Pricing Disclosure Package and the Prospectus or (ii) those that do not materially interfere with the use made and proposed to be made of such property by the Company and its subsidiaries.</w:t>
      </w:r>
    </w:p>
    <w:p>
      <w:pPr>
        <w:spacing w:after="0" w:line="164" w:lineRule="exact"/>
        <w:rPr>
          <w:rFonts w:ascii="Arial" w:cs="Arial" w:eastAsia="Arial" w:hAnsi="Arial"/>
          <w:sz w:val="16"/>
          <w:szCs w:val="16"/>
          <w:color w:val="auto"/>
        </w:rPr>
      </w:pPr>
    </w:p>
    <w:p>
      <w:pPr>
        <w:ind w:right="60" w:firstLine="921"/>
        <w:spacing w:after="0" w:line="312" w:lineRule="auto"/>
        <w:tabs>
          <w:tab w:leader="none" w:pos="1343"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Title to Intellectual Property</w:t>
      </w:r>
      <w:r>
        <w:rPr>
          <w:rFonts w:ascii="Arial" w:cs="Arial" w:eastAsia="Arial" w:hAnsi="Arial"/>
          <w:sz w:val="16"/>
          <w:szCs w:val="16"/>
          <w:color w:val="auto"/>
        </w:rPr>
        <w:t>. Except as would not reasonably be expected, individually or in the aggregate, to have a Material Adverse</w:t>
      </w:r>
      <w:r>
        <w:rPr>
          <w:rFonts w:ascii="Arial" w:cs="Arial" w:eastAsia="Arial" w:hAnsi="Arial"/>
          <w:sz w:val="16"/>
          <w:szCs w:val="16"/>
          <w:i w:val="1"/>
          <w:iCs w:val="1"/>
          <w:color w:val="auto"/>
        </w:rPr>
        <w:t xml:space="preserve"> </w:t>
      </w:r>
      <w:r>
        <w:rPr>
          <w:rFonts w:ascii="Arial" w:cs="Arial" w:eastAsia="Arial" w:hAnsi="Arial"/>
          <w:sz w:val="16"/>
          <w:szCs w:val="16"/>
          <w:color w:val="auto"/>
        </w:rPr>
        <w:t>Effect, (i) the Company and its subsidiaries, to the knowledge of the Company, own or possess, or can acquire on reasonable terms, adequate rights to use all patents, patent applications, trademarks, service marks, trade names, trademark registrations, service mark registrations, copyrights, licenses and know-how</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74" w:right="299" w:bottom="1440" w:gutter="0" w:footer="0" w:header="0"/>
        </w:sectPr>
      </w:pPr>
    </w:p>
    <w:bookmarkStart w:id="21" w:name="page22"/>
    <w:bookmarkEnd w:id="21"/>
    <w:p>
      <w:pPr>
        <w:ind w:right="2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(including trade secrets) necessary for the conduct of their respective businesses as currently conducted, and (ii) to the knowledge of the Company, the conduct of their respective businesses as currently conducted does not conflict with any such rights of others. The Company and its subsidiaries have not received any written notice of any claim of infringement, misappropriation or conflict with any such rights of others in connection with its patents, patent rights, licenses, inventions, trademarks, service marks, trade names, copyrights and know-how, which would reasonably be expected to result in a Material Adverse Effect.</w:t>
      </w:r>
    </w:p>
    <w:p>
      <w:pPr>
        <w:spacing w:after="0" w:line="188" w:lineRule="exact"/>
        <w:rPr>
          <w:sz w:val="20"/>
          <w:szCs w:val="20"/>
          <w:color w:val="auto"/>
        </w:rPr>
      </w:pPr>
    </w:p>
    <w:p>
      <w:pPr>
        <w:ind w:right="160" w:firstLine="921"/>
        <w:spacing w:after="0" w:line="259" w:lineRule="auto"/>
        <w:tabs>
          <w:tab w:leader="none" w:pos="1303"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No Undisclosed Relationships</w:t>
      </w:r>
      <w:r>
        <w:rPr>
          <w:rFonts w:ascii="Arial" w:cs="Arial" w:eastAsia="Arial" w:hAnsi="Arial"/>
          <w:sz w:val="18"/>
          <w:szCs w:val="18"/>
          <w:color w:val="auto"/>
        </w:rPr>
        <w:t>. No relationship, direct or indirect, exists between or among the Company or any of its subsidiaries,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one hand, and the directors, officers, stockholders, customers or suppliers of the Company or any of its subsidiaries, on the other, that is required by the Securities Act to be described in the Registration Statement and the Prospectus and that is not so described in such documents and in the Pricing Disclosure Package.</w:t>
      </w:r>
    </w:p>
    <w:p>
      <w:pPr>
        <w:spacing w:after="0" w:line="186" w:lineRule="exact"/>
        <w:rPr>
          <w:rFonts w:ascii="Arial" w:cs="Arial" w:eastAsia="Arial" w:hAnsi="Arial"/>
          <w:sz w:val="18"/>
          <w:szCs w:val="18"/>
          <w:color w:val="auto"/>
        </w:rPr>
      </w:pPr>
    </w:p>
    <w:p>
      <w:pPr>
        <w:ind w:right="20" w:firstLine="921"/>
        <w:spacing w:after="0" w:line="276" w:lineRule="auto"/>
        <w:tabs>
          <w:tab w:leader="none" w:pos="1303"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Investment Company Act</w:t>
      </w:r>
      <w:r>
        <w:rPr>
          <w:rFonts w:ascii="Arial" w:cs="Arial" w:eastAsia="Arial" w:hAnsi="Arial"/>
          <w:sz w:val="17"/>
          <w:szCs w:val="17"/>
          <w:color w:val="auto"/>
        </w:rPr>
        <w:t>. The Company is not and its subsidiaries are not, and, after giving effect to the offering and sale of the Securities</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application of the proceeds thereof as described in the Registration Statement, the Pricing Disclosure Package and the Prospectus, neither the Company nor its subsidiaries will be required to register as an “investment company” or an entity “controlled” by an “investment company” within the meaning of the Investment Company Act. No person is serving or acting as an officer, director or investment adviser of the Company or any subsidiary of the Company except in accordance with the applicable provisions of the Investment Company Act and the Advisers Act.</w:t>
      </w:r>
    </w:p>
    <w:p>
      <w:pPr>
        <w:spacing w:after="0" w:line="172" w:lineRule="exact"/>
        <w:rPr>
          <w:rFonts w:ascii="Arial" w:cs="Arial" w:eastAsia="Arial" w:hAnsi="Arial"/>
          <w:sz w:val="17"/>
          <w:szCs w:val="17"/>
          <w:color w:val="auto"/>
        </w:rPr>
      </w:pPr>
    </w:p>
    <w:p>
      <w:pPr>
        <w:ind w:right="80" w:firstLine="921"/>
        <w:spacing w:after="0" w:line="293" w:lineRule="auto"/>
        <w:tabs>
          <w:tab w:leader="none" w:pos="1293"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Taxes. </w:t>
      </w:r>
      <w:r>
        <w:rPr>
          <w:rFonts w:ascii="Arial" w:cs="Arial" w:eastAsia="Arial" w:hAnsi="Arial"/>
          <w:sz w:val="16"/>
          <w:szCs w:val="16"/>
          <w:color w:val="auto"/>
        </w:rPr>
        <w:t>The Company and its subsidiaries have paid (or caused to be paid) all federal, state, local and foreign taxes required by law to be</w:t>
      </w:r>
      <w:r>
        <w:rPr>
          <w:rFonts w:ascii="Arial" w:cs="Arial" w:eastAsia="Arial" w:hAnsi="Arial"/>
          <w:sz w:val="16"/>
          <w:szCs w:val="16"/>
          <w:i w:val="1"/>
          <w:iCs w:val="1"/>
          <w:color w:val="auto"/>
        </w:rPr>
        <w:t xml:space="preserve"> </w:t>
      </w:r>
      <w:r>
        <w:rPr>
          <w:rFonts w:ascii="Arial" w:cs="Arial" w:eastAsia="Arial" w:hAnsi="Arial"/>
          <w:sz w:val="16"/>
          <w:szCs w:val="16"/>
          <w:color w:val="auto"/>
        </w:rPr>
        <w:t>paid, and have filed (or caused to be filed) all tax returns required by law to be filed, in each case, through the date hereof, except where the failure to pay such taxes or file such returns would not reasonably be expected, individually or in the aggregate, to have a Material Adverse Effect. Except as otherwise disclosed in the Registration Statement, the Pricing Disclosure Package and the Prospectus, there is no tax deficiency that has been, or, to the knowledge of the Company, would reasonably be expected to be, asserted against the Company or any of its subsidiaries or any of their respective properties or assets that, in any case, would reasonably be expected, individually or in the aggregate, to have a Material Adverse Effect.</w:t>
      </w:r>
    </w:p>
    <w:p>
      <w:pPr>
        <w:spacing w:after="0" w:line="165" w:lineRule="exact"/>
        <w:rPr>
          <w:sz w:val="20"/>
          <w:szCs w:val="20"/>
          <w:color w:val="auto"/>
        </w:rPr>
      </w:pPr>
    </w:p>
    <w:p>
      <w:pPr>
        <w:ind w:firstLine="921"/>
        <w:spacing w:after="0" w:line="270" w:lineRule="auto"/>
        <w:tabs>
          <w:tab w:leader="none" w:pos="1373"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 xml:space="preserve">Licenses and Permits. </w:t>
      </w:r>
      <w:r>
        <w:rPr>
          <w:rFonts w:ascii="Arial" w:cs="Arial" w:eastAsia="Arial" w:hAnsi="Arial"/>
          <w:sz w:val="17"/>
          <w:szCs w:val="17"/>
          <w:color w:val="auto"/>
        </w:rPr>
        <w:t>The Company and its subsidiaries possess all licenses, certificates, permits and other authorizations issued by, and</w:t>
      </w:r>
      <w:r>
        <w:rPr>
          <w:rFonts w:ascii="Arial" w:cs="Arial" w:eastAsia="Arial" w:hAnsi="Arial"/>
          <w:sz w:val="17"/>
          <w:szCs w:val="17"/>
          <w:i w:val="1"/>
          <w:iCs w:val="1"/>
          <w:color w:val="auto"/>
        </w:rPr>
        <w:t xml:space="preserve"> </w:t>
      </w:r>
      <w:r>
        <w:rPr>
          <w:rFonts w:ascii="Arial" w:cs="Arial" w:eastAsia="Arial" w:hAnsi="Arial"/>
          <w:sz w:val="17"/>
          <w:szCs w:val="17"/>
          <w:color w:val="auto"/>
        </w:rPr>
        <w:t>have made all declarations and filings with, the appropriate federal, state, local or foreign governmental or regulatory authorities having jurisdiction over the Company and its subsidiaries that are necessary for the ownership or lease of their respective properties or the conduct of their respective businesses as described in the Registration Statement, the Pricing Disclosure Package and the Prospectus, except where the failure to possess or make the same would not reasonably be expected, individually or in the aggregate, to have a Material Adverse Effect; and except as described in the Registration Statement, the Pricing Disclosure Package and the Prospectus, neither the Company nor any of its subsidiaries has received written notice of any revocation or modification of any such license, certificate, permit or authorization or has any reason to believe that any such license, certificate, permit or authorization will not be renewed in the ordinary course, except where such revocation, modification or non-renewal would not reasonably be expected, individually or in the aggregate, to have a Material Adverse Effect.</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4" w:right="279" w:bottom="1440" w:gutter="0" w:footer="0" w:header="0"/>
        </w:sectPr>
      </w:pPr>
    </w:p>
    <w:bookmarkStart w:id="22" w:name="page23"/>
    <w:bookmarkEnd w:id="22"/>
    <w:p>
      <w:pPr>
        <w:ind w:right="40" w:firstLine="921"/>
        <w:spacing w:after="0" w:line="293" w:lineRule="auto"/>
        <w:tabs>
          <w:tab w:leader="none" w:pos="1393"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Disclosure Controls</w:t>
      </w:r>
      <w:r>
        <w:rPr>
          <w:rFonts w:ascii="Arial" w:cs="Arial" w:eastAsia="Arial" w:hAnsi="Arial"/>
          <w:sz w:val="16"/>
          <w:szCs w:val="16"/>
          <w:color w:val="auto"/>
        </w:rPr>
        <w:t>. The Company maintains an effective system of “disclosure controls and procedures” (as defined in Rule 13a-15(e)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Securities Exchange Act of 1934, as amended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has carried out an evaluation of the effectiveness of its disclosure controls and procedures as required by Rule 13a-15 of the Exchange Act.</w:t>
      </w:r>
    </w:p>
    <w:p>
      <w:pPr>
        <w:spacing w:after="0" w:line="164" w:lineRule="exact"/>
        <w:rPr>
          <w:rFonts w:ascii="Arial" w:cs="Arial" w:eastAsia="Arial" w:hAnsi="Arial"/>
          <w:sz w:val="16"/>
          <w:szCs w:val="16"/>
          <w:color w:val="auto"/>
        </w:rPr>
      </w:pPr>
    </w:p>
    <w:p>
      <w:pPr>
        <w:ind w:firstLine="921"/>
        <w:spacing w:after="0" w:line="285" w:lineRule="auto"/>
        <w:tabs>
          <w:tab w:leader="none" w:pos="1373"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Accounting Controls. </w:t>
      </w:r>
      <w:r>
        <w:rPr>
          <w:rFonts w:ascii="Arial" w:cs="Arial" w:eastAsia="Arial" w:hAnsi="Arial"/>
          <w:sz w:val="16"/>
          <w:szCs w:val="16"/>
          <w:color w:val="auto"/>
        </w:rPr>
        <w:t>The Company maintains a system of “internal control over financial reporting” (as defined in Rule 13a-15(f)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Act) that complies with the requirements of the Exchange Act and that has been designed by, or under the supervision of, its principal executive and principal financial officers, or persons performing similar functions, to provide reasonable assurance regarding the reliability of financial reporting and the preparation of financial statements for external purposes in accordance with U.S. generally accepted accounting principles, including, but not limited to, internal accounting controls sufficient to provide reasonable assurance that (i) transactions are executed in accordance with management’s general or specific authorizations; (ii) transactions are executed in accordance with the investment objectives, policies and restrictions of the Company and the applicable requirements of the Investment Company Act and the Internal Revenue Code of 1986, as amended (the “Code”); (iii) transactions are recorded as necessary to permit preparation of financial statements in conformity with generally accepted accounting principles, to calculate net asset value, to maintain asset accountability, and to maintain material compliance with the books and records requirements under the Investment Company Act; (iv) access to assets is permitted only in accordance with management’s general or specific authorization; and (v) the recorded accountability for assets is compared with the existing assets at reasonable intervals and appropriate action is taken with respect to any differences. Except as disclosed in the Registration Statement, the Pricing Disclosure Package and the Prospectus, there are no material weaknesses in the Company’s internal controls. The Company’s auditors and the Audit Committee of the Board of Directors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177" w:lineRule="exact"/>
        <w:rPr>
          <w:rFonts w:ascii="Arial" w:cs="Arial" w:eastAsia="Arial" w:hAnsi="Arial"/>
          <w:sz w:val="16"/>
          <w:szCs w:val="16"/>
          <w:color w:val="auto"/>
        </w:rPr>
      </w:pPr>
    </w:p>
    <w:p>
      <w:pPr>
        <w:jc w:val="both"/>
        <w:ind w:right="280" w:firstLine="921"/>
        <w:spacing w:after="0" w:line="312" w:lineRule="auto"/>
        <w:tabs>
          <w:tab w:leader="none" w:pos="1393"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Insurance. </w:t>
      </w:r>
      <w:r>
        <w:rPr>
          <w:rFonts w:ascii="Arial" w:cs="Arial" w:eastAsia="Arial" w:hAnsi="Arial"/>
          <w:sz w:val="16"/>
          <w:szCs w:val="16"/>
          <w:color w:val="auto"/>
        </w:rPr>
        <w:t>The Company and its subsidiaries have insurance covering their respective properties, operations, personnel and businesses,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business interruption insurance, which insurance is in amounts and insures against such losses and risks as the Company reasonably believes are adequate to protect the Company and its subsidiaries and their respective businesses; and neither the Company nor any of its subsidiaries has (i) received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23" w:name="page24"/>
    <w:bookmarkEnd w:id="23"/>
    <w:p>
      <w:pPr>
        <w:jc w:val="both"/>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 except, in each case, as would not, individually or in the aggregate, have a Material Adverse Effect.</w:t>
      </w:r>
    </w:p>
    <w:p>
      <w:pPr>
        <w:spacing w:after="0" w:line="187" w:lineRule="exact"/>
        <w:rPr>
          <w:sz w:val="20"/>
          <w:szCs w:val="20"/>
          <w:color w:val="auto"/>
        </w:rPr>
      </w:pPr>
    </w:p>
    <w:p>
      <w:pPr>
        <w:ind w:right="40" w:firstLine="921"/>
        <w:spacing w:after="0" w:line="269" w:lineRule="auto"/>
        <w:tabs>
          <w:tab w:leader="none" w:pos="1373"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No Unlawful Payments. </w:t>
      </w:r>
      <w:r>
        <w:rPr>
          <w:rFonts w:ascii="Arial" w:cs="Arial" w:eastAsia="Arial" w:hAnsi="Arial"/>
          <w:sz w:val="17"/>
          <w:szCs w:val="17"/>
          <w:color w:val="auto"/>
        </w:rPr>
        <w:t>Neither the Company nor any of its subsidiaries nor any director, officer, or employee of the Company or any of</w:t>
      </w:r>
      <w:r>
        <w:rPr>
          <w:rFonts w:ascii="Arial" w:cs="Arial" w:eastAsia="Arial" w:hAnsi="Arial"/>
          <w:sz w:val="17"/>
          <w:szCs w:val="17"/>
          <w:i w:val="1"/>
          <w:iCs w:val="1"/>
          <w:color w:val="auto"/>
        </w:rPr>
        <w:t xml:space="preserve"> </w:t>
      </w:r>
      <w:r>
        <w:rPr>
          <w:rFonts w:ascii="Arial" w:cs="Arial" w:eastAsia="Arial" w:hAnsi="Arial"/>
          <w:sz w:val="17"/>
          <w:szCs w:val="17"/>
          <w:color w:val="auto"/>
        </w:rPr>
        <w:t>its subsidiaries nor, to the knowledge of the Company, any agent, affiliate or other person associated with or acting on behalf of the Company or any of its subsidiaries has (i) used any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(collectively, the “Anti-Corruption Laws”); or (iv)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 and enforce, and will continue to maintain and enforce policies and procedures designed to promote and ensure compliance with the Anti-Corruption Laws.</w:t>
      </w:r>
    </w:p>
    <w:p>
      <w:pPr>
        <w:spacing w:after="0" w:line="179" w:lineRule="exact"/>
        <w:rPr>
          <w:rFonts w:ascii="Arial" w:cs="Arial" w:eastAsia="Arial" w:hAnsi="Arial"/>
          <w:sz w:val="17"/>
          <w:szCs w:val="17"/>
          <w:color w:val="auto"/>
        </w:rPr>
      </w:pPr>
    </w:p>
    <w:p>
      <w:pPr>
        <w:ind w:firstLine="921"/>
        <w:spacing w:after="0" w:line="272" w:lineRule="auto"/>
        <w:tabs>
          <w:tab w:leader="none" w:pos="1329"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Compliance with Money Laundering Laws</w:t>
      </w:r>
      <w:r>
        <w:rPr>
          <w:rFonts w:ascii="Arial" w:cs="Arial" w:eastAsia="Arial" w:hAnsi="Arial"/>
          <w:sz w:val="17"/>
          <w:szCs w:val="17"/>
          <w:color w:val="auto"/>
        </w:rPr>
        <w:t>. The operations of the Company and its subsidiaries are and have been conducted at all times in</w:t>
      </w:r>
      <w:r>
        <w:rPr>
          <w:rFonts w:ascii="Arial" w:cs="Arial" w:eastAsia="Arial" w:hAnsi="Arial"/>
          <w:sz w:val="17"/>
          <w:szCs w:val="17"/>
          <w:i w:val="1"/>
          <w:iCs w:val="1"/>
          <w:color w:val="auto"/>
        </w:rPr>
        <w:t xml:space="preserve"> </w:t>
      </w:r>
      <w:r>
        <w:rPr>
          <w:rFonts w:ascii="Arial" w:cs="Arial" w:eastAsia="Arial" w:hAnsi="Arial"/>
          <w:sz w:val="17"/>
          <w:szCs w:val="17"/>
          <w:color w:val="auto"/>
        </w:rPr>
        <w:t>compliance with applicable financial recordkeeping and reporting requirements, including those of the Currency and Foreign Transactions Reporting Act of 1970, as amended, the applicable money laundering statutes, the rules and regulations thereunder and any related or similar rules, regulations or guidelines issued, administered or enforced by any governmental or regulatory agency (collectively, the “Anti-Money Laundering Laws”) of all jurisdictions having jurisdiction over the Company and its subsidiaries, and no action, suit or proceeding by or before any court or governmental or regulatory agency, authority or body or any arbitrator involving the Company or any of its subsidiaries with respect to the Anti-Money Laundering Laws of all jurisdictions having jurisdiction over the Company and its subsidiaries is pending or, to the knowledge of the Company, threatened.</w:t>
      </w:r>
    </w:p>
    <w:p>
      <w:pPr>
        <w:spacing w:after="0" w:line="177" w:lineRule="exact"/>
        <w:rPr>
          <w:rFonts w:ascii="Arial" w:cs="Arial" w:eastAsia="Arial" w:hAnsi="Arial"/>
          <w:sz w:val="17"/>
          <w:szCs w:val="17"/>
          <w:color w:val="auto"/>
        </w:rPr>
      </w:pPr>
    </w:p>
    <w:p>
      <w:pPr>
        <w:ind w:right="20" w:firstLine="921"/>
        <w:spacing w:after="0" w:line="286" w:lineRule="auto"/>
        <w:tabs>
          <w:tab w:leader="none" w:pos="1393"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No Conflicts with Sanctions Laws. </w:t>
      </w:r>
      <w:r>
        <w:rPr>
          <w:rFonts w:ascii="Arial" w:cs="Arial" w:eastAsia="Arial" w:hAnsi="Arial"/>
          <w:sz w:val="17"/>
          <w:szCs w:val="17"/>
          <w:color w:val="auto"/>
        </w:rPr>
        <w:t>Neither the Company nor any of its subsidiaries, directors, officers or employees, nor, to the knowledge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Company, any agent, affiliate, or other person acting on behalf of the Company or any of its subsidiaries is currently the subject or the target of any sanctions administered or enforced by the U.S. Government (including, without limitation, the Office of Foreign Assets Control of the U.S.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24" w:name="page25"/>
    <w:bookmarkEnd w:id="24"/>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Department of the Treasury (“OFAC”) or the U.S. Department of State and including, without limitation, the designation as a “specially designated national” or “blocked person”), the United Nations Security Council (“UNSC”), the European Union, Her Majesty’s Treasury (“HMT”), or other relevant sanctions authority (collectively, “Sanctions,” and each such subject or target, a “Sanctioned Person”), nor is the Company or any of its subsidiaries located, organized or resident in a country or territory that is the subject or the target of Sanctions, including, without limitation, Crimea, Cuba, Iran, North Korea, Sudan and Syria, that broadly prohibit dealings with that country or territory (each, a “Sanctioned Territory”); and the Company will not directly or indirectly use the proceeds of the offering of the Securities hereunder, or lend, contribute or otherwise make available such proceeds to any subsidiary, joint venture partner or other person or entity to fund or facilitate any activities of or business with any person, or in any country or territory, that, at the time of such funding or facilitation, is a Sanctioned Person or Sanctioned Territory in each case, in any manner that will result in a violation by any person (including any person participating in the transaction, whether as underwriter, advisor, investor or otherwise) of Sanctions. Since the inception of the Company, the Company and its subsidiaries have not knowingly engaged in, and are not now knowingly engaged in, any dealings or transactions with any person that at the time of the dealing or transaction is or was a Sanctioned Person or with any Sanctioned Territory.</w:t>
      </w:r>
    </w:p>
    <w:p>
      <w:pPr>
        <w:spacing w:after="0" w:line="183" w:lineRule="exact"/>
        <w:rPr>
          <w:sz w:val="20"/>
          <w:szCs w:val="20"/>
          <w:color w:val="auto"/>
        </w:rPr>
      </w:pPr>
    </w:p>
    <w:p>
      <w:pPr>
        <w:ind w:right="20" w:firstLine="921"/>
        <w:spacing w:after="0" w:line="257" w:lineRule="auto"/>
        <w:tabs>
          <w:tab w:leader="none" w:pos="1393"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No Restrictions on Subsidiaries</w:t>
      </w:r>
      <w:r>
        <w:rPr>
          <w:rFonts w:ascii="Arial" w:cs="Arial" w:eastAsia="Arial" w:hAnsi="Arial"/>
          <w:sz w:val="18"/>
          <w:szCs w:val="18"/>
          <w:color w:val="auto"/>
        </w:rPr>
        <w:t>. No subsidiary of the Company is currently prohibited, directly or indirectly, under any agreement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 to which it is a party or is subject, from paying any dividends to the Company, from making any other distribution on such subsidiary’s capital stock, from repaying to the Company any loans or advances to such subsidiary from the Company or from transferring any of such subsidiary’s properties or assets to the Company or any other subsidiary of the Company, except as disclosed in the Registration Statement, the Pricing Disclosure Package and the Prospectus.</w:t>
      </w:r>
    </w:p>
    <w:p>
      <w:pPr>
        <w:spacing w:after="0" w:line="188" w:lineRule="exact"/>
        <w:rPr>
          <w:rFonts w:ascii="Arial" w:cs="Arial" w:eastAsia="Arial" w:hAnsi="Arial"/>
          <w:sz w:val="18"/>
          <w:szCs w:val="18"/>
          <w:color w:val="auto"/>
        </w:rPr>
      </w:pPr>
    </w:p>
    <w:p>
      <w:pPr>
        <w:ind w:right="180" w:firstLine="921"/>
        <w:spacing w:after="0" w:line="264" w:lineRule="auto"/>
        <w:tabs>
          <w:tab w:leader="none" w:pos="1313"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No Broker’s Fees. </w:t>
      </w:r>
      <w:r>
        <w:rPr>
          <w:rFonts w:ascii="Arial" w:cs="Arial" w:eastAsia="Arial" w:hAnsi="Arial"/>
          <w:sz w:val="18"/>
          <w:szCs w:val="18"/>
          <w:color w:val="auto"/>
        </w:rPr>
        <w:t>Neither the Company nor any of its subsidiaries is a party to any contract, agreement or understanding with any person</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this Agreement) that would give rise to a valid claim against the Company or any of its subsidiaries or any Underwriter for a brokerage commission, finder’s fee or like payment in connection with the offering and sale of the Securities.</w:t>
      </w:r>
    </w:p>
    <w:p>
      <w:pPr>
        <w:spacing w:after="0" w:line="181" w:lineRule="exact"/>
        <w:rPr>
          <w:rFonts w:ascii="Arial" w:cs="Arial" w:eastAsia="Arial" w:hAnsi="Arial"/>
          <w:sz w:val="18"/>
          <w:szCs w:val="18"/>
          <w:color w:val="auto"/>
        </w:rPr>
      </w:pPr>
    </w:p>
    <w:p>
      <w:pPr>
        <w:ind w:right="140" w:firstLine="921"/>
        <w:spacing w:after="0" w:line="308" w:lineRule="auto"/>
        <w:tabs>
          <w:tab w:leader="none" w:pos="1313"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No Stabilization. </w:t>
      </w:r>
      <w:r>
        <w:rPr>
          <w:rFonts w:ascii="Arial" w:cs="Arial" w:eastAsia="Arial" w:hAnsi="Arial"/>
          <w:sz w:val="17"/>
          <w:szCs w:val="17"/>
          <w:color w:val="auto"/>
        </w:rPr>
        <w:t>The Company has not taken, directly or indirectly, without giving effect to any activities by the Underwriters, any action</w:t>
      </w:r>
      <w:r>
        <w:rPr>
          <w:rFonts w:ascii="Arial" w:cs="Arial" w:eastAsia="Arial" w:hAnsi="Arial"/>
          <w:sz w:val="17"/>
          <w:szCs w:val="17"/>
          <w:i w:val="1"/>
          <w:iCs w:val="1"/>
          <w:color w:val="auto"/>
        </w:rPr>
        <w:t xml:space="preserve"> </w:t>
      </w:r>
      <w:r>
        <w:rPr>
          <w:rFonts w:ascii="Arial" w:cs="Arial" w:eastAsia="Arial" w:hAnsi="Arial"/>
          <w:sz w:val="17"/>
          <w:szCs w:val="17"/>
          <w:color w:val="auto"/>
        </w:rPr>
        <w:t>designed to or that would reasonably be expected to cause or result in any stabilization or manipulation of the price of the Securities.</w:t>
      </w:r>
    </w:p>
    <w:p>
      <w:pPr>
        <w:spacing w:after="0" w:line="146" w:lineRule="exact"/>
        <w:rPr>
          <w:rFonts w:ascii="Arial" w:cs="Arial" w:eastAsia="Arial" w:hAnsi="Arial"/>
          <w:sz w:val="17"/>
          <w:szCs w:val="17"/>
          <w:color w:val="auto"/>
        </w:rPr>
      </w:pPr>
    </w:p>
    <w:p>
      <w:pPr>
        <w:ind w:right="60" w:firstLine="921"/>
        <w:spacing w:after="0" w:line="264" w:lineRule="auto"/>
        <w:tabs>
          <w:tab w:leader="none" w:pos="1393"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Forward-Looking Statements. </w:t>
      </w:r>
      <w:r>
        <w:rPr>
          <w:rFonts w:ascii="Arial" w:cs="Arial" w:eastAsia="Arial" w:hAnsi="Arial"/>
          <w:sz w:val="18"/>
          <w:szCs w:val="18"/>
          <w:color w:val="auto"/>
        </w:rPr>
        <w:t>No forward-looking statement (within the meaning of Section 27A of the Securities Act and Section 21E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Exchange Act) contained in the Registration Statement, the Pricing Disclosure Package or the Prospectus has been made or reaffirmed without a reasonable basis or has been disclosed other than in good faith.</w:t>
      </w:r>
    </w:p>
    <w:p>
      <w:pPr>
        <w:spacing w:after="0" w:line="181" w:lineRule="exact"/>
        <w:rPr>
          <w:rFonts w:ascii="Arial" w:cs="Arial" w:eastAsia="Arial" w:hAnsi="Arial"/>
          <w:sz w:val="18"/>
          <w:szCs w:val="18"/>
          <w:color w:val="auto"/>
        </w:rPr>
      </w:pPr>
    </w:p>
    <w:p>
      <w:pPr>
        <w:ind w:right="140" w:firstLine="921"/>
        <w:spacing w:after="0" w:line="264" w:lineRule="auto"/>
        <w:tabs>
          <w:tab w:leader="none" w:pos="1313"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Statistical and Market Data. </w:t>
      </w:r>
      <w:r>
        <w:rPr>
          <w:rFonts w:ascii="Arial" w:cs="Arial" w:eastAsia="Arial" w:hAnsi="Arial"/>
          <w:sz w:val="18"/>
          <w:szCs w:val="18"/>
          <w:color w:val="auto"/>
        </w:rPr>
        <w:t>Nothing has come to the attention of the Company that has caused the Company to believe that the statistical</w:t>
      </w:r>
      <w:r>
        <w:rPr>
          <w:rFonts w:ascii="Arial" w:cs="Arial" w:eastAsia="Arial" w:hAnsi="Arial"/>
          <w:sz w:val="18"/>
          <w:szCs w:val="18"/>
          <w:i w:val="1"/>
          <w:iCs w:val="1"/>
          <w:color w:val="auto"/>
        </w:rPr>
        <w:t xml:space="preserve"> </w:t>
      </w:r>
      <w:r>
        <w:rPr>
          <w:rFonts w:ascii="Arial" w:cs="Arial" w:eastAsia="Arial" w:hAnsi="Arial"/>
          <w:sz w:val="18"/>
          <w:szCs w:val="18"/>
          <w:color w:val="auto"/>
        </w:rPr>
        <w:t>and market-related data included in the Registration Statement, the Pricing Disclosure Package and the Prospectus is not based on or derived from sources that are reasonably reliable and accurate in all material respects.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25" w:name="page26"/>
    <w:bookmarkEnd w:id="25"/>
    <w:p>
      <w:pPr>
        <w:ind w:left="-8" w:right="100" w:firstLine="921"/>
        <w:spacing w:after="0" w:line="259" w:lineRule="auto"/>
        <w:tabs>
          <w:tab w:leader="none" w:pos="1485" w:val="left"/>
        </w:tabs>
        <w:numPr>
          <w:ilvl w:val="2"/>
          <w:numId w:val="3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Sarbanes-Oxley Act</w:t>
      </w:r>
      <w:r>
        <w:rPr>
          <w:rFonts w:ascii="Arial" w:cs="Arial" w:eastAsia="Arial" w:hAnsi="Arial"/>
          <w:sz w:val="18"/>
          <w:szCs w:val="18"/>
          <w:color w:val="auto"/>
        </w:rPr>
        <w:t>. There is and has been no failure on the part of the Company or, to the knowledge of the Company, any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directors or officers, in their capacities as such, to comply in all material respects with any provision of the Sarbanes-Oxley Act of 2002 and the rules and regulations promulgated in connection therewith (the “Sarbanes-Oxley Act”), including Section 402 related to loans and Sections 302 and 906 related to certifications.</w:t>
      </w:r>
    </w:p>
    <w:p>
      <w:pPr>
        <w:spacing w:after="0" w:line="186" w:lineRule="exact"/>
        <w:rPr>
          <w:rFonts w:ascii="Arial" w:cs="Arial" w:eastAsia="Arial" w:hAnsi="Arial"/>
          <w:sz w:val="18"/>
          <w:szCs w:val="18"/>
          <w:color w:val="auto"/>
        </w:rPr>
      </w:pPr>
    </w:p>
    <w:p>
      <w:pPr>
        <w:ind w:left="-8" w:right="140" w:firstLine="921"/>
        <w:spacing w:after="0" w:line="312" w:lineRule="auto"/>
        <w:tabs>
          <w:tab w:leader="none" w:pos="1385" w:val="left"/>
        </w:tabs>
        <w:numPr>
          <w:ilvl w:val="2"/>
          <w:numId w:val="31"/>
        </w:numPr>
        <w:rPr>
          <w:rFonts w:ascii="Arial" w:cs="Arial" w:eastAsia="Arial" w:hAnsi="Arial"/>
          <w:sz w:val="16"/>
          <w:szCs w:val="16"/>
          <w:color w:val="auto"/>
        </w:rPr>
      </w:pPr>
      <w:r>
        <w:rPr>
          <w:rFonts w:ascii="Arial" w:cs="Arial" w:eastAsia="Arial" w:hAnsi="Arial"/>
          <w:sz w:val="16"/>
          <w:szCs w:val="16"/>
          <w:i w:val="1"/>
          <w:iCs w:val="1"/>
          <w:color w:val="auto"/>
        </w:rPr>
        <w:t>Rule 38a-1 Compliance</w:t>
      </w:r>
      <w:r>
        <w:rPr>
          <w:rFonts w:ascii="Arial" w:cs="Arial" w:eastAsia="Arial" w:hAnsi="Arial"/>
          <w:sz w:val="16"/>
          <w:szCs w:val="16"/>
          <w:color w:val="auto"/>
        </w:rPr>
        <w:t>. The Company has adopted and implemented written policies and procedures reasonably designed to prevent</w:t>
      </w:r>
      <w:r>
        <w:rPr>
          <w:rFonts w:ascii="Arial" w:cs="Arial" w:eastAsia="Arial" w:hAnsi="Arial"/>
          <w:sz w:val="16"/>
          <w:szCs w:val="16"/>
          <w:i w:val="1"/>
          <w:iCs w:val="1"/>
          <w:color w:val="auto"/>
        </w:rPr>
        <w:t xml:space="preserve"> </w:t>
      </w:r>
      <w:r>
        <w:rPr>
          <w:rFonts w:ascii="Arial" w:cs="Arial" w:eastAsia="Arial" w:hAnsi="Arial"/>
          <w:sz w:val="16"/>
          <w:szCs w:val="16"/>
          <w:color w:val="auto"/>
        </w:rPr>
        <w:t>violation of the Federal Securities Laws (as that term is defined in Rule 38a-1 under the Investment Company Act) by the Company, including policies and procedures that provide oversight of compliance by each investment adviser, administrator and transfer agent of the Company.</w:t>
      </w:r>
    </w:p>
    <w:p>
      <w:pPr>
        <w:spacing w:after="0" w:line="146" w:lineRule="exact"/>
        <w:rPr>
          <w:rFonts w:ascii="Arial" w:cs="Arial" w:eastAsia="Arial" w:hAnsi="Arial"/>
          <w:sz w:val="16"/>
          <w:szCs w:val="16"/>
          <w:color w:val="auto"/>
        </w:rPr>
      </w:pPr>
    </w:p>
    <w:p>
      <w:pPr>
        <w:ind w:left="-8" w:firstLine="921"/>
        <w:spacing w:after="0" w:line="259" w:lineRule="auto"/>
        <w:tabs>
          <w:tab w:leader="none" w:pos="1385" w:val="left"/>
        </w:tabs>
        <w:numPr>
          <w:ilvl w:val="2"/>
          <w:numId w:val="31"/>
        </w:numPr>
        <w:rPr>
          <w:rFonts w:ascii="Arial" w:cs="Arial" w:eastAsia="Arial" w:hAnsi="Arial"/>
          <w:sz w:val="18"/>
          <w:szCs w:val="18"/>
          <w:color w:val="auto"/>
        </w:rPr>
      </w:pPr>
      <w:r>
        <w:rPr>
          <w:rFonts w:ascii="Arial" w:cs="Arial" w:eastAsia="Arial" w:hAnsi="Arial"/>
          <w:sz w:val="18"/>
          <w:szCs w:val="18"/>
          <w:i w:val="1"/>
          <w:iCs w:val="1"/>
          <w:color w:val="auto"/>
        </w:rPr>
        <w:t>Regulated Investment Company</w:t>
      </w:r>
      <w:r>
        <w:rPr>
          <w:rFonts w:ascii="Arial" w:cs="Arial" w:eastAsia="Arial" w:hAnsi="Arial"/>
          <w:sz w:val="18"/>
          <w:szCs w:val="18"/>
          <w:color w:val="auto"/>
        </w:rPr>
        <w:t>. The Company has elected to be treated, and has operated, and intends to continue to operate, its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in such a manner so as to enable the Company to continue to qualify as a regulated investment company under Subchapter M of the Code. The Company intends to direct the investment of the proceeds of the offering of the Securities in such a manner as to comply with the requirements of Subchapter M of the Code.</w:t>
      </w:r>
    </w:p>
    <w:p>
      <w:pPr>
        <w:spacing w:after="0" w:line="186" w:lineRule="exact"/>
        <w:rPr>
          <w:rFonts w:ascii="Arial" w:cs="Arial" w:eastAsia="Arial" w:hAnsi="Arial"/>
          <w:sz w:val="18"/>
          <w:szCs w:val="18"/>
          <w:color w:val="auto"/>
        </w:rPr>
      </w:pPr>
    </w:p>
    <w:p>
      <w:pPr>
        <w:ind w:left="772" w:hanging="316"/>
        <w:spacing w:after="0"/>
        <w:tabs>
          <w:tab w:leader="none" w:pos="772"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Adviser</w:t>
      </w:r>
      <w:r>
        <w:rPr>
          <w:rFonts w:ascii="Arial" w:cs="Arial" w:eastAsia="Arial" w:hAnsi="Arial"/>
          <w:sz w:val="18"/>
          <w:szCs w:val="18"/>
          <w:color w:val="auto"/>
        </w:rPr>
        <w:t>. The Adviser represents and warrants to, and agrees with, each Underwriter that:</w:t>
      </w:r>
    </w:p>
    <w:p>
      <w:pPr>
        <w:spacing w:after="0" w:line="225" w:lineRule="exact"/>
        <w:rPr>
          <w:rFonts w:ascii="Arial" w:cs="Arial" w:eastAsia="Arial" w:hAnsi="Arial"/>
          <w:sz w:val="18"/>
          <w:szCs w:val="18"/>
          <w:color w:val="auto"/>
        </w:rPr>
      </w:pPr>
    </w:p>
    <w:p>
      <w:pPr>
        <w:ind w:left="-8" w:right="80" w:firstLine="921"/>
        <w:spacing w:after="0" w:line="291" w:lineRule="auto"/>
        <w:tabs>
          <w:tab w:leader="none" w:pos="1285" w:val="left"/>
        </w:tabs>
        <w:numPr>
          <w:ilvl w:val="2"/>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No Material Adverse Change. </w:t>
      </w:r>
      <w:r>
        <w:rPr>
          <w:rFonts w:ascii="Arial" w:cs="Arial" w:eastAsia="Arial" w:hAnsi="Arial"/>
          <w:sz w:val="16"/>
          <w:szCs w:val="16"/>
          <w:color w:val="auto"/>
        </w:rPr>
        <w:t>Except as disclosed in the Registration Statement, the Pricing Disclosure Package and the Prospectus, since</w:t>
      </w:r>
      <w:r>
        <w:rPr>
          <w:rFonts w:ascii="Arial" w:cs="Arial" w:eastAsia="Arial" w:hAnsi="Arial"/>
          <w:sz w:val="16"/>
          <w:szCs w:val="16"/>
          <w:i w:val="1"/>
          <w:iCs w:val="1"/>
          <w:color w:val="auto"/>
        </w:rPr>
        <w:t xml:space="preserve"> </w:t>
      </w:r>
      <w:r>
        <w:rPr>
          <w:rFonts w:ascii="Arial" w:cs="Arial" w:eastAsia="Arial" w:hAnsi="Arial"/>
          <w:sz w:val="16"/>
          <w:szCs w:val="16"/>
          <w:color w:val="auto"/>
        </w:rPr>
        <w:t>the date of the most recent financial statements of the Company included in the Registration Statement, the Pricing Disclosure Package and the Prospectus,</w:t>
      </w:r>
    </w:p>
    <w:p>
      <w:pPr>
        <w:ind w:left="-8" w:right="40" w:firstLine="8"/>
        <w:spacing w:after="0" w:line="271" w:lineRule="auto"/>
        <w:tabs>
          <w:tab w:leader="none" w:pos="207"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there has not been any material adverse change, or any development that would reasonably be expected to result in a material adverse change, in or affecting the business, properties, management, financial position, stockholders’ equity, results of operations or prospects of the Adviser and its subsidiaries taken as a whole; and (ii) neither the Adviser nor any of its subsidiaries has sustained any loss or interference with its business that is material to the Adviser and its subsidiaries taken as a whole and that is either from fire, explosion, flood or other calamity, whether or not covered by insurance, or from any labor disturbance or dispute or any action, order or decree of any court or arbitrator or governmental or regulatory authority.</w:t>
      </w:r>
    </w:p>
    <w:p>
      <w:pPr>
        <w:spacing w:after="0" w:line="178" w:lineRule="exact"/>
        <w:rPr>
          <w:rFonts w:ascii="Arial" w:cs="Arial" w:eastAsia="Arial" w:hAnsi="Arial"/>
          <w:sz w:val="17"/>
          <w:szCs w:val="17"/>
          <w:color w:val="auto"/>
        </w:rPr>
      </w:pPr>
    </w:p>
    <w:p>
      <w:pPr>
        <w:ind w:left="-8" w:right="80" w:firstLine="921"/>
        <w:spacing w:after="0" w:line="271" w:lineRule="auto"/>
        <w:tabs>
          <w:tab w:leader="none" w:pos="1295" w:val="left"/>
        </w:tabs>
        <w:numPr>
          <w:ilvl w:val="2"/>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Organization and Good Standing. </w:t>
      </w:r>
      <w:r>
        <w:rPr>
          <w:rFonts w:ascii="Arial" w:cs="Arial" w:eastAsia="Arial" w:hAnsi="Arial"/>
          <w:sz w:val="17"/>
          <w:szCs w:val="17"/>
          <w:color w:val="auto"/>
        </w:rPr>
        <w:t>The Adviser and each of its subsidiaries have been duly organized and are validly existing and in good</w:t>
      </w:r>
      <w:r>
        <w:rPr>
          <w:rFonts w:ascii="Arial" w:cs="Arial" w:eastAsia="Arial" w:hAnsi="Arial"/>
          <w:sz w:val="17"/>
          <w:szCs w:val="17"/>
          <w:i w:val="1"/>
          <w:iCs w:val="1"/>
          <w:color w:val="auto"/>
        </w:rPr>
        <w:t xml:space="preserve"> </w:t>
      </w:r>
      <w:r>
        <w:rPr>
          <w:rFonts w:ascii="Arial" w:cs="Arial" w:eastAsia="Arial" w:hAnsi="Arial"/>
          <w:sz w:val="17"/>
          <w:szCs w:val="17"/>
          <w:color w:val="auto"/>
        </w:rPr>
        <w:t>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reasonably be expected, individually or in the aggregate, to have a material adverse effect on the business, properties, management, financial position, stockholders’ equity, results of operations or prospects of the Adviser and its subsidiaries taken as a whole or on the performance by the Adviser of its obligations under this Agreement, the Investment Management Agreement and the Administration Agreement (an “Adviser Material Adverse Effect”).</w:t>
      </w:r>
    </w:p>
    <w:p>
      <w:pPr>
        <w:spacing w:after="0" w:line="111"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12"/>
          </w:cols>
          <w:pgMar w:left="248" w:top="274" w:right="339" w:bottom="1440" w:gutter="0" w:footer="0" w:header="0"/>
        </w:sectPr>
      </w:pPr>
    </w:p>
    <w:bookmarkStart w:id="26" w:name="page27"/>
    <w:bookmarkEnd w:id="26"/>
    <w:p>
      <w:pPr>
        <w:ind w:firstLine="921"/>
        <w:spacing w:after="0" w:line="276" w:lineRule="auto"/>
        <w:tabs>
          <w:tab w:leader="none" w:pos="1293"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Registration as an Investment Adviser</w:t>
      </w:r>
      <w:r>
        <w:rPr>
          <w:rFonts w:ascii="Arial" w:cs="Arial" w:eastAsia="Arial" w:hAnsi="Arial"/>
          <w:sz w:val="17"/>
          <w:szCs w:val="17"/>
          <w:color w:val="auto"/>
        </w:rPr>
        <w:t>. The Adviser is duly registered with the Commission as an investment adviser under the Advisers Act</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Adviser is not prohibited by the Advisers Act or the Investment Company Act from acting under the Investment Management Agreement as an investment adviser to the Company, as contemplated by the Registration Statement, the Pricing Disclosure Package and the Prospectus. There does not exist any proceeding or, to the Adviser’s knowledge, any facts or circumstances, the existence of which would lead to any proceeding which would reasonably be expected to adversely affect the registration of the Adviser with the Commission.</w:t>
      </w:r>
    </w:p>
    <w:p>
      <w:pPr>
        <w:spacing w:after="0" w:line="172" w:lineRule="exact"/>
        <w:rPr>
          <w:rFonts w:ascii="Arial" w:cs="Arial" w:eastAsia="Arial" w:hAnsi="Arial"/>
          <w:sz w:val="17"/>
          <w:szCs w:val="17"/>
          <w:color w:val="auto"/>
        </w:rPr>
      </w:pPr>
    </w:p>
    <w:p>
      <w:pPr>
        <w:ind w:left="1320" w:hanging="399"/>
        <w:spacing w:after="0"/>
        <w:tabs>
          <w:tab w:leader="none" w:pos="132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Underwriting Agreement. </w:t>
      </w:r>
      <w:r>
        <w:rPr>
          <w:rFonts w:ascii="Arial" w:cs="Arial" w:eastAsia="Arial" w:hAnsi="Arial"/>
          <w:sz w:val="18"/>
          <w:szCs w:val="18"/>
          <w:color w:val="auto"/>
        </w:rPr>
        <w:t>This Agreement has been duly authorized, executed and delivered by the Adviser.</w:t>
      </w:r>
    </w:p>
    <w:p>
      <w:pPr>
        <w:spacing w:after="0" w:line="225" w:lineRule="exact"/>
        <w:rPr>
          <w:rFonts w:ascii="Arial" w:cs="Arial" w:eastAsia="Arial" w:hAnsi="Arial"/>
          <w:sz w:val="18"/>
          <w:szCs w:val="18"/>
          <w:color w:val="auto"/>
        </w:rPr>
      </w:pPr>
    </w:p>
    <w:p>
      <w:pPr>
        <w:ind w:right="180" w:firstLine="921"/>
        <w:spacing w:after="0" w:line="259" w:lineRule="auto"/>
        <w:tabs>
          <w:tab w:leader="none" w:pos="1293"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Investment Management Agreement and the Administration Agreement. </w:t>
      </w:r>
      <w:r>
        <w:rPr>
          <w:rFonts w:ascii="Arial" w:cs="Arial" w:eastAsia="Arial" w:hAnsi="Arial"/>
          <w:sz w:val="18"/>
          <w:szCs w:val="18"/>
          <w:color w:val="auto"/>
        </w:rPr>
        <w:t>The Investment Management Agreement and the Administration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have each been duly authorized, executed and delivered by the Adviser and are valid and binding obligations of the Adviser, enforceable against the Adviser in accordance with their terms, except as enforceability may be limited by applicable bankruptcy, insolvency or similar laws affecting creditors’ rights generally or by equitable principles relating to enforceability.</w:t>
      </w:r>
    </w:p>
    <w:p>
      <w:pPr>
        <w:spacing w:after="0" w:line="186" w:lineRule="exact"/>
        <w:rPr>
          <w:rFonts w:ascii="Arial" w:cs="Arial" w:eastAsia="Arial" w:hAnsi="Arial"/>
          <w:sz w:val="18"/>
          <w:szCs w:val="18"/>
          <w:color w:val="auto"/>
        </w:rPr>
      </w:pPr>
    </w:p>
    <w:p>
      <w:pPr>
        <w:ind w:right="80" w:firstLine="921"/>
        <w:spacing w:after="0" w:line="254" w:lineRule="auto"/>
        <w:tabs>
          <w:tab w:leader="none" w:pos="1273"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No Violation or Default. </w:t>
      </w:r>
      <w:r>
        <w:rPr>
          <w:rFonts w:ascii="Arial" w:cs="Arial" w:eastAsia="Arial" w:hAnsi="Arial"/>
          <w:sz w:val="18"/>
          <w:szCs w:val="18"/>
          <w:color w:val="auto"/>
        </w:rPr>
        <w:t>Neither the Adviser nor any of its subsidiaries is (i) in violation of its charter or by-laws or similar organizational</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Adviser or any of its subsidiaries is a party or by which the Adviser or any of its subsidiaries is bound or to which any of the property or assets of the Adviser or any of its subsidiaries is subject; or (iii) in violation of any law or statute applicable to the Adviser or any of its subsidiaries or any judgment, order, rule or regulation of any court or arbitrator or governmental or regulatory authority having jurisdiction over the Adviser or any of its subsidiaries, except, in the case of clauses (ii) and (iii) above, for any such default or violation that would not reasonably be expected, individually or in the aggregate, to have an Adviser Material Adverse Effect.</w:t>
      </w:r>
    </w:p>
    <w:p>
      <w:pPr>
        <w:spacing w:after="0" w:line="192" w:lineRule="exact"/>
        <w:rPr>
          <w:rFonts w:ascii="Arial" w:cs="Arial" w:eastAsia="Arial" w:hAnsi="Arial"/>
          <w:sz w:val="18"/>
          <w:szCs w:val="18"/>
          <w:color w:val="auto"/>
        </w:rPr>
      </w:pPr>
    </w:p>
    <w:p>
      <w:pPr>
        <w:ind w:firstLine="921"/>
        <w:spacing w:after="0" w:line="272" w:lineRule="auto"/>
        <w:tabs>
          <w:tab w:leader="none" w:pos="1303"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No Conflicts. </w:t>
      </w:r>
      <w:r>
        <w:rPr>
          <w:rFonts w:ascii="Arial" w:cs="Arial" w:eastAsia="Arial" w:hAnsi="Arial"/>
          <w:sz w:val="17"/>
          <w:szCs w:val="17"/>
          <w:color w:val="auto"/>
        </w:rPr>
        <w:t>The execution, delivery and performance by the Adviser of this Agreement and the performance by the Adviser of the</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Management Agreement and the Administration Agreement will not (i) conflict with or result in a breach or violation of any of the terms or provisions of, or constitute a default under, or result in the creation or imposition of any lien, charge or encumbrance upon any property or assets of the Adviser or any of its subsidiaries pursuant to, any indenture, mortgage, deed of trust, loan agreement or other agreement or instrument to which the Adviser or any of its subsidiaries is a party or by which the Company or any of its subsidiaries is bound or to which any of the property or assets of the Adviser or any of its subsidiaries is subject, (ii) result in any violation of the provisions of the charter or by-laws or similar organizational documents of the Adviser or any of its subsidiaries or (iii) result in the violation of any law or statute applicable to the Adviser or any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27" w:name="page28"/>
    <w:bookmarkEnd w:id="27"/>
    <w:p>
      <w:pPr>
        <w:ind w:right="3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its subsidiaries or any judgment, order, rule or regulation of any court or arbitrator or governmental or regulatory authority having jurisdiction over the Adviser or any of its subsidiaries, except, in the case of clauses (i) and (iii) above, for any such conflict, breach, violation, default, lien, charge or encumbrance that would not reasonably be expected, individually or in the aggregate, to have an Adviser Material Adverse Effect.</w:t>
      </w:r>
    </w:p>
    <w:p>
      <w:pPr>
        <w:spacing w:after="0" w:line="166" w:lineRule="exact"/>
        <w:rPr>
          <w:sz w:val="20"/>
          <w:szCs w:val="20"/>
          <w:color w:val="auto"/>
        </w:rPr>
      </w:pPr>
    </w:p>
    <w:p>
      <w:pPr>
        <w:ind w:firstLine="921"/>
        <w:spacing w:after="0" w:line="297" w:lineRule="auto"/>
        <w:tabs>
          <w:tab w:leader="none" w:pos="1303"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No Consents Required. </w:t>
      </w:r>
      <w:r>
        <w:rPr>
          <w:rFonts w:ascii="Arial" w:cs="Arial" w:eastAsia="Arial" w:hAnsi="Arial"/>
          <w:sz w:val="16"/>
          <w:szCs w:val="16"/>
          <w:color w:val="auto"/>
        </w:rPr>
        <w:t>No consent, approval, authorization, order, license, registration or qualification of or with any court or arbitrator or</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governmental or regulatory authority is required for the execution, delivery and performance by the Adviser of this Agreement or the performance by the Adviser of the Investment Management Agreement and the Administration Agreement, except for (i) such consents, approvals, authorizations, orders, licenses and registrations or qualifications as have already been obtained or made and (ii) where the failure to obtain any such consent, approval, authorization, order, license, registration or qualification would not reasonably be expected, individually or in the aggregate, to have an Adviser Material Adverse Effect.</w:t>
      </w:r>
    </w:p>
    <w:p>
      <w:pPr>
        <w:spacing w:after="0" w:line="158" w:lineRule="exact"/>
        <w:rPr>
          <w:rFonts w:ascii="Arial" w:cs="Arial" w:eastAsia="Arial" w:hAnsi="Arial"/>
          <w:sz w:val="16"/>
          <w:szCs w:val="16"/>
          <w:color w:val="auto"/>
        </w:rPr>
      </w:pPr>
    </w:p>
    <w:p>
      <w:pPr>
        <w:ind w:firstLine="921"/>
        <w:spacing w:after="0" w:line="289" w:lineRule="auto"/>
        <w:tabs>
          <w:tab w:leader="none" w:pos="1263"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Legal Proceedings. </w:t>
      </w:r>
      <w:r>
        <w:rPr>
          <w:rFonts w:ascii="Arial" w:cs="Arial" w:eastAsia="Arial" w:hAnsi="Arial"/>
          <w:sz w:val="16"/>
          <w:szCs w:val="16"/>
          <w:color w:val="auto"/>
        </w:rPr>
        <w:t>Except as described in the Registration Statement, the Pricing Disclosure Package and the Prospectus, there are no legal,</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governmental or regulatory investigations, actions, suits or proceedings pending to which the Adviser or any of its subsidiaries is or, to the knowledge of the Adviser, may be reasonably expected to become a party or to which any property of the Adviser or any of its subsidiaries is or, to the knowledge of the Adviser, may be reasonably expected to become the subject that, individually or in the aggregate, if determined adversely to the Adviser or any of its subsidiaries, would reasonably be expected to have an Adviser Material Adverse Effect; no such investigations, actions, suits or proceedings are threatened or, to the knowledge of the Adviser, contemplated by any governmental or regulatory authority or threatened by others, except as would not reasonably be expected, individually or in the aggregate, to have an Adviser Material Adverse Effect; and there are no current or pending legal, governmental or regulatory actions, suits or proceedings that are required under the Securities Act to be described in the Registration Statement, the Pricing Disclosure Package or the Prospectus that are not so described in the Registration Statement, the Pricing Disclosure Package and the Prospectus.</w:t>
      </w:r>
    </w:p>
    <w:p>
      <w:pPr>
        <w:spacing w:after="0" w:line="166" w:lineRule="exact"/>
        <w:rPr>
          <w:rFonts w:ascii="Arial" w:cs="Arial" w:eastAsia="Arial" w:hAnsi="Arial"/>
          <w:sz w:val="16"/>
          <w:szCs w:val="16"/>
          <w:color w:val="auto"/>
        </w:rPr>
      </w:pPr>
    </w:p>
    <w:p>
      <w:pPr>
        <w:ind w:right="40" w:firstLine="921"/>
        <w:spacing w:after="0" w:line="270" w:lineRule="auto"/>
        <w:tabs>
          <w:tab w:leader="none" w:pos="1263"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 xml:space="preserve">Licenses and Permits. </w:t>
      </w:r>
      <w:r>
        <w:rPr>
          <w:rFonts w:ascii="Arial" w:cs="Arial" w:eastAsia="Arial" w:hAnsi="Arial"/>
          <w:sz w:val="17"/>
          <w:szCs w:val="17"/>
          <w:color w:val="auto"/>
        </w:rPr>
        <w:t>The Adviser and its subsidiaries possess all licenses, certificates, permits and other authorizations issued by, and have</w:t>
      </w:r>
      <w:r>
        <w:rPr>
          <w:rFonts w:ascii="Arial" w:cs="Arial" w:eastAsia="Arial" w:hAnsi="Arial"/>
          <w:sz w:val="17"/>
          <w:szCs w:val="17"/>
          <w:i w:val="1"/>
          <w:iCs w:val="1"/>
          <w:color w:val="auto"/>
        </w:rPr>
        <w:t xml:space="preserve"> </w:t>
      </w:r>
      <w:r>
        <w:rPr>
          <w:rFonts w:ascii="Arial" w:cs="Arial" w:eastAsia="Arial" w:hAnsi="Arial"/>
          <w:sz w:val="17"/>
          <w:szCs w:val="17"/>
          <w:color w:val="auto"/>
        </w:rPr>
        <w:t>made all declarations and filings with, the appropriate federal, state, local or foreign governmental or regulatory authorities having jurisdiction over the Adviser and its subsidiaries that are necessary for the ownership or lease of their respective properties or the conduct of their respective businesses as described in the Registration Statement, the Pricing Disclosure Package and the Prospectus, except where the failure to possess or make the same would not reasonably be expected, individually or in the aggregate, to have an Adviser Material Adverse Effect; and except as described in the Registration Statement, the Pricing Disclosure Package and the Prospectus, neither the Adviser nor any of its subsidiaries has received written notice of any revocation or modification of any such license, certificate, permit or authorization or has any reason to believe that any such license, certificate, permit or authorization will not be renewed in the ordinary course, except where such revocation, modification or non-renewal would not reasonably be expected, individually or in the aggregate, to have an Adviser Material Adverse Effect.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28" w:name="page29"/>
    <w:bookmarkEnd w:id="28"/>
    <w:p>
      <w:pPr>
        <w:jc w:val="both"/>
        <w:ind w:left="-8" w:right="100" w:firstLine="921"/>
        <w:spacing w:after="0" w:line="312" w:lineRule="auto"/>
        <w:tabs>
          <w:tab w:leader="none" w:pos="1295" w:val="left"/>
        </w:tabs>
        <w:numPr>
          <w:ilvl w:val="1"/>
          <w:numId w:val="36"/>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Description of the Adviser</w:t>
      </w:r>
      <w:r>
        <w:rPr>
          <w:rFonts w:ascii="Arial" w:cs="Arial" w:eastAsia="Arial" w:hAnsi="Arial"/>
          <w:sz w:val="16"/>
          <w:szCs w:val="16"/>
          <w:color w:val="auto"/>
        </w:rPr>
        <w:t>. The description of the Adviser and its respective principals and business in the Registration Statement, Pricing</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 Package and the Prospectus do not and will not contain an untrue statement of a material fact or omit to state a material fact required to be stated therein or necessary to make the statements therein, in the light of the circumstances under which they were made, not misleading.</w:t>
      </w:r>
    </w:p>
    <w:p>
      <w:pPr>
        <w:spacing w:after="0" w:line="146" w:lineRule="exact"/>
        <w:rPr>
          <w:rFonts w:ascii="Arial" w:cs="Arial" w:eastAsia="Arial" w:hAnsi="Arial"/>
          <w:sz w:val="16"/>
          <w:szCs w:val="16"/>
          <w:color w:val="auto"/>
        </w:rPr>
      </w:pPr>
    </w:p>
    <w:p>
      <w:pPr>
        <w:ind w:left="-8" w:right="120" w:firstLine="921"/>
        <w:spacing w:after="0" w:line="264" w:lineRule="auto"/>
        <w:tabs>
          <w:tab w:leader="none" w:pos="1255" w:val="left"/>
        </w:tabs>
        <w:numPr>
          <w:ilvl w:val="1"/>
          <w:numId w:val="36"/>
        </w:numPr>
        <w:rPr>
          <w:rFonts w:ascii="Arial" w:cs="Arial" w:eastAsia="Arial" w:hAnsi="Arial"/>
          <w:sz w:val="18"/>
          <w:szCs w:val="18"/>
          <w:color w:val="auto"/>
        </w:rPr>
      </w:pPr>
      <w:r>
        <w:rPr>
          <w:rFonts w:ascii="Arial" w:cs="Arial" w:eastAsia="Arial" w:hAnsi="Arial"/>
          <w:sz w:val="18"/>
          <w:szCs w:val="18"/>
          <w:i w:val="1"/>
          <w:iCs w:val="1"/>
          <w:color w:val="auto"/>
        </w:rPr>
        <w:t>Financial Resources</w:t>
      </w:r>
      <w:r>
        <w:rPr>
          <w:rFonts w:ascii="Arial" w:cs="Arial" w:eastAsia="Arial" w:hAnsi="Arial"/>
          <w:sz w:val="18"/>
          <w:szCs w:val="18"/>
          <w:color w:val="auto"/>
        </w:rPr>
        <w:t>. The Adviser has the financial resources available to it necessary for the performance of its services and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contemplated in the Pricing Disclosure Package, the Prospectus, and under this Agreement, the Investment Management Agreement and the Administration Agreement.</w:t>
      </w:r>
    </w:p>
    <w:p>
      <w:pPr>
        <w:spacing w:after="0" w:line="181" w:lineRule="exact"/>
        <w:rPr>
          <w:rFonts w:ascii="Arial" w:cs="Arial" w:eastAsia="Arial" w:hAnsi="Arial"/>
          <w:sz w:val="18"/>
          <w:szCs w:val="18"/>
          <w:color w:val="auto"/>
        </w:rPr>
      </w:pPr>
    </w:p>
    <w:p>
      <w:pPr>
        <w:ind w:left="1352" w:hanging="439"/>
        <w:spacing w:after="0"/>
        <w:tabs>
          <w:tab w:leader="none" w:pos="1352" w:val="left"/>
        </w:tabs>
        <w:numPr>
          <w:ilvl w:val="1"/>
          <w:numId w:val="36"/>
        </w:numPr>
        <w:rPr>
          <w:rFonts w:ascii="Arial" w:cs="Arial" w:eastAsia="Arial" w:hAnsi="Arial"/>
          <w:sz w:val="17"/>
          <w:szCs w:val="17"/>
          <w:color w:val="auto"/>
        </w:rPr>
      </w:pPr>
      <w:r>
        <w:rPr>
          <w:rFonts w:ascii="Arial" w:cs="Arial" w:eastAsia="Arial" w:hAnsi="Arial"/>
          <w:sz w:val="17"/>
          <w:szCs w:val="17"/>
          <w:i w:val="1"/>
          <w:iCs w:val="1"/>
          <w:color w:val="auto"/>
        </w:rPr>
        <w:t>Internal Controls</w:t>
      </w:r>
      <w:r>
        <w:rPr>
          <w:rFonts w:ascii="Arial" w:cs="Arial" w:eastAsia="Arial" w:hAnsi="Arial"/>
          <w:sz w:val="17"/>
          <w:szCs w:val="17"/>
          <w:color w:val="auto"/>
        </w:rPr>
        <w:t>. The Adviser maintains a system of internal accounting controls sufficient to provide reasonable assurance that</w:t>
      </w:r>
    </w:p>
    <w:p>
      <w:pPr>
        <w:spacing w:after="0" w:line="34" w:lineRule="exact"/>
        <w:rPr>
          <w:rFonts w:ascii="Arial" w:cs="Arial" w:eastAsia="Arial" w:hAnsi="Arial"/>
          <w:sz w:val="17"/>
          <w:szCs w:val="17"/>
          <w:color w:val="auto"/>
        </w:rPr>
      </w:pPr>
    </w:p>
    <w:p>
      <w:pPr>
        <w:ind w:left="-8" w:right="100" w:firstLine="8"/>
        <w:spacing w:after="0" w:line="290" w:lineRule="auto"/>
        <w:tabs>
          <w:tab w:leader="none" w:pos="207" w:val="left"/>
        </w:tabs>
        <w:numPr>
          <w:ilvl w:val="0"/>
          <w:numId w:val="37"/>
        </w:numPr>
        <w:rPr>
          <w:rFonts w:ascii="Arial" w:cs="Arial" w:eastAsia="Arial" w:hAnsi="Arial"/>
          <w:sz w:val="16"/>
          <w:szCs w:val="16"/>
          <w:color w:val="auto"/>
        </w:rPr>
      </w:pPr>
      <w:r>
        <w:rPr>
          <w:rFonts w:ascii="Arial" w:cs="Arial" w:eastAsia="Arial" w:hAnsi="Arial"/>
          <w:sz w:val="16"/>
          <w:szCs w:val="16"/>
          <w:color w:val="auto"/>
        </w:rPr>
        <w:t>transactions are executed in accordance with its management’s general or specific authorization and with the investment objectives, policies and restrictions of the Company and the applicable requirements of the Investment Company Act and the Code; (ii) transactions are recorded as necessary to permit preparation of the Company’s financial statements in conformity with generally accepted accounting principles, to calculate net asset value, and to maintain asset accountability, and to maintain material compliance with the books and records requirements under the Investment Company Act; (iii) access to assets of the Company and its subsidiaries is permitted only in accordance with its management’s general or specific authorization; and (iv) the recorded accountability for assets is compared with existing assets at reasonable intervals and appropriate action is taken with respect to any differences.</w:t>
      </w:r>
    </w:p>
    <w:p>
      <w:pPr>
        <w:spacing w:after="0" w:line="164" w:lineRule="exact"/>
        <w:rPr>
          <w:rFonts w:ascii="Arial" w:cs="Arial" w:eastAsia="Arial" w:hAnsi="Arial"/>
          <w:sz w:val="16"/>
          <w:szCs w:val="16"/>
          <w:color w:val="auto"/>
        </w:rPr>
      </w:pPr>
    </w:p>
    <w:p>
      <w:pPr>
        <w:ind w:left="-8" w:firstLine="921"/>
        <w:spacing w:after="0" w:line="270" w:lineRule="auto"/>
        <w:tabs>
          <w:tab w:leader="none" w:pos="1295" w:val="left"/>
        </w:tabs>
        <w:numPr>
          <w:ilvl w:val="1"/>
          <w:numId w:val="37"/>
        </w:numPr>
        <w:rPr>
          <w:rFonts w:ascii="Arial" w:cs="Arial" w:eastAsia="Arial" w:hAnsi="Arial"/>
          <w:sz w:val="17"/>
          <w:szCs w:val="17"/>
          <w:color w:val="auto"/>
        </w:rPr>
      </w:pPr>
      <w:r>
        <w:rPr>
          <w:rFonts w:ascii="Arial" w:cs="Arial" w:eastAsia="Arial" w:hAnsi="Arial"/>
          <w:sz w:val="17"/>
          <w:szCs w:val="17"/>
          <w:i w:val="1"/>
          <w:iCs w:val="1"/>
          <w:color w:val="auto"/>
        </w:rPr>
        <w:t xml:space="preserve">No Unlawful Payments. </w:t>
      </w:r>
      <w:r>
        <w:rPr>
          <w:rFonts w:ascii="Arial" w:cs="Arial" w:eastAsia="Arial" w:hAnsi="Arial"/>
          <w:sz w:val="17"/>
          <w:szCs w:val="17"/>
          <w:color w:val="auto"/>
        </w:rPr>
        <w:t>Neither the Adviser nor any of its subsidiaries nor any director, officer, or employee of the Adviser or any of its</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subsidiaries nor, to the knowledge of the Adviser, any agent, affiliate or other person associated with or acting on behalf of the Adviser or any of its subsidiaries has (i) used any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Anti-Corruption Laws; or (iv) made, offered, agreed, requested or taken an act in furtherance of any unlawful bribe or other unlawful benefit, including, without limitation, any rebate, payoff, influence payment, kickback or other unlawful or improper payment or benefit. The Adviser and its subsidiaries have instituted, maintain and enforce, and will continue to maintain and enforce policies and procedures designed to promote and ensure compliance with all Anti-Corruption Laws.</w:t>
      </w:r>
    </w:p>
    <w:p>
      <w:pPr>
        <w:spacing w:after="0" w:line="177" w:lineRule="exact"/>
        <w:rPr>
          <w:rFonts w:ascii="Arial" w:cs="Arial" w:eastAsia="Arial" w:hAnsi="Arial"/>
          <w:sz w:val="17"/>
          <w:szCs w:val="17"/>
          <w:color w:val="auto"/>
        </w:rPr>
      </w:pPr>
    </w:p>
    <w:p>
      <w:pPr>
        <w:ind w:left="-8" w:right="180" w:firstLine="921"/>
        <w:spacing w:after="0" w:line="277" w:lineRule="auto"/>
        <w:tabs>
          <w:tab w:leader="none" w:pos="1295" w:val="left"/>
        </w:tabs>
        <w:numPr>
          <w:ilvl w:val="1"/>
          <w:numId w:val="37"/>
        </w:numPr>
        <w:rPr>
          <w:rFonts w:ascii="Arial" w:cs="Arial" w:eastAsia="Arial" w:hAnsi="Arial"/>
          <w:sz w:val="18"/>
          <w:szCs w:val="18"/>
          <w:color w:val="auto"/>
        </w:rPr>
      </w:pPr>
      <w:r>
        <w:rPr>
          <w:rFonts w:ascii="Arial" w:cs="Arial" w:eastAsia="Arial" w:hAnsi="Arial"/>
          <w:sz w:val="18"/>
          <w:szCs w:val="18"/>
          <w:i w:val="1"/>
          <w:iCs w:val="1"/>
          <w:color w:val="auto"/>
        </w:rPr>
        <w:t>Compliance with Money Laundering Laws</w:t>
      </w:r>
      <w:r>
        <w:rPr>
          <w:rFonts w:ascii="Arial" w:cs="Arial" w:eastAsia="Arial" w:hAnsi="Arial"/>
          <w:sz w:val="18"/>
          <w:szCs w:val="18"/>
          <w:color w:val="auto"/>
        </w:rPr>
        <w:t>. The operations of the Adviser and its subsidiaries are and have been conducted at all times in</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with applicable financial recordkeeping and reporting requirements, including those of the Anti-Money</w:t>
      </w:r>
    </w:p>
    <w:p>
      <w:pPr>
        <w:spacing w:after="0" w:line="10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52"/>
          </w:cols>
          <w:pgMar w:left="248" w:top="274" w:right="299" w:bottom="1440" w:gutter="0" w:footer="0" w:header="0"/>
        </w:sectPr>
      </w:pPr>
    </w:p>
    <w:bookmarkStart w:id="29" w:name="page30"/>
    <w:bookmarkEnd w:id="29"/>
    <w:p>
      <w:pPr>
        <w:ind w:right="40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Laundering Laws of all jurisdictions having jurisdiction over the Adviser and its subsidiaries, and no action, suit or proceeding by or before any court or governmental or regulatory agency, authority or body or any arbitrator involving the Adviser or any of its subsidiaries with respect to the Anti-Money Laundering Laws of all jurisdictions having jurisdiction over the Adviser and its subsidiaries is pending or, to the knowledge of the Adviser, threatened.</w:t>
      </w:r>
    </w:p>
    <w:p>
      <w:pPr>
        <w:spacing w:after="0" w:line="147" w:lineRule="exact"/>
        <w:rPr>
          <w:sz w:val="20"/>
          <w:szCs w:val="20"/>
          <w:color w:val="auto"/>
        </w:rPr>
      </w:pPr>
    </w:p>
    <w:p>
      <w:pPr>
        <w:ind w:right="20" w:firstLine="921"/>
        <w:spacing w:after="0" w:line="276" w:lineRule="auto"/>
        <w:tabs>
          <w:tab w:leader="none" w:pos="1303" w:val="left"/>
        </w:tabs>
        <w:numPr>
          <w:ilvl w:val="1"/>
          <w:numId w:val="38"/>
        </w:numPr>
        <w:rPr>
          <w:rFonts w:ascii="Arial" w:cs="Arial" w:eastAsia="Arial" w:hAnsi="Arial"/>
          <w:sz w:val="17"/>
          <w:szCs w:val="17"/>
          <w:color w:val="auto"/>
        </w:rPr>
      </w:pPr>
      <w:r>
        <w:rPr>
          <w:rFonts w:ascii="Arial" w:cs="Arial" w:eastAsia="Arial" w:hAnsi="Arial"/>
          <w:sz w:val="17"/>
          <w:szCs w:val="17"/>
          <w:i w:val="1"/>
          <w:iCs w:val="1"/>
          <w:color w:val="auto"/>
        </w:rPr>
        <w:t xml:space="preserve">No Conflicts with Sanctions Laws. </w:t>
      </w:r>
      <w:r>
        <w:rPr>
          <w:rFonts w:ascii="Arial" w:cs="Arial" w:eastAsia="Arial" w:hAnsi="Arial"/>
          <w:sz w:val="17"/>
          <w:szCs w:val="17"/>
          <w:color w:val="auto"/>
        </w:rPr>
        <w:t>Neither the Adviser nor any of its subsidiaries, directors, officers or employees, nor, to the knowledge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Adviser, any agent, or affiliate or other person associated with or acting on behalf of the Adviser or any of its subsidiaries is currently the subject or the target of any Sanctions, nor is the Adviser, any of its subsidiaries located, organized or resident in a Sanctioned Territory. Since the inception of the Adviser, the Adviser and its subsidiaries have not knowingly engaged in, and are not now knowingly engaged in, any dealings or transactions with any person that at the time of the dealing or transaction is or was a Sanctioned Person or with any Sanctioned Territory.</w:t>
      </w:r>
    </w:p>
    <w:p>
      <w:pPr>
        <w:spacing w:after="0" w:line="172" w:lineRule="exact"/>
        <w:rPr>
          <w:rFonts w:ascii="Arial" w:cs="Arial" w:eastAsia="Arial" w:hAnsi="Arial"/>
          <w:sz w:val="17"/>
          <w:szCs w:val="17"/>
          <w:color w:val="auto"/>
        </w:rPr>
      </w:pPr>
    </w:p>
    <w:p>
      <w:pPr>
        <w:ind w:right="260" w:firstLine="921"/>
        <w:spacing w:after="0" w:line="308" w:lineRule="auto"/>
        <w:tabs>
          <w:tab w:leader="none" w:pos="1303" w:val="left"/>
        </w:tabs>
        <w:numPr>
          <w:ilvl w:val="1"/>
          <w:numId w:val="38"/>
        </w:numPr>
        <w:rPr>
          <w:rFonts w:ascii="Arial" w:cs="Arial" w:eastAsia="Arial" w:hAnsi="Arial"/>
          <w:sz w:val="17"/>
          <w:szCs w:val="17"/>
          <w:color w:val="auto"/>
        </w:rPr>
      </w:pPr>
      <w:r>
        <w:rPr>
          <w:rFonts w:ascii="Arial" w:cs="Arial" w:eastAsia="Arial" w:hAnsi="Arial"/>
          <w:sz w:val="17"/>
          <w:szCs w:val="17"/>
          <w:i w:val="1"/>
          <w:iCs w:val="1"/>
          <w:color w:val="auto"/>
        </w:rPr>
        <w:t xml:space="preserve">No Stabilization. </w:t>
      </w:r>
      <w:r>
        <w:rPr>
          <w:rFonts w:ascii="Arial" w:cs="Arial" w:eastAsia="Arial" w:hAnsi="Arial"/>
          <w:sz w:val="17"/>
          <w:szCs w:val="17"/>
          <w:color w:val="auto"/>
        </w:rPr>
        <w:t>The Adviser has not taken, directly or indirectly, without giving effect to any activities by the Underwriters, any action</w:t>
      </w:r>
      <w:r>
        <w:rPr>
          <w:rFonts w:ascii="Arial" w:cs="Arial" w:eastAsia="Arial" w:hAnsi="Arial"/>
          <w:sz w:val="17"/>
          <w:szCs w:val="17"/>
          <w:i w:val="1"/>
          <w:iCs w:val="1"/>
          <w:color w:val="auto"/>
        </w:rPr>
        <w:t xml:space="preserve"> </w:t>
      </w:r>
      <w:r>
        <w:rPr>
          <w:rFonts w:ascii="Arial" w:cs="Arial" w:eastAsia="Arial" w:hAnsi="Arial"/>
          <w:sz w:val="17"/>
          <w:szCs w:val="17"/>
          <w:color w:val="auto"/>
        </w:rPr>
        <w:t>designed to or that would reasonably be expected to cause or result in any stabilization or manipulation of the price of the Securities.</w:t>
      </w:r>
    </w:p>
    <w:p>
      <w:pPr>
        <w:spacing w:after="0" w:line="146" w:lineRule="exact"/>
        <w:rPr>
          <w:rFonts w:ascii="Arial" w:cs="Arial" w:eastAsia="Arial" w:hAnsi="Arial"/>
          <w:sz w:val="17"/>
          <w:szCs w:val="17"/>
          <w:color w:val="auto"/>
        </w:rPr>
      </w:pPr>
    </w:p>
    <w:p>
      <w:pPr>
        <w:ind w:right="80" w:firstLine="921"/>
        <w:spacing w:after="0" w:line="279" w:lineRule="auto"/>
        <w:tabs>
          <w:tab w:leader="none" w:pos="1273" w:val="left"/>
        </w:tabs>
        <w:numPr>
          <w:ilvl w:val="1"/>
          <w:numId w:val="38"/>
        </w:numPr>
        <w:rPr>
          <w:rFonts w:ascii="Arial" w:cs="Arial" w:eastAsia="Arial" w:hAnsi="Arial"/>
          <w:sz w:val="17"/>
          <w:szCs w:val="17"/>
          <w:color w:val="auto"/>
        </w:rPr>
      </w:pPr>
      <w:r>
        <w:rPr>
          <w:rFonts w:ascii="Arial" w:cs="Arial" w:eastAsia="Arial" w:hAnsi="Arial"/>
          <w:sz w:val="17"/>
          <w:szCs w:val="17"/>
          <w:i w:val="1"/>
          <w:iCs w:val="1"/>
          <w:color w:val="auto"/>
        </w:rPr>
        <w:t xml:space="preserve">Key Employees. </w:t>
      </w:r>
      <w:r>
        <w:rPr>
          <w:rFonts w:ascii="Arial" w:cs="Arial" w:eastAsia="Arial" w:hAnsi="Arial"/>
          <w:sz w:val="17"/>
          <w:szCs w:val="17"/>
          <w:color w:val="auto"/>
        </w:rPr>
        <w:t>The Adviser is not aware that (i) any of its executives, key employees or significant group of employees plans to terminate</w:t>
      </w:r>
      <w:r>
        <w:rPr>
          <w:rFonts w:ascii="Arial" w:cs="Arial" w:eastAsia="Arial" w:hAnsi="Arial"/>
          <w:sz w:val="17"/>
          <w:szCs w:val="17"/>
          <w:i w:val="1"/>
          <w:iCs w:val="1"/>
          <w:color w:val="auto"/>
        </w:rPr>
        <w:t xml:space="preserve"> </w:t>
      </w:r>
      <w:r>
        <w:rPr>
          <w:rFonts w:ascii="Arial" w:cs="Arial" w:eastAsia="Arial" w:hAnsi="Arial"/>
          <w:sz w:val="17"/>
          <w:szCs w:val="17"/>
          <w:color w:val="auto"/>
        </w:rPr>
        <w:t>employment with the Adviser or (ii) any such executive or key employee is subject to any noncompete, nondisclosure, confidentiality, employment, consulting or similar agreement that would be violated by either the Adviser’s present or proposed business activities, except, in each case, as would not reasonably be expected, individually or in the aggregate, to have an Adviser Material Adverse Effect.</w:t>
      </w:r>
    </w:p>
    <w:p>
      <w:pPr>
        <w:spacing w:after="0" w:line="171" w:lineRule="exact"/>
        <w:rPr>
          <w:rFonts w:ascii="Arial" w:cs="Arial" w:eastAsia="Arial" w:hAnsi="Arial"/>
          <w:sz w:val="17"/>
          <w:szCs w:val="17"/>
          <w:color w:val="auto"/>
        </w:rPr>
      </w:pPr>
    </w:p>
    <w:p>
      <w:pPr>
        <w:jc w:val="both"/>
        <w:ind w:right="100" w:firstLine="921"/>
        <w:spacing w:after="0" w:line="259" w:lineRule="auto"/>
        <w:tabs>
          <w:tab w:leader="none" w:pos="1283" w:val="left"/>
        </w:tabs>
        <w:numPr>
          <w:ilvl w:val="1"/>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No Labor Disputes. </w:t>
      </w:r>
      <w:r>
        <w:rPr>
          <w:rFonts w:ascii="Arial" w:cs="Arial" w:eastAsia="Arial" w:hAnsi="Arial"/>
          <w:sz w:val="18"/>
          <w:szCs w:val="18"/>
          <w:color w:val="auto"/>
        </w:rPr>
        <w:t>No labor disturbance by or dispute with employees of the Adviser or any of its subsidiaries exists or, to the knowledge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Adviser, is contemplated or threatened, and the Adviser is not aware of any existing or imminent labor disturbance by, or dispute with, the employees or any of its or its subsidiaries’ principal suppliers, contractors or customers, except in each case as would not reasonably be expected to have an Adviser Material Adverse Effect.</w:t>
      </w:r>
    </w:p>
    <w:p>
      <w:pPr>
        <w:spacing w:after="0" w:line="186" w:lineRule="exact"/>
        <w:rPr>
          <w:rFonts w:ascii="Arial" w:cs="Arial" w:eastAsia="Arial" w:hAnsi="Arial"/>
          <w:sz w:val="18"/>
          <w:szCs w:val="18"/>
          <w:color w:val="auto"/>
        </w:rPr>
      </w:pPr>
    </w:p>
    <w:p>
      <w:pPr>
        <w:ind w:left="780" w:hanging="31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Further Agreements of the Company</w:t>
      </w:r>
      <w:r>
        <w:rPr>
          <w:rFonts w:ascii="Arial" w:cs="Arial" w:eastAsia="Arial" w:hAnsi="Arial"/>
          <w:sz w:val="18"/>
          <w:szCs w:val="18"/>
          <w:color w:val="auto"/>
        </w:rPr>
        <w:t>. The Company covenants and agrees with each Underwriter that:</w:t>
      </w:r>
    </w:p>
    <w:p>
      <w:pPr>
        <w:spacing w:after="0" w:line="225" w:lineRule="exact"/>
        <w:rPr>
          <w:rFonts w:ascii="Arial" w:cs="Arial" w:eastAsia="Arial" w:hAnsi="Arial"/>
          <w:sz w:val="18"/>
          <w:szCs w:val="18"/>
          <w:color w:val="auto"/>
        </w:rPr>
      </w:pPr>
    </w:p>
    <w:p>
      <w:pPr>
        <w:ind w:firstLine="921"/>
        <w:spacing w:after="0" w:line="272" w:lineRule="auto"/>
        <w:tabs>
          <w:tab w:leader="none" w:pos="1293" w:val="left"/>
        </w:tabs>
        <w:numPr>
          <w:ilvl w:val="1"/>
          <w:numId w:val="39"/>
        </w:numPr>
        <w:rPr>
          <w:rFonts w:ascii="Arial" w:cs="Arial" w:eastAsia="Arial" w:hAnsi="Arial"/>
          <w:sz w:val="17"/>
          <w:szCs w:val="17"/>
          <w:color w:val="auto"/>
        </w:rPr>
      </w:pPr>
      <w:r>
        <w:rPr>
          <w:rFonts w:ascii="Arial" w:cs="Arial" w:eastAsia="Arial" w:hAnsi="Arial"/>
          <w:sz w:val="17"/>
          <w:szCs w:val="17"/>
          <w:i w:val="1"/>
          <w:iCs w:val="1"/>
          <w:color w:val="auto"/>
        </w:rPr>
        <w:t xml:space="preserve">Required Filings. </w:t>
      </w:r>
      <w:r>
        <w:rPr>
          <w:rFonts w:ascii="Arial" w:cs="Arial" w:eastAsia="Arial" w:hAnsi="Arial"/>
          <w:sz w:val="17"/>
          <w:szCs w:val="17"/>
          <w:color w:val="auto"/>
        </w:rPr>
        <w:t>The Company will file the final Prospectus with the Commission within the time periods specified by Rule 497 and Rule</w:t>
      </w:r>
      <w:r>
        <w:rPr>
          <w:rFonts w:ascii="Arial" w:cs="Arial" w:eastAsia="Arial" w:hAnsi="Arial"/>
          <w:sz w:val="17"/>
          <w:szCs w:val="17"/>
          <w:i w:val="1"/>
          <w:iCs w:val="1"/>
          <w:color w:val="auto"/>
        </w:rPr>
        <w:t xml:space="preserve"> </w:t>
      </w:r>
      <w:r>
        <w:rPr>
          <w:rFonts w:ascii="Arial" w:cs="Arial" w:eastAsia="Arial" w:hAnsi="Arial"/>
          <w:sz w:val="17"/>
          <w:szCs w:val="17"/>
          <w:color w:val="auto"/>
        </w:rPr>
        <w:t>430C under the Securities Act;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Securities; and will furnish electronic copies of the Prospectus to the Underwriters in New York City prior to 5:00 P.M., New York City time, on the business day next succeeding the date of this Agreement, with written copies of the Prospectus to follow as soon as practicable but in no event later than 5:00 P.M., New York City time, on the second business day succeeding the date of this Agreement in such quantities as the Representative may reasonably request.</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74" w:right="279" w:bottom="1440" w:gutter="0" w:footer="0" w:header="0"/>
        </w:sectPr>
      </w:pPr>
    </w:p>
    <w:bookmarkStart w:id="30" w:name="page31"/>
    <w:bookmarkEnd w:id="30"/>
    <w:p>
      <w:pPr>
        <w:ind w:left="-20" w:right="140" w:firstLine="921"/>
        <w:spacing w:after="0" w:line="293" w:lineRule="auto"/>
        <w:tabs>
          <w:tab w:leader="none" w:pos="1283"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Delivery of Copies. </w:t>
      </w:r>
      <w:r>
        <w:rPr>
          <w:rFonts w:ascii="Arial" w:cs="Arial" w:eastAsia="Arial" w:hAnsi="Arial"/>
          <w:sz w:val="16"/>
          <w:szCs w:val="16"/>
          <w:color w:val="auto"/>
        </w:rPr>
        <w:t>The Company will deliver, without charge, (i) to the Representative, electronic signed copies of the Registration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as originally filed and each amendment thereto, in each case including all exhibits and consents filed therewith; and (ii) to each Underwriter (A) a conformed copy of the Registration Statement as originally filed and each amendment thereto (without exhibits) and (B) during the Prospectus Delivery Period (as defined below), as many copies of the Prospectus as the Representative may reasonably request. As used herein, the term “Prospectus Delivery Period” means such period of time after the first date of the public offering of the Securities as in the opinion of counsel for the Underwriters a prospectus relating to the Securities is required by law to be delivered in connection with sales of the Securities by any Underwriter or dealer.</w:t>
      </w:r>
    </w:p>
    <w:p>
      <w:pPr>
        <w:spacing w:after="0" w:line="164" w:lineRule="exact"/>
        <w:rPr>
          <w:rFonts w:ascii="Arial" w:cs="Arial" w:eastAsia="Arial" w:hAnsi="Arial"/>
          <w:sz w:val="16"/>
          <w:szCs w:val="16"/>
          <w:color w:val="auto"/>
        </w:rPr>
      </w:pPr>
    </w:p>
    <w:p>
      <w:pPr>
        <w:ind w:left="-20" w:right="100" w:firstLine="921"/>
        <w:spacing w:after="0" w:line="259" w:lineRule="auto"/>
        <w:tabs>
          <w:tab w:leader="none" w:pos="1273"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Amendments or Supplements. </w:t>
      </w:r>
      <w:r>
        <w:rPr>
          <w:rFonts w:ascii="Arial" w:cs="Arial" w:eastAsia="Arial" w:hAnsi="Arial"/>
          <w:sz w:val="18"/>
          <w:szCs w:val="18"/>
          <w:color w:val="auto"/>
        </w:rPr>
        <w:t>Before using, authorizing, approving, referring to or filing any amendment or supplement to the Registration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or the Prospectus, the Company will furnish to the Representative and counsel for the Underwriters a copy of the proposed amendment or supplement for review and will not use, authorize, approve, refer to or file any such proposed amendment or supplement to which the Representative reasonably objects in a timely manner.</w:t>
      </w:r>
    </w:p>
    <w:p>
      <w:pPr>
        <w:spacing w:after="0" w:line="186" w:lineRule="exact"/>
        <w:rPr>
          <w:rFonts w:ascii="Arial" w:cs="Arial" w:eastAsia="Arial" w:hAnsi="Arial"/>
          <w:sz w:val="18"/>
          <w:szCs w:val="18"/>
          <w:color w:val="auto"/>
        </w:rPr>
      </w:pPr>
    </w:p>
    <w:p>
      <w:pPr>
        <w:ind w:left="-20" w:firstLine="921"/>
        <w:spacing w:after="0" w:line="286" w:lineRule="auto"/>
        <w:tabs>
          <w:tab w:leader="none" w:pos="1283"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Notice to the Representative. </w:t>
      </w:r>
      <w:r>
        <w:rPr>
          <w:rFonts w:ascii="Arial" w:cs="Arial" w:eastAsia="Arial" w:hAnsi="Arial"/>
          <w:sz w:val="16"/>
          <w:szCs w:val="16"/>
          <w:color w:val="auto"/>
        </w:rPr>
        <w:t>The Company will advise the Representative promptly, and confirm such advice in writing, (i) when any</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to the Registration Statement has been filed or becomes effective; (ii) when any supplement to the Prospectus or any amendment to the Prospectus has been filed or distributed; (iii)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(iv) of the issuance by the Commission of any order suspending the effectiveness of the Registration Statement or preventing or suspending the use of any Preliminary Prospectus, the Pricing Disclosure Package or the Prospectus or the initiation or threatening of any proceeding for that purpose or pursuant to Section 8A of the Securities Act; (v) of the occurrence of any event or development within the Prospectus Delivery Period as a result of which the Prospectus or the Pricing Disclosure Package, as then amended or supplemented, would include any untrue statement of a material fact or omit to state a material fact necessary in order to make the statements therein, in the light of the circumstances existing when the Prospectus or the Pricing Disclosure Package is delivered to a purchaser, not misleading; and (vi) of the receipt by the Company of any notice with respect to any suspension of the qualification of the Securities for offer and sale in any jurisdiction or the initiation or threatening of any proceeding for such purpose; and the Company will use commercially reasonable efforts to prevent the issuance of any such order suspending the effectiveness of the Registration Statement, preventing or suspending the use of any Preliminary Prospectus, any of the Pricing Disclosure Package or the Prospectus or suspending any such qualification of the Securities and, if any such order is issued, will use commercially reasonable efforts to obtain as soon as possible the withdrawal thereof.</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60" w:top="274" w:right="259" w:bottom="1440" w:gutter="0" w:footer="0" w:header="0"/>
        </w:sectPr>
      </w:pPr>
    </w:p>
    <w:bookmarkStart w:id="31" w:name="page32"/>
    <w:bookmarkEnd w:id="31"/>
    <w:p>
      <w:pPr>
        <w:ind w:left="-8" w:right="60" w:firstLine="921"/>
        <w:spacing w:after="0" w:line="288" w:lineRule="auto"/>
        <w:tabs>
          <w:tab w:leader="none" w:pos="1285" w:val="left"/>
        </w:tabs>
        <w:numPr>
          <w:ilvl w:val="1"/>
          <w:numId w:val="41"/>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Ongoing Compliance. </w:t>
      </w:r>
      <w:r>
        <w:rPr>
          <w:rFonts w:ascii="Arial" w:cs="Arial" w:eastAsia="Arial" w:hAnsi="Arial"/>
          <w:sz w:val="16"/>
          <w:szCs w:val="16"/>
          <w:color w:val="auto"/>
        </w:rPr>
        <w:t>(1) If during the Prospectus Delivery Period (i) any event or development shall occur or condition shall exist as a</w:t>
      </w:r>
      <w:r>
        <w:rPr>
          <w:rFonts w:ascii="Arial" w:cs="Arial" w:eastAsia="Arial" w:hAnsi="Arial"/>
          <w:sz w:val="16"/>
          <w:szCs w:val="16"/>
          <w:i w:val="1"/>
          <w:iCs w:val="1"/>
          <w:color w:val="auto"/>
        </w:rPr>
        <w:t xml:space="preserve"> </w:t>
      </w:r>
      <w:r>
        <w:rPr>
          <w:rFonts w:ascii="Arial" w:cs="Arial" w:eastAsia="Arial" w:hAnsi="Arial"/>
          <w:sz w:val="16"/>
          <w:szCs w:val="16"/>
          <w:color w:val="auto"/>
        </w:rPr>
        <w:t>result 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w:t>
      </w:r>
    </w:p>
    <w:p>
      <w:pPr>
        <w:ind w:left="-8" w:firstLine="8"/>
        <w:spacing w:after="0" w:line="285" w:lineRule="auto"/>
        <w:tabs>
          <w:tab w:leader="none" w:pos="257" w:val="left"/>
        </w:tabs>
        <w:numPr>
          <w:ilvl w:val="0"/>
          <w:numId w:val="42"/>
        </w:numPr>
        <w:rPr>
          <w:rFonts w:ascii="Arial" w:cs="Arial" w:eastAsia="Arial" w:hAnsi="Arial"/>
          <w:sz w:val="16"/>
          <w:szCs w:val="16"/>
          <w:color w:val="auto"/>
        </w:rPr>
      </w:pPr>
      <w:r>
        <w:rPr>
          <w:rFonts w:ascii="Arial" w:cs="Arial" w:eastAsia="Arial" w:hAnsi="Arial"/>
          <w:sz w:val="16"/>
          <w:szCs w:val="16"/>
          <w:color w:val="auto"/>
        </w:rPr>
        <w:t>it is necessary to amend or supplement the Prospectus to comply with law, the Company will immediately notify the Underwriters thereof and forthwith prepare and, subject to paragraph (c) above, file with the Commission and furnish to the Underwriters and to such dealers as the Representative may designate such amendments or supplements to the Prospectus as may be necessary so that the statements in the Prospectus as so amended or supplemented will not, in the light of the circumstances existing when the Prospectus is delivered to a purchaser, be misleading or so that the Prospectus will comply with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immediately notify the Underwriters thereof and forthwith prepare and, subject to paragraph (c) above, file with the Commission (to the extent required) and furnish to the Underwriters and to such dealers as the Representative may designate such amendments or supplements to the Pricing Disclosure Package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w:t>
      </w:r>
    </w:p>
    <w:p>
      <w:pPr>
        <w:spacing w:after="0" w:line="172" w:lineRule="exact"/>
        <w:rPr>
          <w:rFonts w:ascii="Arial" w:cs="Arial" w:eastAsia="Arial" w:hAnsi="Arial"/>
          <w:sz w:val="16"/>
          <w:szCs w:val="16"/>
          <w:color w:val="auto"/>
        </w:rPr>
      </w:pPr>
    </w:p>
    <w:p>
      <w:pPr>
        <w:ind w:left="-8" w:right="180" w:firstLine="921"/>
        <w:spacing w:after="0" w:line="297" w:lineRule="auto"/>
        <w:tabs>
          <w:tab w:leader="none" w:pos="1265" w:val="left"/>
        </w:tabs>
        <w:numPr>
          <w:ilvl w:val="1"/>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Blue Sky Compliance. </w:t>
      </w:r>
      <w:r>
        <w:rPr>
          <w:rFonts w:ascii="Arial" w:cs="Arial" w:eastAsia="Arial" w:hAnsi="Arial"/>
          <w:sz w:val="16"/>
          <w:szCs w:val="16"/>
          <w:color w:val="auto"/>
        </w:rPr>
        <w:t>The Company will use commercially reasonable efforts, in cooperation with the Representative, to qualify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Securities for offer and sale under the securities or Blue Sky laws of such jurisdictions as the Representative shall reasonably request and will continue such qualifications in effect so long as required for distribution of the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158" w:lineRule="exact"/>
        <w:rPr>
          <w:rFonts w:ascii="Arial" w:cs="Arial" w:eastAsia="Arial" w:hAnsi="Arial"/>
          <w:sz w:val="16"/>
          <w:szCs w:val="16"/>
          <w:color w:val="auto"/>
        </w:rPr>
      </w:pPr>
    </w:p>
    <w:p>
      <w:pPr>
        <w:ind w:left="-8" w:right="200" w:firstLine="921"/>
        <w:spacing w:after="0" w:line="257" w:lineRule="auto"/>
        <w:tabs>
          <w:tab w:leader="none" w:pos="1295" w:val="left"/>
        </w:tabs>
        <w:numPr>
          <w:ilvl w:val="1"/>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Earning Statement. </w:t>
      </w:r>
      <w:r>
        <w:rPr>
          <w:rFonts w:ascii="Arial" w:cs="Arial" w:eastAsia="Arial" w:hAnsi="Arial"/>
          <w:sz w:val="18"/>
          <w:szCs w:val="18"/>
          <w:color w:val="auto"/>
        </w:rPr>
        <w:t>The Company will make generally available to its security holders and the Representative as soon as practicable 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earning statement that satisfies the provisions of Section 11(a) of the Securities Act and Rule 158 of the Commission promulgated thereunder covering a period of at least twelve months beginning after the “effective date” (as defined in Rule 158) of the Registration Statement;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Company will be deemed to have complied with such requirement by filing such an earning statement on the Commission’s Electronic Data Gathering, Analysis, and Retrieval system (or any successor system) (“EDGAR”).</w:t>
      </w:r>
    </w:p>
    <w:p>
      <w:pPr>
        <w:spacing w:after="0" w:line="12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12"/>
          </w:cols>
          <w:pgMar w:left="248" w:top="274" w:right="239" w:bottom="1440" w:gutter="0" w:footer="0" w:header="0"/>
        </w:sectPr>
      </w:pPr>
    </w:p>
    <w:bookmarkStart w:id="32" w:name="page33"/>
    <w:bookmarkEnd w:id="32"/>
    <w:p>
      <w:pPr>
        <w:ind w:left="-20" w:right="120" w:firstLine="921"/>
        <w:spacing w:after="0" w:line="291" w:lineRule="auto"/>
        <w:tabs>
          <w:tab w:leader="none" w:pos="1283"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Clear Market. </w:t>
      </w:r>
      <w:r>
        <w:rPr>
          <w:rFonts w:ascii="Arial" w:cs="Arial" w:eastAsia="Arial" w:hAnsi="Arial"/>
          <w:sz w:val="16"/>
          <w:szCs w:val="16"/>
          <w:color w:val="auto"/>
        </w:rPr>
        <w:t>Through the Closing Date, the Company will not (i) offer, pledge, sell, contract to sell, sell any option or contract to</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purchase any option or contract to sell, grant any option, right or warrant to purchase, or otherwise transfer or dispose of, directly or indirectly, or file with the Commission a registration statement under the Securities Act relating to, any debt securities issued or guaranteed by the Company or any securities convertible into or exercisable or exchangeable for debt securities issued or guaranteed by the Company, or publicly disclose the intention to make any such offer, sale, pledge, disposition or filing, or (ii) enter into any swap or other agreement that transfers, in whole or in part, any of the economic consequences of ownership of the debt securities issued or guaranteed by the Company or any such other securities, without the prior written consent of the Representative on behalf of the Underwriters, other than the Securities to be sold hereunder for purposes of interest rate hedging.</w:t>
      </w:r>
    </w:p>
    <w:p>
      <w:pPr>
        <w:spacing w:after="0" w:line="167" w:lineRule="exact"/>
        <w:rPr>
          <w:rFonts w:ascii="Arial" w:cs="Arial" w:eastAsia="Arial" w:hAnsi="Arial"/>
          <w:sz w:val="16"/>
          <w:szCs w:val="16"/>
          <w:color w:val="auto"/>
        </w:rPr>
      </w:pPr>
    </w:p>
    <w:p>
      <w:pPr>
        <w:ind w:left="-20" w:right="40" w:firstLine="921"/>
        <w:spacing w:after="0" w:line="277" w:lineRule="auto"/>
        <w:tabs>
          <w:tab w:leader="none" w:pos="1243"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Use of Proceeds</w:t>
      </w:r>
      <w:r>
        <w:rPr>
          <w:rFonts w:ascii="Arial" w:cs="Arial" w:eastAsia="Arial" w:hAnsi="Arial"/>
          <w:sz w:val="18"/>
          <w:szCs w:val="18"/>
          <w:color w:val="auto"/>
        </w:rPr>
        <w:t>. The Company will apply the net proceeds from the sale of the Securities in all material respects as described in the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Package and the Prospectus under the heading “Use of Proceeds”.</w:t>
      </w:r>
    </w:p>
    <w:p>
      <w:pPr>
        <w:spacing w:after="0" w:line="170" w:lineRule="exact"/>
        <w:rPr>
          <w:rFonts w:ascii="Arial" w:cs="Arial" w:eastAsia="Arial" w:hAnsi="Arial"/>
          <w:sz w:val="18"/>
          <w:szCs w:val="18"/>
          <w:color w:val="auto"/>
        </w:rPr>
      </w:pPr>
    </w:p>
    <w:p>
      <w:pPr>
        <w:ind w:left="-20" w:right="240" w:firstLine="921"/>
        <w:spacing w:after="0" w:line="308" w:lineRule="auto"/>
        <w:tabs>
          <w:tab w:leader="none" w:pos="1243" w:val="left"/>
        </w:tabs>
        <w:numPr>
          <w:ilvl w:val="0"/>
          <w:numId w:val="43"/>
        </w:numPr>
        <w:rPr>
          <w:rFonts w:ascii="Arial" w:cs="Arial" w:eastAsia="Arial" w:hAnsi="Arial"/>
          <w:sz w:val="17"/>
          <w:szCs w:val="17"/>
          <w:color w:val="auto"/>
        </w:rPr>
      </w:pPr>
      <w:r>
        <w:rPr>
          <w:rFonts w:ascii="Arial" w:cs="Arial" w:eastAsia="Arial" w:hAnsi="Arial"/>
          <w:sz w:val="17"/>
          <w:szCs w:val="17"/>
          <w:i w:val="1"/>
          <w:iCs w:val="1"/>
          <w:color w:val="auto"/>
        </w:rPr>
        <w:t xml:space="preserve">No Stabilization. </w:t>
      </w:r>
      <w:r>
        <w:rPr>
          <w:rFonts w:ascii="Arial" w:cs="Arial" w:eastAsia="Arial" w:hAnsi="Arial"/>
          <w:sz w:val="17"/>
          <w:szCs w:val="17"/>
          <w:color w:val="auto"/>
        </w:rPr>
        <w:t>The Company will not take, directly or indirectly, without giving effect to any activities by the Underwriters, any action</w:t>
      </w:r>
      <w:r>
        <w:rPr>
          <w:rFonts w:ascii="Arial" w:cs="Arial" w:eastAsia="Arial" w:hAnsi="Arial"/>
          <w:sz w:val="17"/>
          <w:szCs w:val="17"/>
          <w:i w:val="1"/>
          <w:iCs w:val="1"/>
          <w:color w:val="auto"/>
        </w:rPr>
        <w:t xml:space="preserve"> </w:t>
      </w:r>
      <w:r>
        <w:rPr>
          <w:rFonts w:ascii="Arial" w:cs="Arial" w:eastAsia="Arial" w:hAnsi="Arial"/>
          <w:sz w:val="17"/>
          <w:szCs w:val="17"/>
          <w:color w:val="auto"/>
        </w:rPr>
        <w:t>designed to or that would reasonably be expected to cause or result in any stabilization or manipulation of the price of the Securities.</w:t>
      </w:r>
    </w:p>
    <w:p>
      <w:pPr>
        <w:spacing w:after="0" w:line="146" w:lineRule="exact"/>
        <w:rPr>
          <w:rFonts w:ascii="Arial" w:cs="Arial" w:eastAsia="Arial" w:hAnsi="Arial"/>
          <w:sz w:val="17"/>
          <w:szCs w:val="17"/>
          <w:color w:val="auto"/>
        </w:rPr>
      </w:pPr>
    </w:p>
    <w:p>
      <w:pPr>
        <w:ind w:left="-20" w:firstLine="921"/>
        <w:spacing w:after="0" w:line="257" w:lineRule="auto"/>
        <w:tabs>
          <w:tab w:leader="none" w:pos="1283"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Reports. </w:t>
      </w:r>
      <w:r>
        <w:rPr>
          <w:rFonts w:ascii="Arial" w:cs="Arial" w:eastAsia="Arial" w:hAnsi="Arial"/>
          <w:sz w:val="18"/>
          <w:szCs w:val="18"/>
          <w:color w:val="auto"/>
        </w:rPr>
        <w:t>For a period of one year from the date of this Agreement, so long as the Securities are outstanding, the Company will furnish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Representative, as soon as commercially reasonable after the date they are available, copies of all reports or other communications (financial or other) furnished to holders of the Securities, and copies of any reports and financial statements furnished to or filed with the Commission or any national securities exchange or automatic quotation system;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the Company will be deemed to have furnished such reports and financial statements to the Representative to the extent they are filed on EDGAR.</w:t>
      </w:r>
    </w:p>
    <w:p>
      <w:pPr>
        <w:spacing w:after="0" w:line="188" w:lineRule="exact"/>
        <w:rPr>
          <w:rFonts w:ascii="Arial" w:cs="Arial" w:eastAsia="Arial" w:hAnsi="Arial"/>
          <w:sz w:val="18"/>
          <w:szCs w:val="18"/>
          <w:color w:val="auto"/>
        </w:rPr>
      </w:pPr>
    </w:p>
    <w:p>
      <w:pPr>
        <w:jc w:val="both"/>
        <w:ind w:left="-20" w:firstLine="921"/>
        <w:spacing w:after="0" w:line="279" w:lineRule="auto"/>
        <w:tabs>
          <w:tab w:leader="none" w:pos="1243" w:val="left"/>
        </w:tabs>
        <w:numPr>
          <w:ilvl w:val="0"/>
          <w:numId w:val="43"/>
        </w:numPr>
        <w:rPr>
          <w:rFonts w:ascii="Arial" w:cs="Arial" w:eastAsia="Arial" w:hAnsi="Arial"/>
          <w:sz w:val="17"/>
          <w:szCs w:val="17"/>
          <w:color w:val="auto"/>
        </w:rPr>
      </w:pPr>
      <w:r>
        <w:rPr>
          <w:rFonts w:ascii="Arial" w:cs="Arial" w:eastAsia="Arial" w:hAnsi="Arial"/>
          <w:sz w:val="17"/>
          <w:szCs w:val="17"/>
          <w:i w:val="1"/>
          <w:iCs w:val="1"/>
          <w:color w:val="auto"/>
        </w:rPr>
        <w:t>Business Development Company</w:t>
      </w:r>
      <w:r>
        <w:rPr>
          <w:rFonts w:ascii="Arial" w:cs="Arial" w:eastAsia="Arial" w:hAnsi="Arial"/>
          <w:sz w:val="17"/>
          <w:szCs w:val="17"/>
          <w:color w:val="auto"/>
        </w:rPr>
        <w:t>. The Company, during a period of twelve months from the date of the Prospectus, will use commercially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reasonable efforts to maintain its status as a business development company under the Investment Company Act;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may change the nature of its business so as to cease to be, or withdraw its election to be treated as, a business development company with the approval of its Board of Directors and a vote of stockholders as required by Section 58 of the Investment Company Act.</w:t>
      </w:r>
    </w:p>
    <w:p>
      <w:pPr>
        <w:spacing w:after="0" w:line="171" w:lineRule="exact"/>
        <w:rPr>
          <w:rFonts w:ascii="Arial" w:cs="Arial" w:eastAsia="Arial" w:hAnsi="Arial"/>
          <w:sz w:val="17"/>
          <w:szCs w:val="17"/>
          <w:color w:val="auto"/>
        </w:rPr>
      </w:pPr>
    </w:p>
    <w:p>
      <w:pPr>
        <w:ind w:left="-20" w:right="80" w:firstLine="921"/>
        <w:spacing w:after="0" w:line="264" w:lineRule="auto"/>
        <w:tabs>
          <w:tab w:leader="none" w:pos="1333"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Regulated Investment Company. </w:t>
      </w:r>
      <w:r>
        <w:rPr>
          <w:rFonts w:ascii="Arial" w:cs="Arial" w:eastAsia="Arial" w:hAnsi="Arial"/>
          <w:sz w:val="18"/>
          <w:szCs w:val="18"/>
          <w:color w:val="auto"/>
        </w:rPr>
        <w:t>The Company will use commercially reasonable efforts to maintain in effect its qualification and election</w:t>
      </w:r>
      <w:r>
        <w:rPr>
          <w:rFonts w:ascii="Arial" w:cs="Arial" w:eastAsia="Arial" w:hAnsi="Arial"/>
          <w:sz w:val="18"/>
          <w:szCs w:val="18"/>
          <w:i w:val="1"/>
          <w:iCs w:val="1"/>
          <w:color w:val="auto"/>
        </w:rPr>
        <w:t xml:space="preserve"> </w:t>
      </w:r>
      <w:r>
        <w:rPr>
          <w:rFonts w:ascii="Arial" w:cs="Arial" w:eastAsia="Arial" w:hAnsi="Arial"/>
          <w:sz w:val="18"/>
          <w:szCs w:val="18"/>
          <w:color w:val="auto"/>
        </w:rPr>
        <w:t>to be treated as a regulated investment company under Subchapter M of the Code for each taxable year during which it is a business development company under the Investment Company Act.</w:t>
      </w:r>
    </w:p>
    <w:p>
      <w:pPr>
        <w:spacing w:after="0" w:line="181" w:lineRule="exact"/>
        <w:rPr>
          <w:rFonts w:ascii="Arial" w:cs="Arial" w:eastAsia="Arial" w:hAnsi="Arial"/>
          <w:sz w:val="18"/>
          <w:szCs w:val="18"/>
          <w:color w:val="auto"/>
        </w:rPr>
      </w:pPr>
    </w:p>
    <w:p>
      <w:pPr>
        <w:ind w:left="-20" w:right="280" w:firstLine="921"/>
        <w:spacing w:after="0" w:line="277" w:lineRule="auto"/>
        <w:tabs>
          <w:tab w:leader="none" w:pos="1283"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Annual Compliance Reviews</w:t>
      </w:r>
      <w:r>
        <w:rPr>
          <w:rFonts w:ascii="Arial" w:cs="Arial" w:eastAsia="Arial" w:hAnsi="Arial"/>
          <w:sz w:val="18"/>
          <w:szCs w:val="18"/>
          <w:color w:val="auto"/>
        </w:rPr>
        <w:t>. The Company will retain qualified accountants and qualified tax experts (i) to test procedures and conduct</w:t>
      </w:r>
      <w:r>
        <w:rPr>
          <w:rFonts w:ascii="Arial" w:cs="Arial" w:eastAsia="Arial" w:hAnsi="Arial"/>
          <w:sz w:val="18"/>
          <w:szCs w:val="18"/>
          <w:i w:val="1"/>
          <w:iCs w:val="1"/>
          <w:color w:val="auto"/>
        </w:rPr>
        <w:t xml:space="preserve"> </w:t>
      </w:r>
      <w:r>
        <w:rPr>
          <w:rFonts w:ascii="Arial" w:cs="Arial" w:eastAsia="Arial" w:hAnsi="Arial"/>
          <w:sz w:val="18"/>
          <w:szCs w:val="18"/>
          <w:color w:val="auto"/>
        </w:rPr>
        <w:t>annual compliance reviews designed to determine compliance with the regulated investment company provisions of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60" w:top="274" w:right="259" w:bottom="1440" w:gutter="0" w:footer="0" w:header="0"/>
        </w:sectPr>
      </w:pPr>
    </w:p>
    <w:bookmarkStart w:id="33" w:name="page34"/>
    <w:bookmarkEnd w:id="33"/>
    <w:p>
      <w:pPr>
        <w:ind w:right="1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Code and the Company’s exempt status under the Investment Company Act and (ii) to otherwise assist the Company in monitoring appropriate accounting systems and procedures designed to determine compliance with the regulated investment company provisions of the Code and the Company’s exempt status under the Investment Company Act.</w:t>
      </w:r>
    </w:p>
    <w:p>
      <w:pPr>
        <w:spacing w:after="0" w:line="181" w:lineRule="exact"/>
        <w:rPr>
          <w:sz w:val="20"/>
          <w:szCs w:val="20"/>
          <w:color w:val="auto"/>
        </w:rPr>
      </w:pPr>
    </w:p>
    <w:p>
      <w:pPr>
        <w:ind w:right="20" w:firstLine="921"/>
        <w:spacing w:after="0" w:line="272" w:lineRule="auto"/>
        <w:tabs>
          <w:tab w:leader="none" w:pos="1303" w:val="left"/>
        </w:tabs>
        <w:numPr>
          <w:ilvl w:val="1"/>
          <w:numId w:val="44"/>
        </w:numPr>
        <w:rPr>
          <w:rFonts w:ascii="Arial" w:cs="Arial" w:eastAsia="Arial" w:hAnsi="Arial"/>
          <w:sz w:val="17"/>
          <w:szCs w:val="17"/>
          <w:color w:val="auto"/>
        </w:rPr>
      </w:pPr>
      <w:r>
        <w:rPr>
          <w:rFonts w:ascii="Arial" w:cs="Arial" w:eastAsia="Arial" w:hAnsi="Arial"/>
          <w:sz w:val="17"/>
          <w:szCs w:val="17"/>
          <w:i w:val="1"/>
          <w:iCs w:val="1"/>
          <w:color w:val="auto"/>
        </w:rPr>
        <w:t>Issuer Free Writing Prospectus</w:t>
      </w:r>
      <w:r>
        <w:rPr>
          <w:rFonts w:ascii="Arial" w:cs="Arial" w:eastAsia="Arial" w:hAnsi="Arial"/>
          <w:sz w:val="17"/>
          <w:szCs w:val="17"/>
          <w:color w:val="auto"/>
        </w:rPr>
        <w:t>. The Company represents and agrees that, without the prior consent of the Representative (i) it will not</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distribute any offering material other than the Registration Statement, the Pricing Disclosure Package, the Prospectus or the information set forth on Schedule 2 hereto, and (ii) it has not made and will not make any offer relating to the Securities that would constitute a “free writing prospectus” as defined in Rule 405 under the Securities Act (other than for the information set forth on Schedule 2 hereto), and which the parties agree, for the purposes of this Agreement, includes (x) any “advertisement” as defined in Rule 482 under the Securities Act; and (y) any sales literature, materials or information provided to investors by, or with the approval of, the Company in connection with the marketing of the offering of the Securities, including any in-person roadshow or investor presentations (including slides and scripts relating thereto) made to investors by or on behalf of the Company.</w:t>
      </w:r>
    </w:p>
    <w:p>
      <w:pPr>
        <w:spacing w:after="0" w:line="177" w:lineRule="exact"/>
        <w:rPr>
          <w:rFonts w:ascii="Arial" w:cs="Arial" w:eastAsia="Arial" w:hAnsi="Arial"/>
          <w:sz w:val="17"/>
          <w:szCs w:val="17"/>
          <w:color w:val="auto"/>
        </w:rPr>
      </w:pPr>
    </w:p>
    <w:p>
      <w:pPr>
        <w:ind w:left="780" w:hanging="31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Certain Agreements of the Underwriters</w:t>
      </w:r>
      <w:r>
        <w:rPr>
          <w:rFonts w:ascii="Arial" w:cs="Arial" w:eastAsia="Arial" w:hAnsi="Arial"/>
          <w:sz w:val="18"/>
          <w:szCs w:val="18"/>
          <w:color w:val="auto"/>
        </w:rPr>
        <w:t>. Each Underwriter hereby represents, warrants and agrees that:</w:t>
      </w:r>
    </w:p>
    <w:p>
      <w:pPr>
        <w:spacing w:after="0" w:line="225" w:lineRule="exact"/>
        <w:rPr>
          <w:rFonts w:ascii="Arial" w:cs="Arial" w:eastAsia="Arial" w:hAnsi="Arial"/>
          <w:sz w:val="18"/>
          <w:szCs w:val="18"/>
          <w:color w:val="auto"/>
        </w:rPr>
      </w:pPr>
    </w:p>
    <w:p>
      <w:pPr>
        <w:ind w:right="40" w:firstLine="921"/>
        <w:spacing w:after="0" w:line="259" w:lineRule="auto"/>
        <w:tabs>
          <w:tab w:leader="none" w:pos="1289" w:val="left"/>
        </w:tabs>
        <w:numPr>
          <w:ilvl w:val="1"/>
          <w:numId w:val="45"/>
        </w:numPr>
        <w:rPr>
          <w:rFonts w:ascii="Arial" w:cs="Arial" w:eastAsia="Arial" w:hAnsi="Arial"/>
          <w:sz w:val="18"/>
          <w:szCs w:val="18"/>
          <w:color w:val="auto"/>
        </w:rPr>
      </w:pPr>
      <w:r>
        <w:rPr>
          <w:rFonts w:ascii="Arial" w:cs="Arial" w:eastAsia="Arial" w:hAnsi="Arial"/>
          <w:sz w:val="18"/>
          <w:szCs w:val="18"/>
          <w:color w:val="auto"/>
        </w:rPr>
        <w:t>Without the prior written consent of the Company, it has not used, authorized use of, referred to or participated in the planning for the use of, and will not use, authorize the use of, refer to or participate in the planning for the use of, any written information concerning the offering of the Securities other than materials contained in the Pricing Disclosure Package, the Prospectus or any other offering materials prepared by or with the prior written consent of the Company.</w:t>
      </w:r>
    </w:p>
    <w:p>
      <w:pPr>
        <w:spacing w:after="0" w:line="186" w:lineRule="exact"/>
        <w:rPr>
          <w:rFonts w:ascii="Arial" w:cs="Arial" w:eastAsia="Arial" w:hAnsi="Arial"/>
          <w:sz w:val="18"/>
          <w:szCs w:val="18"/>
          <w:color w:val="auto"/>
        </w:rPr>
      </w:pPr>
    </w:p>
    <w:p>
      <w:pPr>
        <w:ind w:right="680" w:firstLine="921"/>
        <w:spacing w:after="0" w:line="308" w:lineRule="auto"/>
        <w:tabs>
          <w:tab w:leader="none" w:pos="1303" w:val="left"/>
        </w:tabs>
        <w:numPr>
          <w:ilvl w:val="1"/>
          <w:numId w:val="45"/>
        </w:numPr>
        <w:rPr>
          <w:rFonts w:ascii="Arial" w:cs="Arial" w:eastAsia="Arial" w:hAnsi="Arial"/>
          <w:sz w:val="17"/>
          <w:szCs w:val="17"/>
          <w:color w:val="auto"/>
        </w:rPr>
      </w:pPr>
      <w:r>
        <w:rPr>
          <w:rFonts w:ascii="Arial" w:cs="Arial" w:eastAsia="Arial" w:hAnsi="Arial"/>
          <w:sz w:val="17"/>
          <w:szCs w:val="17"/>
          <w:color w:val="auto"/>
        </w:rPr>
        <w:t>It is not subject to any pending proceeding under Section 8A of the Securities Act with respect to the offering contemplated by this Agreement (and will promptly notify the Company if any such proceeding against it is initiated during the Prospectus Delivery Period).</w:t>
      </w:r>
    </w:p>
    <w:p>
      <w:pPr>
        <w:spacing w:after="0" w:line="146" w:lineRule="exact"/>
        <w:rPr>
          <w:rFonts w:ascii="Arial" w:cs="Arial" w:eastAsia="Arial" w:hAnsi="Arial"/>
          <w:sz w:val="17"/>
          <w:szCs w:val="17"/>
          <w:color w:val="auto"/>
        </w:rPr>
      </w:pPr>
    </w:p>
    <w:p>
      <w:pPr>
        <w:ind w:right="160" w:firstLine="464"/>
        <w:spacing w:after="0" w:line="308" w:lineRule="auto"/>
        <w:tabs>
          <w:tab w:leader="none" w:pos="771"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Conditions of Underwriters’ Obligations.</w:t>
      </w:r>
      <w:r>
        <w:rPr>
          <w:rFonts w:ascii="Arial" w:cs="Arial" w:eastAsia="Arial" w:hAnsi="Arial"/>
          <w:sz w:val="17"/>
          <w:szCs w:val="17"/>
          <w:color w:val="auto"/>
        </w:rPr>
        <w:t xml:space="preserve"> The obligation of each Underwriter to purchase the Securities on the Closing Date as provided herein is subject to the performance by the Company of its covenants and other obligations hereunder and to the following additional conditions:</w:t>
      </w:r>
    </w:p>
    <w:p>
      <w:pPr>
        <w:spacing w:after="0" w:line="146" w:lineRule="exact"/>
        <w:rPr>
          <w:rFonts w:ascii="Arial" w:cs="Arial" w:eastAsia="Arial" w:hAnsi="Arial"/>
          <w:sz w:val="17"/>
          <w:szCs w:val="17"/>
          <w:color w:val="auto"/>
        </w:rPr>
      </w:pPr>
    </w:p>
    <w:p>
      <w:pPr>
        <w:ind w:firstLine="921"/>
        <w:spacing w:after="0" w:line="279" w:lineRule="auto"/>
        <w:tabs>
          <w:tab w:leader="none" w:pos="1293" w:val="left"/>
        </w:tabs>
        <w:numPr>
          <w:ilvl w:val="1"/>
          <w:numId w:val="45"/>
        </w:numPr>
        <w:rPr>
          <w:rFonts w:ascii="Arial" w:cs="Arial" w:eastAsia="Arial" w:hAnsi="Arial"/>
          <w:sz w:val="17"/>
          <w:szCs w:val="17"/>
          <w:color w:val="auto"/>
        </w:rPr>
      </w:pPr>
      <w:r>
        <w:rPr>
          <w:rFonts w:ascii="Arial" w:cs="Arial" w:eastAsia="Arial" w:hAnsi="Arial"/>
          <w:sz w:val="17"/>
          <w:szCs w:val="17"/>
          <w:i w:val="1"/>
          <w:iCs w:val="1"/>
          <w:color w:val="auto"/>
        </w:rPr>
        <w:t xml:space="preserve">Registration Compliance; No Stop Order. </w:t>
      </w:r>
      <w:r>
        <w:rPr>
          <w:rFonts w:ascii="Arial" w:cs="Arial" w:eastAsia="Arial" w:hAnsi="Arial"/>
          <w:sz w:val="17"/>
          <w:szCs w:val="17"/>
          <w:color w:val="auto"/>
        </w:rPr>
        <w:t>No order suspending the effectiveness of the Registration Statement shall be in effect, and no</w:t>
      </w:r>
      <w:r>
        <w:rPr>
          <w:rFonts w:ascii="Arial" w:cs="Arial" w:eastAsia="Arial" w:hAnsi="Arial"/>
          <w:sz w:val="17"/>
          <w:szCs w:val="17"/>
          <w:i w:val="1"/>
          <w:iCs w:val="1"/>
          <w:color w:val="auto"/>
        </w:rPr>
        <w:t xml:space="preserve"> </w:t>
      </w:r>
      <w:r>
        <w:rPr>
          <w:rFonts w:ascii="Arial" w:cs="Arial" w:eastAsia="Arial" w:hAnsi="Arial"/>
          <w:sz w:val="17"/>
          <w:szCs w:val="17"/>
          <w:color w:val="auto"/>
        </w:rPr>
        <w:t>proceeding for such purpose or pursuant to Section 8A under the Securities Act shall be pending before or threatened by the Commission; the Prospectus shall have been timely filed with the Commission under the Securities Act and in accordance with Section 5(a) hereof; and all requests by the Commission for additional information shall have been complied with to the reasonable satisfaction of the Representative.</w:t>
      </w:r>
    </w:p>
    <w:p>
      <w:pPr>
        <w:spacing w:after="0" w:line="171" w:lineRule="exact"/>
        <w:rPr>
          <w:rFonts w:ascii="Arial" w:cs="Arial" w:eastAsia="Arial" w:hAnsi="Arial"/>
          <w:sz w:val="17"/>
          <w:szCs w:val="17"/>
          <w:color w:val="auto"/>
        </w:rPr>
      </w:pPr>
    </w:p>
    <w:p>
      <w:pPr>
        <w:ind w:right="20" w:firstLine="921"/>
        <w:spacing w:after="0" w:line="264" w:lineRule="auto"/>
        <w:tabs>
          <w:tab w:leader="none" w:pos="1303" w:val="left"/>
        </w:tabs>
        <w:numPr>
          <w:ilvl w:val="1"/>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Representations and Warranties. </w:t>
      </w:r>
      <w:r>
        <w:rPr>
          <w:rFonts w:ascii="Arial" w:cs="Arial" w:eastAsia="Arial" w:hAnsi="Arial"/>
          <w:sz w:val="18"/>
          <w:szCs w:val="18"/>
          <w:color w:val="auto"/>
        </w:rPr>
        <w:t>The representations and warranties of the Company and the Adviser contained herein shall be true and</w:t>
      </w:r>
      <w:r>
        <w:rPr>
          <w:rFonts w:ascii="Arial" w:cs="Arial" w:eastAsia="Arial" w:hAnsi="Arial"/>
          <w:sz w:val="18"/>
          <w:szCs w:val="18"/>
          <w:i w:val="1"/>
          <w:iCs w:val="1"/>
          <w:color w:val="auto"/>
        </w:rPr>
        <w:t xml:space="preserve"> </w:t>
      </w:r>
      <w:r>
        <w:rPr>
          <w:rFonts w:ascii="Arial" w:cs="Arial" w:eastAsia="Arial" w:hAnsi="Arial"/>
          <w:sz w:val="18"/>
          <w:szCs w:val="18"/>
          <w:color w:val="auto"/>
        </w:rPr>
        <w:t>correct on the date hereof and on and as of the Closing Date; and the statements of the Company and its officers made in any certificates delivered pursuant to this Agreement shall be true and correct on and as of the Closing Date.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34" w:name="page35"/>
    <w:bookmarkEnd w:id="34"/>
    <w:p>
      <w:pPr>
        <w:ind w:left="-20" w:right="60" w:firstLine="921"/>
        <w:spacing w:after="0" w:line="257" w:lineRule="auto"/>
        <w:tabs>
          <w:tab w:leader="none" w:pos="1273"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 Material Adverse Change. </w:t>
      </w:r>
      <w:r>
        <w:rPr>
          <w:rFonts w:ascii="Arial" w:cs="Arial" w:eastAsia="Arial" w:hAnsi="Arial"/>
          <w:sz w:val="18"/>
          <w:szCs w:val="18"/>
          <w:color w:val="auto"/>
        </w:rPr>
        <w:t>No event or condition of a type described in Section 3(e) and Section 4(a) hereof shall have occurred or shall</w:t>
      </w:r>
      <w:r>
        <w:rPr>
          <w:rFonts w:ascii="Arial" w:cs="Arial" w:eastAsia="Arial" w:hAnsi="Arial"/>
          <w:sz w:val="18"/>
          <w:szCs w:val="18"/>
          <w:i w:val="1"/>
          <w:iCs w:val="1"/>
          <w:color w:val="auto"/>
        </w:rPr>
        <w:t xml:space="preserve"> </w:t>
      </w:r>
      <w:r>
        <w:rPr>
          <w:rFonts w:ascii="Arial" w:cs="Arial" w:eastAsia="Arial" w:hAnsi="Arial"/>
          <w:sz w:val="18"/>
          <w:szCs w:val="18"/>
          <w:color w:val="auto"/>
        </w:rPr>
        <w:t>exist, which event or condition is not described in the Pricing Disclosure Package (excluding any amendment or supplement thereto) and the Prospectus (excluding any amendment or supplement thereto) and the effect of which in the judgment of the Representative makes it impracticable or inadvisable to proceed with the offering, sale or delivery of the Securities on the Closing Date, on the terms and in the manner contemplated by this Agreement, the Pricing Disclosure Package and the Prospectus.</w:t>
      </w:r>
    </w:p>
    <w:p>
      <w:pPr>
        <w:spacing w:after="0" w:line="188" w:lineRule="exact"/>
        <w:rPr>
          <w:rFonts w:ascii="Arial" w:cs="Arial" w:eastAsia="Arial" w:hAnsi="Arial"/>
          <w:sz w:val="18"/>
          <w:szCs w:val="18"/>
          <w:color w:val="auto"/>
        </w:rPr>
      </w:pPr>
    </w:p>
    <w:p>
      <w:pPr>
        <w:ind w:left="-20" w:firstLine="921"/>
        <w:spacing w:after="0" w:line="271" w:lineRule="auto"/>
        <w:tabs>
          <w:tab w:leader="none" w:pos="1283" w:val="left"/>
        </w:tabs>
        <w:numPr>
          <w:ilvl w:val="0"/>
          <w:numId w:val="46"/>
        </w:numPr>
        <w:rPr>
          <w:rFonts w:ascii="Arial" w:cs="Arial" w:eastAsia="Arial" w:hAnsi="Arial"/>
          <w:sz w:val="17"/>
          <w:szCs w:val="17"/>
          <w:color w:val="auto"/>
        </w:rPr>
      </w:pPr>
      <w:r>
        <w:rPr>
          <w:rFonts w:ascii="Arial" w:cs="Arial" w:eastAsia="Arial" w:hAnsi="Arial"/>
          <w:sz w:val="17"/>
          <w:szCs w:val="17"/>
          <w:i w:val="1"/>
          <w:iCs w:val="1"/>
          <w:color w:val="auto"/>
        </w:rPr>
        <w:t xml:space="preserve">Company’s Officer’s Certificate. </w:t>
      </w:r>
      <w:r>
        <w:rPr>
          <w:rFonts w:ascii="Arial" w:cs="Arial" w:eastAsia="Arial" w:hAnsi="Arial"/>
          <w:sz w:val="17"/>
          <w:szCs w:val="17"/>
          <w:color w:val="auto"/>
        </w:rPr>
        <w:t>The Representative shall have received on and as of the Closing Date a certificate, which shall be delivered</w:t>
      </w:r>
      <w:r>
        <w:rPr>
          <w:rFonts w:ascii="Arial" w:cs="Arial" w:eastAsia="Arial" w:hAnsi="Arial"/>
          <w:sz w:val="17"/>
          <w:szCs w:val="17"/>
          <w:i w:val="1"/>
          <w:iCs w:val="1"/>
          <w:color w:val="auto"/>
        </w:rPr>
        <w:t xml:space="preserve"> </w:t>
      </w:r>
      <w:r>
        <w:rPr>
          <w:rFonts w:ascii="Arial" w:cs="Arial" w:eastAsia="Arial" w:hAnsi="Arial"/>
          <w:sz w:val="17"/>
          <w:szCs w:val="17"/>
          <w:color w:val="auto"/>
        </w:rPr>
        <w:t>on behalf of the Company and not the signatories in their individual capacity, of the chief financial officer or chief accounting officer of the Company and one additional senior executive officer of the Company who is reasonably satisfactory to the Representative (i) confirming that such officers have carefully reviewed the Registration Statement, the Pricing Disclosure Package and the Prospectus, (ii) confirming that, to the knowledge of such officers, the representations and warranties of the Company in Sections 3(b) and 3(c) hereof are true and correct, (iii) confirming that, to the knowledge of such officers, the other representations and warranties of the Company in this Agreement are true and correct and that the Company has complied with all agreements and satisfied all conditions on its part to be performed or satisfied hereunder at or prior to the Closing Date, and (iv) to the effect set forth in paragraph (a) above and, with respect to the Company and its subsidiaries, to the effect set forth in paragraph (c) above.</w:t>
      </w:r>
    </w:p>
    <w:p>
      <w:pPr>
        <w:spacing w:after="0" w:line="178" w:lineRule="exact"/>
        <w:rPr>
          <w:rFonts w:ascii="Arial" w:cs="Arial" w:eastAsia="Arial" w:hAnsi="Arial"/>
          <w:sz w:val="17"/>
          <w:szCs w:val="17"/>
          <w:color w:val="auto"/>
        </w:rPr>
      </w:pPr>
    </w:p>
    <w:p>
      <w:pPr>
        <w:ind w:left="-20" w:firstLine="921"/>
        <w:spacing w:after="0" w:line="257" w:lineRule="auto"/>
        <w:tabs>
          <w:tab w:leader="none" w:pos="1273"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Adviser’s Officer’s Certificate. </w:t>
      </w:r>
      <w:r>
        <w:rPr>
          <w:rFonts w:ascii="Arial" w:cs="Arial" w:eastAsia="Arial" w:hAnsi="Arial"/>
          <w:sz w:val="18"/>
          <w:szCs w:val="18"/>
          <w:color w:val="auto"/>
        </w:rPr>
        <w:t>The Representative shall have received on and as of the Closing Date a certificate, which shall be delivered</w:t>
      </w:r>
      <w:r>
        <w:rPr>
          <w:rFonts w:ascii="Arial" w:cs="Arial" w:eastAsia="Arial" w:hAnsi="Arial"/>
          <w:sz w:val="18"/>
          <w:szCs w:val="18"/>
          <w:i w:val="1"/>
          <w:iCs w:val="1"/>
          <w:color w:val="auto"/>
        </w:rPr>
        <w:t xml:space="preserve"> </w:t>
      </w:r>
      <w:r>
        <w:rPr>
          <w:rFonts w:ascii="Arial" w:cs="Arial" w:eastAsia="Arial" w:hAnsi="Arial"/>
          <w:sz w:val="18"/>
          <w:szCs w:val="18"/>
          <w:color w:val="auto"/>
        </w:rPr>
        <w:t>on behalf of the Adviser and not the signatories in their individual capacity, from the two appropriate senior officers of the Adviser reasonably satisfactory to the Representative (i) confirming that the representations and warranties of the Adviser in this Agreement are true and correct and that the Adviser has complied with all agreements and satisfied all conditions on its part to be performed or satisfied hereunder at or prior to the Closing Date, and (ii) with respect to the Adviser and its subsidiaries, to the effect set forth in paragraph (c) above.</w:t>
      </w:r>
    </w:p>
    <w:p>
      <w:pPr>
        <w:spacing w:after="0" w:line="188" w:lineRule="exact"/>
        <w:rPr>
          <w:rFonts w:ascii="Arial" w:cs="Arial" w:eastAsia="Arial" w:hAnsi="Arial"/>
          <w:sz w:val="18"/>
          <w:szCs w:val="18"/>
          <w:color w:val="auto"/>
        </w:rPr>
      </w:pPr>
    </w:p>
    <w:p>
      <w:pPr>
        <w:ind w:left="-20" w:right="240" w:firstLine="921"/>
        <w:spacing w:after="0" w:line="297" w:lineRule="auto"/>
        <w:tabs>
          <w:tab w:leader="none" w:pos="1253"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Comfort Letters. </w:t>
      </w:r>
      <w:r>
        <w:rPr>
          <w:rFonts w:ascii="Arial" w:cs="Arial" w:eastAsia="Arial" w:hAnsi="Arial"/>
          <w:sz w:val="16"/>
          <w:szCs w:val="16"/>
          <w:color w:val="auto"/>
        </w:rPr>
        <w:t>On the date of this Agreement and on the Closing Date KPMG LLP shall have furnished to the Representative, at the</w:t>
      </w:r>
      <w:r>
        <w:rPr>
          <w:rFonts w:ascii="Arial" w:cs="Arial" w:eastAsia="Arial" w:hAnsi="Arial"/>
          <w:sz w:val="16"/>
          <w:szCs w:val="16"/>
          <w:i w:val="1"/>
          <w:iCs w:val="1"/>
          <w:color w:val="auto"/>
        </w:rPr>
        <w:t xml:space="preserve"> </w:t>
      </w:r>
      <w:r>
        <w:rPr>
          <w:rFonts w:ascii="Arial" w:cs="Arial" w:eastAsia="Arial" w:hAnsi="Arial"/>
          <w:sz w:val="16"/>
          <w:szCs w:val="16"/>
          <w:color w:val="auto"/>
        </w:rPr>
        <w:t>request of the Company, letters, dated the respective dates of delivery thereof and addressed to the Underwriters, in form and substance reasonably satisfactory to the Representative, containing statements and information of the type customarily included in accountants’ “comfort letters” to underwriters with respect to the financial statements and certain financial information contained in the Registration Statement, the Pricing Disclosure Package and the Prospectus; provided, that the letter delivered on the Closing Date shall use a “cut-off” date no more than three business days prior to the Closing Date.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60" w:top="274" w:right="259" w:bottom="1440" w:gutter="0" w:footer="0" w:header="0"/>
        </w:sectPr>
      </w:pPr>
    </w:p>
    <w:bookmarkStart w:id="35" w:name="page36"/>
    <w:bookmarkEnd w:id="35"/>
    <w:p>
      <w:pPr>
        <w:ind w:right="60" w:firstLine="921"/>
        <w:spacing w:after="0" w:line="289" w:lineRule="auto"/>
        <w:tabs>
          <w:tab w:leader="none" w:pos="1303"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Opinion and 10b-5 Statement of Counsel for the Company and Adviser. </w:t>
      </w:r>
      <w:r>
        <w:rPr>
          <w:rFonts w:ascii="Arial" w:cs="Arial" w:eastAsia="Arial" w:hAnsi="Arial"/>
          <w:sz w:val="16"/>
          <w:szCs w:val="16"/>
          <w:color w:val="auto"/>
        </w:rPr>
        <w:t>Cleary Gottlieb Steen &amp; Hamilton LLP, counsel for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Adviser, shall have furnished to the Representative, at the request of the Company and the Adviser, their written opinions and 10b-5 letter, dated the Closing Date and addressed to the Underwriters, in form and substance reasonably satisfactory to the Representative. Schulte Roth &amp; Zabel LLP, Investment Company Act counsel for the Company and Advisers Act counsel for the Adviser, shall have furnished to the Representative, at the request of the Company and the Adviser, their written opinion, dated the Closing Date and addressed to the Underwriters, in form and substance reasonably satisfactory to the Representative. Morris, Nichols, Arsht &amp; Tunnell LLP, Delaware counsel for the Company and the Adviser, shall have furnished to the Representative, at the request of the Company and the Adviser, their written opinion, dated the Closing Date and addressed to the Underwriters, in form and substance reasonably satisfactory to the Representative. In-house counsel to the Company and the Adviser, shall have furnished to the Representative its written opinion, dated the Closing Date and addressed to the Underwriters, in form and substance reasonably satisfactory to the Representative.</w:t>
      </w:r>
    </w:p>
    <w:p>
      <w:pPr>
        <w:spacing w:after="0" w:line="166" w:lineRule="exact"/>
        <w:rPr>
          <w:rFonts w:ascii="Arial" w:cs="Arial" w:eastAsia="Arial" w:hAnsi="Arial"/>
          <w:sz w:val="16"/>
          <w:szCs w:val="16"/>
          <w:color w:val="auto"/>
        </w:rPr>
      </w:pPr>
    </w:p>
    <w:p>
      <w:pPr>
        <w:jc w:val="both"/>
        <w:ind w:right="200" w:firstLine="921"/>
        <w:spacing w:after="0" w:line="259" w:lineRule="auto"/>
        <w:tabs>
          <w:tab w:leader="none" w:pos="1303"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Opinion and 10b-5 Statement of Counsel for the Underwriters. </w:t>
      </w:r>
      <w:r>
        <w:rPr>
          <w:rFonts w:ascii="Arial" w:cs="Arial" w:eastAsia="Arial" w:hAnsi="Arial"/>
          <w:sz w:val="18"/>
          <w:szCs w:val="18"/>
          <w:color w:val="auto"/>
        </w:rPr>
        <w:t>The Representatives shall have received on and as of the Closing Date an</w:t>
      </w:r>
      <w:r>
        <w:rPr>
          <w:rFonts w:ascii="Arial" w:cs="Arial" w:eastAsia="Arial" w:hAnsi="Arial"/>
          <w:sz w:val="18"/>
          <w:szCs w:val="18"/>
          <w:i w:val="1"/>
          <w:iCs w:val="1"/>
          <w:color w:val="auto"/>
        </w:rPr>
        <w:t xml:space="preserve"> </w:t>
      </w:r>
      <w:r>
        <w:rPr>
          <w:rFonts w:ascii="Arial" w:cs="Arial" w:eastAsia="Arial" w:hAnsi="Arial"/>
          <w:sz w:val="18"/>
          <w:szCs w:val="18"/>
          <w:color w:val="auto"/>
        </w:rPr>
        <w:t>opinion and 10b-5 statement of Freshfields Bruckhaus Deringer US LLP, counsel for the Underwriters, with respect to such matters as the Representatives may reasonably request, and such counsel shall have received such documents and information as they may reasonably request to enable them to pass upon such matters.</w:t>
      </w:r>
    </w:p>
    <w:p>
      <w:pPr>
        <w:spacing w:after="0" w:line="186" w:lineRule="exact"/>
        <w:rPr>
          <w:rFonts w:ascii="Arial" w:cs="Arial" w:eastAsia="Arial" w:hAnsi="Arial"/>
          <w:sz w:val="18"/>
          <w:szCs w:val="18"/>
          <w:color w:val="auto"/>
        </w:rPr>
      </w:pPr>
    </w:p>
    <w:p>
      <w:pPr>
        <w:ind w:right="60" w:firstLine="921"/>
        <w:spacing w:after="0" w:line="259" w:lineRule="auto"/>
        <w:tabs>
          <w:tab w:leader="none" w:pos="1263"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No Legal Impediment to Issuance. </w:t>
      </w:r>
      <w:r>
        <w:rPr>
          <w:rFonts w:ascii="Arial" w:cs="Arial" w:eastAsia="Arial" w:hAnsi="Arial"/>
          <w:sz w:val="18"/>
          <w:szCs w:val="18"/>
          <w:color w:val="auto"/>
        </w:rPr>
        <w:t>No action shall have been taken and no statute, rule, regulation or order shall have been enacted, adopted</w:t>
      </w:r>
      <w:r>
        <w:rPr>
          <w:rFonts w:ascii="Arial" w:cs="Arial" w:eastAsia="Arial" w:hAnsi="Arial"/>
          <w:sz w:val="18"/>
          <w:szCs w:val="18"/>
          <w:i w:val="1"/>
          <w:iCs w:val="1"/>
          <w:color w:val="auto"/>
        </w:rPr>
        <w:t xml:space="preserve"> </w:t>
      </w:r>
      <w:r>
        <w:rPr>
          <w:rFonts w:ascii="Arial" w:cs="Arial" w:eastAsia="Arial" w:hAnsi="Arial"/>
          <w:sz w:val="18"/>
          <w:szCs w:val="18"/>
          <w:color w:val="auto"/>
        </w:rPr>
        <w:t>or issued by any federal, state or foreign governmental or regulatory authority that would, as of the Closing Date, prevent the issuance and sale of the Securities; and no injunction or order of any federal, state or foreign court shall have been issued that would, as of the Closing Date, prevent the issuance and sale of the Securities.</w:t>
      </w:r>
    </w:p>
    <w:p>
      <w:pPr>
        <w:spacing w:after="0" w:line="186" w:lineRule="exact"/>
        <w:rPr>
          <w:rFonts w:ascii="Arial" w:cs="Arial" w:eastAsia="Arial" w:hAnsi="Arial"/>
          <w:sz w:val="18"/>
          <w:szCs w:val="18"/>
          <w:color w:val="auto"/>
        </w:rPr>
      </w:pPr>
    </w:p>
    <w:p>
      <w:pPr>
        <w:ind w:right="60" w:firstLine="921"/>
        <w:spacing w:after="0" w:line="259" w:lineRule="auto"/>
        <w:tabs>
          <w:tab w:leader="none" w:pos="1263"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Good Standing</w:t>
      </w:r>
      <w:r>
        <w:rPr>
          <w:rFonts w:ascii="Arial" w:cs="Arial" w:eastAsia="Arial" w:hAnsi="Arial"/>
          <w:sz w:val="18"/>
          <w:szCs w:val="18"/>
          <w:color w:val="auto"/>
        </w:rPr>
        <w:t>. The Representative shall have received on and as of the Closing Date reasonably satisfactory evidence of the good 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Company and its subsidiaries in their respective jurisdictions of organization and their good standing as foreign entities in such other jurisdictions as the Representative may reasonably request, in each case in writing or any standard form of telecommunication from the appropriate governmental authorities of such jurisdictions.</w:t>
      </w:r>
    </w:p>
    <w:p>
      <w:pPr>
        <w:spacing w:after="0" w:line="186" w:lineRule="exact"/>
        <w:rPr>
          <w:rFonts w:ascii="Arial" w:cs="Arial" w:eastAsia="Arial" w:hAnsi="Arial"/>
          <w:sz w:val="18"/>
          <w:szCs w:val="18"/>
          <w:color w:val="auto"/>
        </w:rPr>
      </w:pPr>
    </w:p>
    <w:p>
      <w:pPr>
        <w:ind w:left="1320" w:hanging="399"/>
        <w:spacing w:after="0"/>
        <w:tabs>
          <w:tab w:leader="none" w:pos="132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Indenture and Securities</w:t>
      </w:r>
      <w:r>
        <w:rPr>
          <w:rFonts w:ascii="Arial" w:cs="Arial" w:eastAsia="Arial" w:hAnsi="Arial"/>
          <w:sz w:val="16"/>
          <w:szCs w:val="16"/>
          <w:color w:val="auto"/>
        </w:rPr>
        <w:t>. On or prior to the Closing Date, the Company and the Trustee shall have executed and delivered the Indenture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Securities.</w:t>
      </w:r>
    </w:p>
    <w:p>
      <w:pPr>
        <w:spacing w:after="0" w:line="210" w:lineRule="exact"/>
        <w:rPr>
          <w:rFonts w:ascii="Arial" w:cs="Arial" w:eastAsia="Arial" w:hAnsi="Arial"/>
          <w:sz w:val="16"/>
          <w:szCs w:val="16"/>
          <w:color w:val="auto"/>
        </w:rPr>
      </w:pPr>
    </w:p>
    <w:p>
      <w:pPr>
        <w:ind w:right="100" w:firstLine="921"/>
        <w:spacing w:after="0" w:line="297" w:lineRule="auto"/>
        <w:tabs>
          <w:tab w:leader="none" w:pos="1263"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No Downgrade</w:t>
      </w:r>
      <w:r>
        <w:rPr>
          <w:rFonts w:ascii="Arial" w:cs="Arial" w:eastAsia="Arial" w:hAnsi="Arial"/>
          <w:sz w:val="16"/>
          <w:szCs w:val="16"/>
          <w:color w:val="auto"/>
        </w:rPr>
        <w:t>. Subsequent to the earlier of (A) the Applicable Time and (B) the execution and delivery of this Agreement, if there are any</w:t>
      </w:r>
      <w:r>
        <w:rPr>
          <w:rFonts w:ascii="Arial" w:cs="Arial" w:eastAsia="Arial" w:hAnsi="Arial"/>
          <w:sz w:val="16"/>
          <w:szCs w:val="16"/>
          <w:i w:val="1"/>
          <w:iCs w:val="1"/>
          <w:color w:val="auto"/>
        </w:rPr>
        <w:t xml:space="preserve"> </w:t>
      </w:r>
      <w:r>
        <w:rPr>
          <w:rFonts w:ascii="Arial" w:cs="Arial" w:eastAsia="Arial" w:hAnsi="Arial"/>
          <w:sz w:val="16"/>
          <w:szCs w:val="16"/>
          <w:color w:val="auto"/>
        </w:rPr>
        <w:t>debt securities or preferred stock of, or guaranteed, by, the Company or any of its subsidiaries that are rated by a “nationally recognized statistical rating organization,” as such term is defined in Section 3(a)(62) of the Exchange Act, (i) no downgrading shall have occurred in the rating accorded any such debt securities or preferred stock and (ii) no such organization shall have publicly announced that it has under surveillance or review, or has changed its outlook with respect to, its rating of any such debt securities or preferred stock (other than an announcement with positive implications of a possible upgrading).</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36" w:name="page37"/>
    <w:bookmarkEnd w:id="36"/>
    <w:p>
      <w:pPr>
        <w:ind w:right="180" w:firstLine="921"/>
        <w:spacing w:after="0" w:line="277" w:lineRule="auto"/>
        <w:tabs>
          <w:tab w:leader="none" w:pos="1353"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Additional Documents. </w:t>
      </w:r>
      <w:r>
        <w:rPr>
          <w:rFonts w:ascii="Arial" w:cs="Arial" w:eastAsia="Arial" w:hAnsi="Arial"/>
          <w:sz w:val="18"/>
          <w:szCs w:val="18"/>
          <w:color w:val="auto"/>
        </w:rPr>
        <w:t>On or prior to the Closing Date, the Company shall have furnished to the Representative such further certificates</w:t>
      </w:r>
      <w:r>
        <w:rPr>
          <w:rFonts w:ascii="Arial" w:cs="Arial" w:eastAsia="Arial" w:hAnsi="Arial"/>
          <w:sz w:val="18"/>
          <w:szCs w:val="18"/>
          <w:i w:val="1"/>
          <w:iCs w:val="1"/>
          <w:color w:val="auto"/>
        </w:rPr>
        <w:t xml:space="preserve"> </w:t>
      </w:r>
      <w:r>
        <w:rPr>
          <w:rFonts w:ascii="Arial" w:cs="Arial" w:eastAsia="Arial" w:hAnsi="Arial"/>
          <w:sz w:val="18"/>
          <w:szCs w:val="18"/>
          <w:color w:val="auto"/>
        </w:rPr>
        <w:t>and documents as the Representative may reasonably request.</w:t>
      </w:r>
    </w:p>
    <w:p>
      <w:pPr>
        <w:spacing w:after="0" w:line="170"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279" w:lineRule="exact"/>
        <w:rPr>
          <w:sz w:val="20"/>
          <w:szCs w:val="20"/>
          <w:color w:val="auto"/>
        </w:rPr>
      </w:pPr>
    </w:p>
    <w:p>
      <w:pPr>
        <w:ind w:left="780" w:hanging="31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21"/>
        <w:spacing w:after="0" w:line="268" w:lineRule="auto"/>
        <w:tabs>
          <w:tab w:leader="none" w:pos="1293" w:val="left"/>
        </w:tabs>
        <w:numPr>
          <w:ilvl w:val="1"/>
          <w:numId w:val="49"/>
        </w:numPr>
        <w:rPr>
          <w:rFonts w:ascii="Arial" w:cs="Arial" w:eastAsia="Arial" w:hAnsi="Arial"/>
          <w:sz w:val="17"/>
          <w:szCs w:val="17"/>
          <w:color w:val="auto"/>
        </w:rPr>
      </w:pPr>
      <w:r>
        <w:rPr>
          <w:rFonts w:ascii="Arial" w:cs="Arial" w:eastAsia="Arial" w:hAnsi="Arial"/>
          <w:sz w:val="17"/>
          <w:szCs w:val="17"/>
          <w:i w:val="1"/>
          <w:iCs w:val="1"/>
          <w:color w:val="auto"/>
        </w:rPr>
        <w:t xml:space="preserve">Indemnification of the Underwriters. </w:t>
      </w:r>
      <w:r>
        <w:rPr>
          <w:rFonts w:ascii="Arial" w:cs="Arial" w:eastAsia="Arial" w:hAnsi="Arial"/>
          <w:sz w:val="17"/>
          <w:szCs w:val="17"/>
          <w:color w:val="auto"/>
        </w:rPr>
        <w:t>The Company agrees to indemnify and hold harmless each Underwriter, its affiliates, directors and</w:t>
      </w:r>
      <w:r>
        <w:rPr>
          <w:rFonts w:ascii="Arial" w:cs="Arial" w:eastAsia="Arial" w:hAnsi="Arial"/>
          <w:sz w:val="17"/>
          <w:szCs w:val="17"/>
          <w:i w:val="1"/>
          <w:iCs w:val="1"/>
          <w:color w:val="auto"/>
        </w:rPr>
        <w:t xml:space="preserve"> </w:t>
      </w:r>
      <w:r>
        <w:rPr>
          <w:rFonts w:ascii="Arial" w:cs="Arial" w:eastAsia="Arial" w:hAnsi="Arial"/>
          <w:sz w:val="17"/>
          <w:szCs w:val="17"/>
          <w:color w:val="auto"/>
        </w:rPr>
        <w:t>officers and each person, if any, who controls such Underwriter within the meaning of Section 15 of the Securities Act or Section 20 of the Exchange Act, from and against any and all losses, claims, damages and liabilities (including, without limitation, reasonable and documented legal fees and other reasonable and documented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road show as defined in Rule 433(h) under the Securities Act (a “road show”) or the Pricing Disclosure Package (including any Pricing Disclosure Package that has subsequently been amended), or caused by any omission or alleged omission to state therein a material fact necessary in order to make the statements therein, in the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 expressly for use therein, it being understood and agreed that the only such information furnished by any Underwriter consists of the information described as such in subsection (b) below.</w:t>
      </w:r>
    </w:p>
    <w:p>
      <w:pPr>
        <w:spacing w:after="0" w:line="185" w:lineRule="exact"/>
        <w:rPr>
          <w:rFonts w:ascii="Arial" w:cs="Arial" w:eastAsia="Arial" w:hAnsi="Arial"/>
          <w:sz w:val="17"/>
          <w:szCs w:val="17"/>
          <w:color w:val="auto"/>
        </w:rPr>
      </w:pPr>
    </w:p>
    <w:p>
      <w:pPr>
        <w:ind w:right="120" w:firstLine="921"/>
        <w:spacing w:after="0" w:line="293" w:lineRule="auto"/>
        <w:tabs>
          <w:tab w:leader="none" w:pos="1303" w:val="left"/>
        </w:tabs>
        <w:numPr>
          <w:ilvl w:val="1"/>
          <w:numId w:val="49"/>
        </w:numPr>
        <w:rPr>
          <w:rFonts w:ascii="Arial" w:cs="Arial" w:eastAsia="Arial" w:hAnsi="Arial"/>
          <w:sz w:val="16"/>
          <w:szCs w:val="16"/>
          <w:color w:val="auto"/>
        </w:rPr>
      </w:pPr>
      <w:r>
        <w:rPr>
          <w:rFonts w:ascii="Arial" w:cs="Arial" w:eastAsia="Arial" w:hAnsi="Arial"/>
          <w:sz w:val="16"/>
          <w:szCs w:val="16"/>
          <w:i w:val="1"/>
          <w:iCs w:val="1"/>
          <w:color w:val="auto"/>
        </w:rPr>
        <w:t xml:space="preserve">Indemnification of the Company. </w:t>
      </w:r>
      <w:r>
        <w:rPr>
          <w:rFonts w:ascii="Arial" w:cs="Arial" w:eastAsia="Arial" w:hAnsi="Arial"/>
          <w:sz w:val="16"/>
          <w:szCs w:val="16"/>
          <w:color w:val="auto"/>
        </w:rPr>
        <w:t>Each Underwriter agrees, severally and not jointly, to indemnify and hold harmless the Company, its</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its 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 expressly for use in the Registration Statement, the Prospectus (or any amendment or supplement thereto), any road show or any Pricing</w:t>
      </w:r>
    </w:p>
    <w:p>
      <w:pPr>
        <w:spacing w:after="0" w:line="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274" w:right="299" w:bottom="1440" w:gutter="0" w:footer="0" w:header="0"/>
        </w:sectPr>
      </w:pPr>
    </w:p>
    <w:bookmarkStart w:id="37" w:name="page38"/>
    <w:bookmarkEnd w:id="37"/>
    <w:p>
      <w:pPr>
        <w:ind w:right="1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Disclosure Package (including any Pricing Disclosure Package that has subsequently been amended), it being understood and agreed upon that the only such information furnished by any Underwriter consists of the following information in the Prospectus furnished on behalf of each Underwriter: the marketing names of the Underwriters set forth on such cover page, and under the caption “Underwriting;” the legal names of the Underwriters, the concession amount appearing in the sixth paragraph and the information regarding stabilizing transactions contained in the eleventh, twelfth and thirteenth paragraphs.</w:t>
      </w:r>
    </w:p>
    <w:p>
      <w:pPr>
        <w:spacing w:after="0" w:line="154" w:lineRule="exact"/>
        <w:rPr>
          <w:sz w:val="20"/>
          <w:szCs w:val="20"/>
          <w:color w:val="auto"/>
        </w:rPr>
      </w:pPr>
    </w:p>
    <w:p>
      <w:pPr>
        <w:ind w:firstLine="921"/>
        <w:spacing w:after="0" w:line="284" w:lineRule="auto"/>
        <w:tabs>
          <w:tab w:leader="none" w:pos="1293"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 xml:space="preserve">Notice and Procedures. </w:t>
      </w:r>
      <w:r>
        <w:rPr>
          <w:rFonts w:ascii="Arial" w:cs="Arial" w:eastAsia="Arial" w:hAnsi="Arial"/>
          <w:sz w:val="16"/>
          <w:szCs w:val="16"/>
          <w:color w:val="auto"/>
        </w:rPr>
        <w:t>If any suit, action, proceeding (including any governmental or regulatory investigation), claim or demand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brought or asserted against any person in respect of which indemnification may be sought pursuant to either paragraph (a) or (b) above, such person (the “Indemnified Person”) shall promptly notify the person against whom such indemnification may be sought (the “Indemnifying Person”)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notify the Indemnifying Person shall not relieve it from any liability that it may have under paragraph (a) or (b) above except to the extent that it has been materially prejudiced (including through the forfeiture of substantive rights or defenses) by such failure;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failure to notify the Indemnifying Person shall not relieve it from any liability that it may have to an Indemnified Person otherwise than under paragraph (a) or (b) above.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in such proceeding and shall pay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 between them. It is understood and agreed that the Indemnifying Person shall not, in connection with any proceeding or related proceedings in the same jurisdiction, be liable for the reasonable and documented fees and expenses of more than one separate firm (in addition to any local counsel) for all Indemnified Persons, and that all such reasonable and documented fees and expenses shall be paid or reimbursed as they are incurred. Any such separate firm for any Underwriter, its affiliates, directors and officers and any control persons of such Underwriter shall be designated in writing by the Representative, and any such separate firm for the Company, its directors, its officers who signed the Registration Statement and any control persons of the Company shall be designated in writing by the Company.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Notwithstanding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38" w:name="page39"/>
    <w:bookmarkEnd w:id="38"/>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foregoing sentence, if at any time an Indemnified Person shall have requested that an Indemnifying Person reimburse the Indemnified Person for reasonable and documented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182" w:lineRule="exact"/>
        <w:rPr>
          <w:sz w:val="20"/>
          <w:szCs w:val="20"/>
          <w:color w:val="auto"/>
        </w:rPr>
      </w:pPr>
    </w:p>
    <w:p>
      <w:pPr>
        <w:ind w:right="80" w:firstLine="921"/>
        <w:spacing w:after="0" w:line="286" w:lineRule="auto"/>
        <w:tabs>
          <w:tab w:leader="none" w:pos="1303"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 xml:space="preserve">Contribution. </w:t>
      </w:r>
      <w:r>
        <w:rPr>
          <w:rFonts w:ascii="Arial" w:cs="Arial" w:eastAsia="Arial" w:hAnsi="Arial"/>
          <w:sz w:val="16"/>
          <w:szCs w:val="16"/>
          <w:color w:val="auto"/>
        </w:rPr>
        <w:t>If the indemnification provided for in paragraphs (a) and (b) above is unavailable to an Indemnified Person or insufficient in</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on the other, from the offering of the Securities or (ii) if the allocation provided by clause (i) is not permitted by applicable law, in such proportion as is appropriate to reflect not only the relative benefits referred to in clause (i)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 proportions as the net proceeds (before deducting expenses) received by the Company from the sale of the Securities and the total underwriting discounts and commissions received by the Underwriters in connection therewith, in each case as set forth in the table on the cover of the Prospectus, bear to the aggregate offering price of the Securities.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Notwithstanding any other provision in this Section 8, no party shall be entitled to indemnification or contribution under this Agreement in violation of Section 17(j) of the Investment Company Act.</w:t>
      </w:r>
    </w:p>
    <w:p>
      <w:pPr>
        <w:spacing w:after="0" w:line="168" w:lineRule="exact"/>
        <w:rPr>
          <w:rFonts w:ascii="Arial" w:cs="Arial" w:eastAsia="Arial" w:hAnsi="Arial"/>
          <w:sz w:val="16"/>
          <w:szCs w:val="16"/>
          <w:color w:val="auto"/>
        </w:rPr>
      </w:pPr>
    </w:p>
    <w:p>
      <w:pPr>
        <w:ind w:right="140" w:firstLine="921"/>
        <w:spacing w:after="0" w:line="264" w:lineRule="auto"/>
        <w:tabs>
          <w:tab w:leader="none" w:pos="1293"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Limitation on Liability. </w:t>
      </w:r>
      <w:r>
        <w:rPr>
          <w:rFonts w:ascii="Arial" w:cs="Arial" w:eastAsia="Arial" w:hAnsi="Arial"/>
          <w:sz w:val="18"/>
          <w:szCs w:val="18"/>
          <w:color w:val="auto"/>
        </w:rPr>
        <w:t>The Company and the Underwriters agree that it would not be just and equitable if contribution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paragraph (d) above were determined by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allocation (even if the Underwriters were treated as one entity for such purpose) or by any other method of allocation that does not take account of the equitable considerations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39" w:name="page40"/>
    <w:bookmarkEnd w:id="39"/>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referred to in paragraph (d) above. The amount paid or payable by an Indemnified Person as a result of the losses, claims, damages and liabilities referred to in paragraph (d) above shall be deemed to include, subject to the limitations set forth above, any reasonable and documented legal or other expenses incurred by such Indemnified Person in connection with any such action or claim. Notwithstanding the provisions of paragraphs (d) and (e) of this Section 8, in no event shall an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paragraphs (d) and (e) of this Section 8 are several in proportion to their respective purchase obligations hereunder and not joint.</w:t>
      </w:r>
    </w:p>
    <w:p>
      <w:pPr>
        <w:spacing w:after="0" w:line="182" w:lineRule="exact"/>
        <w:rPr>
          <w:sz w:val="20"/>
          <w:szCs w:val="20"/>
          <w:color w:val="auto"/>
        </w:rPr>
      </w:pPr>
    </w:p>
    <w:p>
      <w:pPr>
        <w:ind w:right="280" w:firstLine="921"/>
        <w:spacing w:after="0" w:line="277" w:lineRule="auto"/>
        <w:tabs>
          <w:tab w:leader="none" w:pos="1273" w:val="left"/>
        </w:tabs>
        <w:numPr>
          <w:ilvl w:val="1"/>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Non-Exclusive Remedies. </w:t>
      </w:r>
      <w:r>
        <w:rPr>
          <w:rFonts w:ascii="Arial" w:cs="Arial" w:eastAsia="Arial" w:hAnsi="Arial"/>
          <w:sz w:val="18"/>
          <w:szCs w:val="18"/>
          <w:color w:val="auto"/>
        </w:rPr>
        <w:t>The remedies provided for in this Section 8 paragraphs (a) through (e) are not exclusive and shall not limit any</w:t>
      </w:r>
      <w:r>
        <w:rPr>
          <w:rFonts w:ascii="Arial" w:cs="Arial" w:eastAsia="Arial" w:hAnsi="Arial"/>
          <w:sz w:val="18"/>
          <w:szCs w:val="18"/>
          <w:i w:val="1"/>
          <w:iCs w:val="1"/>
          <w:color w:val="auto"/>
        </w:rPr>
        <w:t xml:space="preserve"> </w:t>
      </w:r>
      <w:r>
        <w:rPr>
          <w:rFonts w:ascii="Arial" w:cs="Arial" w:eastAsia="Arial" w:hAnsi="Arial"/>
          <w:sz w:val="18"/>
          <w:szCs w:val="18"/>
          <w:color w:val="auto"/>
        </w:rPr>
        <w:t>rights or remedies which may otherwise be available to any Indemnified Person at law or in equity.</w:t>
      </w:r>
    </w:p>
    <w:p>
      <w:pPr>
        <w:spacing w:after="0" w:line="170" w:lineRule="exact"/>
        <w:rPr>
          <w:rFonts w:ascii="Arial" w:cs="Arial" w:eastAsia="Arial" w:hAnsi="Arial"/>
          <w:sz w:val="18"/>
          <w:szCs w:val="18"/>
          <w:color w:val="auto"/>
        </w:rPr>
      </w:pPr>
    </w:p>
    <w:p>
      <w:pPr>
        <w:ind w:left="780" w:hanging="316"/>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Effectiveness of Agreement</w:t>
      </w:r>
      <w:r>
        <w:rPr>
          <w:rFonts w:ascii="Arial" w:cs="Arial" w:eastAsia="Arial" w:hAnsi="Arial"/>
          <w:sz w:val="18"/>
          <w:szCs w:val="18"/>
          <w:color w:val="auto"/>
        </w:rPr>
        <w:t>. This Agreement shall become effective upon the execution and delivery hereof by the parties hereto.</w:t>
      </w:r>
    </w:p>
    <w:p>
      <w:pPr>
        <w:spacing w:after="0" w:line="225" w:lineRule="exact"/>
        <w:rPr>
          <w:rFonts w:ascii="Arial" w:cs="Arial" w:eastAsia="Arial" w:hAnsi="Arial"/>
          <w:sz w:val="18"/>
          <w:szCs w:val="18"/>
          <w:color w:val="auto"/>
        </w:rPr>
      </w:pPr>
    </w:p>
    <w:p>
      <w:pPr>
        <w:ind w:right="60" w:firstLine="464"/>
        <w:spacing w:after="0" w:line="271" w:lineRule="auto"/>
        <w:tabs>
          <w:tab w:leader="none" w:pos="861"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This Agreement may be terminated in the absolute discretion of the Representative, by notice to the Company, if after the execution and delivery of this Agreement and prior to the Closing Date (i) trading generally shall have been suspended or materially limited on or by either of the New York Stock Exchange or the Nasdaq Stock Market; (ii) trading of any securities issued or guaranteed by the Company shall have been suspended on any exchange or in any over-the-counter market; (iii) a general moratorium on commercial banking activities shall have been declared by U.S. federal or New York State authorities; or (iv) there shall have occurred any outbreak or escalation of hostilities or any change in financial markets or any calamity or crisis, either within or outside the United States, that, in the judgment of the Representative, is material and adverse and makes it impracticable or inadvisable to proceed with the offering, sale or delivery of the Securities on the Closing Date on the terms and in the manner contemplated by this Agreement, the Pricing Disclosure Package and the Prospectus.</w:t>
      </w:r>
    </w:p>
    <w:p>
      <w:pPr>
        <w:spacing w:after="0" w:line="287" w:lineRule="exact"/>
        <w:rPr>
          <w:rFonts w:ascii="Arial" w:cs="Arial" w:eastAsia="Arial" w:hAnsi="Arial"/>
          <w:sz w:val="17"/>
          <w:szCs w:val="17"/>
          <w:color w:val="auto"/>
        </w:rPr>
      </w:pPr>
    </w:p>
    <w:p>
      <w:pPr>
        <w:ind w:left="860" w:hanging="396"/>
        <w:spacing w:after="0"/>
        <w:tabs>
          <w:tab w:leader="none" w:pos="86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Defaulting Underwriter</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21"/>
        <w:spacing w:after="0" w:line="293" w:lineRule="auto"/>
        <w:tabs>
          <w:tab w:leader="none" w:pos="1293" w:val="left"/>
        </w:tabs>
        <w:numPr>
          <w:ilvl w:val="1"/>
          <w:numId w:val="53"/>
        </w:numPr>
        <w:rPr>
          <w:rFonts w:ascii="Arial" w:cs="Arial" w:eastAsia="Arial" w:hAnsi="Arial"/>
          <w:sz w:val="16"/>
          <w:szCs w:val="16"/>
          <w:color w:val="auto"/>
        </w:rPr>
      </w:pPr>
      <w:r>
        <w:rPr>
          <w:rFonts w:ascii="Arial" w:cs="Arial" w:eastAsia="Arial" w:hAnsi="Arial"/>
          <w:sz w:val="16"/>
          <w:szCs w:val="16"/>
          <w:color w:val="auto"/>
        </w:rPr>
        <w:t>If, on the Closing Date, any Underwriter defaults on its obligation to purchase the Securities that it has agreed to purchase hereunder on such date, the non-defaulting Underwriters may in their discretion arrange for the purchase of such Securities by other persons satisfactory to the Company on the terms contained in this Agreement. If, within 36 hours after any such default by any Underwriter, the non-defaulting Underwriters do not arrange for the purchase of such Securities, then the Company shall be entitled to a further period of 36 hours within which to procure other persons reasonably satisfactory to the non-defaulting Underwriters to purchase such Securities on such terms. If other persons become obligated or agree to purchase the Securities of a defaulting Underwriter, either the non-defaulting Underwriters or the Company may postpone the Closing Date for up to five full</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4" w:right="259" w:bottom="1440" w:gutter="0" w:footer="0" w:header="0"/>
        </w:sectPr>
      </w:pPr>
    </w:p>
    <w:bookmarkStart w:id="40" w:name="page41"/>
    <w:bookmarkEnd w:id="40"/>
    <w:p>
      <w:pPr>
        <w:ind w:right="1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days in order to effect any changes that in the opinion of counsel for the Company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11, purchases Securities that a defaulting Underwriter agreed but failed to purchase.</w:t>
      </w:r>
    </w:p>
    <w:p>
      <w:pPr>
        <w:spacing w:after="0" w:line="188"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(b) If, after giving effect to any arrangements for the purchase of the Securities of a defaulting Underwriter or Underwriters by the non-defaulting Underwriters and the Company as provided in paragraph (a) above, the aggregate principal amount of Securities that remain unpurchased on the Closing Date does not exceed one-eleventh of the aggregate principal amount of Securities to be purchased on such date, then the Company shall have the right to require each non-defaulting Underwriter to purchase the principal amount of Securities that such Underwriter agreed to purchase hereunder on such date plus such Underwriter’s pro rata share (based on the principal amount of Securities that such Underwriter agreed to purchase on such date) of the Securities of such defaulting Underwriter or Underwriters for which such arrangements have not been made.</w:t>
      </w:r>
    </w:p>
    <w:p>
      <w:pPr>
        <w:spacing w:after="0" w:line="178" w:lineRule="exact"/>
        <w:rPr>
          <w:sz w:val="20"/>
          <w:szCs w:val="20"/>
          <w:color w:val="auto"/>
        </w:rPr>
      </w:pPr>
    </w:p>
    <w:p>
      <w:pPr>
        <w:ind w:right="60" w:firstLine="913"/>
        <w:spacing w:after="0" w:line="293" w:lineRule="auto"/>
        <w:rPr>
          <w:sz w:val="20"/>
          <w:szCs w:val="20"/>
          <w:color w:val="auto"/>
        </w:rPr>
      </w:pPr>
      <w:r>
        <w:rPr>
          <w:rFonts w:ascii="Arial" w:cs="Arial" w:eastAsia="Arial" w:hAnsi="Arial"/>
          <w:sz w:val="16"/>
          <w:szCs w:val="16"/>
          <w:color w:val="auto"/>
        </w:rPr>
        <w:t>(c) If, after giving effect to any arrangements for the purchase of the Securities of a defaulting Underwriter or Underwriters by the non-defaulting Underwriters and the Company as provided in paragraph (a) above, the aggregate principal amount of Securities that remain unpurchased on the Closing Date exceeds one-eleventh of the aggregate principal amount of Securities to be purchased on such date, or if the Company shall not exercise the right described in paragraph (b) above, then this Agreement shall terminate without liability on the part of the non-defaulting Underwriters. Any termination of this Agreement pursuant to this Section 11 shall be without liability on the part of the Company, except that the Company will continue to be liable for the payment of expenses as set forth in Section 12 hereof and except that the provisions of Section 8 hereof shall not terminate and shall remain in effect.</w:t>
      </w:r>
    </w:p>
    <w:p>
      <w:pPr>
        <w:spacing w:after="0" w:line="165" w:lineRule="exact"/>
        <w:rPr>
          <w:sz w:val="20"/>
          <w:szCs w:val="20"/>
          <w:color w:val="auto"/>
        </w:rPr>
      </w:pPr>
    </w:p>
    <w:p>
      <w:pPr>
        <w:ind w:right="700" w:firstLine="921"/>
        <w:spacing w:after="0" w:line="277" w:lineRule="auto"/>
        <w:tabs>
          <w:tab w:leader="none" w:pos="1303" w:val="left"/>
        </w:tabs>
        <w:numPr>
          <w:ilvl w:val="2"/>
          <w:numId w:val="54"/>
        </w:numPr>
        <w:rPr>
          <w:rFonts w:ascii="Arial" w:cs="Arial" w:eastAsia="Arial" w:hAnsi="Arial"/>
          <w:sz w:val="18"/>
          <w:szCs w:val="18"/>
          <w:color w:val="auto"/>
        </w:rPr>
      </w:pPr>
      <w:r>
        <w:rPr>
          <w:rFonts w:ascii="Arial" w:cs="Arial" w:eastAsia="Arial" w:hAnsi="Arial"/>
          <w:sz w:val="18"/>
          <w:szCs w:val="18"/>
          <w:color w:val="auto"/>
        </w:rPr>
        <w:t>Nothing contained herein shall relieve a defaulting Underwriter of any liability it may have to the Company or any non-defaulting Underwriter for damages caused by its default.</w:t>
      </w:r>
    </w:p>
    <w:p>
      <w:pPr>
        <w:spacing w:after="0" w:line="278" w:lineRule="exact"/>
        <w:rPr>
          <w:rFonts w:ascii="Arial" w:cs="Arial" w:eastAsia="Arial" w:hAnsi="Arial"/>
          <w:sz w:val="18"/>
          <w:szCs w:val="18"/>
          <w:color w:val="auto"/>
        </w:rPr>
      </w:pPr>
    </w:p>
    <w:p>
      <w:pPr>
        <w:ind w:left="860" w:hanging="396"/>
        <w:spacing w:after="0"/>
        <w:tabs>
          <w:tab w:leader="none" w:pos="860"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Payment of Expenses</w:t>
      </w:r>
      <w:r>
        <w:rPr>
          <w:rFonts w:ascii="Arial" w:cs="Arial" w:eastAsia="Arial" w:hAnsi="Arial"/>
          <w:sz w:val="18"/>
          <w:szCs w:val="18"/>
          <w:i w:val="1"/>
          <w:iCs w:val="1"/>
          <w:color w:val="auto"/>
        </w:rPr>
        <w:t>.</w:t>
      </w:r>
    </w:p>
    <w:p>
      <w:pPr>
        <w:spacing w:after="0" w:line="117" w:lineRule="exact"/>
        <w:rPr>
          <w:rFonts w:ascii="Arial" w:cs="Arial" w:eastAsia="Arial" w:hAnsi="Arial"/>
          <w:sz w:val="18"/>
          <w:szCs w:val="18"/>
          <w:color w:val="auto"/>
        </w:rPr>
      </w:pPr>
    </w:p>
    <w:p>
      <w:pPr>
        <w:ind w:right="120" w:firstLine="921"/>
        <w:spacing w:after="0" w:line="288" w:lineRule="auto"/>
        <w:tabs>
          <w:tab w:leader="none" w:pos="1289" w:val="left"/>
        </w:tabs>
        <w:numPr>
          <w:ilvl w:val="2"/>
          <w:numId w:val="55"/>
        </w:numPr>
        <w:rPr>
          <w:rFonts w:ascii="Arial" w:cs="Arial" w:eastAsia="Arial" w:hAnsi="Arial"/>
          <w:sz w:val="16"/>
          <w:szCs w:val="16"/>
          <w:color w:val="auto"/>
        </w:rPr>
      </w:pPr>
      <w:r>
        <w:rPr>
          <w:rFonts w:ascii="Arial" w:cs="Arial" w:eastAsia="Arial" w:hAnsi="Arial"/>
          <w:sz w:val="16"/>
          <w:szCs w:val="16"/>
          <w:color w:val="auto"/>
        </w:rPr>
        <w:t>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Securities and any stamp, issuance, transfer or other similar taxes payable in that connection;</w:t>
      </w:r>
    </w:p>
    <w:p>
      <w:pPr>
        <w:ind w:right="20" w:firstLine="8"/>
        <w:spacing w:after="0" w:line="302" w:lineRule="auto"/>
        <w:tabs>
          <w:tab w:leader="none" w:pos="265"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costs incident to the preparation, printing and filing under the Securities Act of the Registration Statement, the Preliminary Prospectus, any Pricing Disclosure Package and the Prospectus (including all exhibits, amendments and supplements thereto) and the distribution thereof; (iii) the fees and expenses of the Company’s counsel and independent accountants; (iv) the reasonable and documented fees and expenses incurred in connection with the registration or</w:t>
      </w:r>
    </w:p>
    <w:p>
      <w:pPr>
        <w:spacing w:after="0" w:line="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274" w:right="279" w:bottom="1440" w:gutter="0" w:footer="0" w:header="0"/>
        </w:sectPr>
      </w:pPr>
    </w:p>
    <w:bookmarkStart w:id="41" w:name="page42"/>
    <w:bookmarkEnd w:id="41"/>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qualification of the Securities under the state or foreign securities or blue sky laws of such jurisdictions as the Representative may designate with the prior approval of the Company (such approval not to be unreasonably withheld, conditioned or delayed) (including the related reasonable and documented fees and expenses of counsel for the Underwriters); (v) all filing fees and the reasonable fees and expenses incurred in connection with any filing with, and clearance of the offering by, FINRA (such fees and expenses pursuant to this clause (v) and clause (iv), in the aggregate, shall not exceed $15,000); (vi) all expenses incurred by the Company in connection with any “road show” presentation to potential investors,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the Underwriters shall be responsible for 50% of the third-party costs of any chartered private aircraft incurred in connection with such road show; and (vii) the fees and expenses of the Trustee with respect to the Securities. It is, however, understood that except as provided in this Section 12 or in Section 8 of this Agreement, the Underwriters shall pay all of their own costs and expenses, including, without limitation, the fees and disbursements of their counsel, any advertising expenses connected with any offers they make and 50% of the third-party costs of any chartered private aircraft incurred in connection with the road show and all travel, lodging and other expenses of the Underwriters incurred by them in connection with any road show.</w:t>
      </w:r>
    </w:p>
    <w:p>
      <w:pPr>
        <w:spacing w:after="0" w:line="178" w:lineRule="exact"/>
        <w:rPr>
          <w:sz w:val="20"/>
          <w:szCs w:val="20"/>
          <w:color w:val="auto"/>
        </w:rPr>
      </w:pPr>
    </w:p>
    <w:p>
      <w:pPr>
        <w:ind w:firstLine="921"/>
        <w:spacing w:after="0" w:line="273" w:lineRule="auto"/>
        <w:tabs>
          <w:tab w:leader="none" w:pos="1303" w:val="left"/>
        </w:tabs>
        <w:numPr>
          <w:ilvl w:val="1"/>
          <w:numId w:val="57"/>
        </w:numPr>
        <w:rPr>
          <w:rFonts w:ascii="Arial" w:cs="Arial" w:eastAsia="Arial" w:hAnsi="Arial"/>
          <w:sz w:val="17"/>
          <w:szCs w:val="17"/>
          <w:color w:val="auto"/>
        </w:rPr>
      </w:pPr>
      <w:r>
        <w:rPr>
          <w:rFonts w:ascii="Arial" w:cs="Arial" w:eastAsia="Arial" w:hAnsi="Arial"/>
          <w:sz w:val="17"/>
          <w:szCs w:val="17"/>
          <w:color w:val="auto"/>
        </w:rPr>
        <w:t>If (i) this Agreement is terminated pursuant to Section 10 (other than as a result of a termination pursuant to clauses (i), (iii) or (iv) of Section 10), (ii) the Company for any reason fails to tender the Securities for delivery to the Underwriters (other than as a result of a termination pursuant to Section 11 or clauses (i), (iii) or (iv) of Section 10 or the default by one or more of the Underwriters in its or their respective obligations hereunder) or (iii) the Underwriters decline to purchase the Securities for any reason permitted under this Agreement, the Company agrees to reimburse the Underwriters for all out-of-pocket costs and expenses (including the reasonable and documented fees and expenses of their counsel) reasonably incurred by the Underwriters in connection with this Agreement and the offering contemplated hereby.</w:t>
      </w:r>
    </w:p>
    <w:p>
      <w:pPr>
        <w:spacing w:after="0" w:line="178" w:lineRule="exact"/>
        <w:rPr>
          <w:rFonts w:ascii="Arial" w:cs="Arial" w:eastAsia="Arial" w:hAnsi="Arial"/>
          <w:sz w:val="17"/>
          <w:szCs w:val="17"/>
          <w:color w:val="auto"/>
        </w:rPr>
      </w:pPr>
    </w:p>
    <w:p>
      <w:pPr>
        <w:ind w:right="60" w:firstLine="464"/>
        <w:spacing w:after="0" w:line="279" w:lineRule="auto"/>
        <w:tabs>
          <w:tab w:leader="none" w:pos="861"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Persons Entitled to Benefit of Agreement</w:t>
      </w:r>
      <w:r>
        <w:rPr>
          <w:rFonts w:ascii="Arial" w:cs="Arial" w:eastAsia="Arial" w:hAnsi="Arial"/>
          <w:sz w:val="17"/>
          <w:szCs w:val="17"/>
          <w:color w:val="auto"/>
        </w:rPr>
        <w:t>. This Agreement shall inure to the benefit of and be binding upon the parties hereto and their respective successors and the officers and directors and any controlling persons referred to in Section 8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w:t>
      </w:r>
    </w:p>
    <w:p>
      <w:pPr>
        <w:spacing w:after="0" w:line="171" w:lineRule="exact"/>
        <w:rPr>
          <w:rFonts w:ascii="Arial" w:cs="Arial" w:eastAsia="Arial" w:hAnsi="Arial"/>
          <w:sz w:val="17"/>
          <w:szCs w:val="17"/>
          <w:color w:val="auto"/>
        </w:rPr>
      </w:pPr>
    </w:p>
    <w:p>
      <w:pPr>
        <w:ind w:right="300" w:firstLine="464"/>
        <w:spacing w:after="0" w:line="279" w:lineRule="auto"/>
        <w:tabs>
          <w:tab w:leader="none" w:pos="861"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The respective indemnities, rights of contribution, representations, warranties and agreements of the Company, the Adviser and the Underwriters contained in this Agreement or made by or on behalf of the Company, the Adviser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the Adviser or the Underwriters.</w:t>
      </w:r>
    </w:p>
    <w:p>
      <w:pPr>
        <w:spacing w:after="0" w:line="171" w:lineRule="exact"/>
        <w:rPr>
          <w:rFonts w:ascii="Arial" w:cs="Arial" w:eastAsia="Arial" w:hAnsi="Arial"/>
          <w:sz w:val="17"/>
          <w:szCs w:val="17"/>
          <w:color w:val="auto"/>
        </w:rPr>
      </w:pPr>
    </w:p>
    <w:p>
      <w:pPr>
        <w:ind w:right="80" w:firstLine="464"/>
        <w:spacing w:after="0" w:line="286" w:lineRule="auto"/>
        <w:tabs>
          <w:tab w:leader="none" w:pos="861"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Certain Defined Terms</w:t>
      </w:r>
      <w:r>
        <w:rPr>
          <w:rFonts w:ascii="Arial" w:cs="Arial" w:eastAsia="Arial" w:hAnsi="Arial"/>
          <w:sz w:val="17"/>
          <w:szCs w:val="17"/>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and (c) the term “subsidiary” has the meaning set forth in Rule 405 under the Securities Act.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4" w:right="259" w:bottom="1440" w:gutter="0" w:footer="0" w:header="0"/>
        </w:sectPr>
      </w:pPr>
    </w:p>
    <w:bookmarkStart w:id="42" w:name="page43"/>
    <w:bookmarkEnd w:id="42"/>
    <w:p>
      <w:pPr>
        <w:ind w:left="860" w:hanging="396"/>
        <w:spacing w:after="0"/>
        <w:tabs>
          <w:tab w:leader="none" w:pos="86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Miscellaneous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21"/>
        <w:spacing w:after="0" w:line="276" w:lineRule="auto"/>
        <w:tabs>
          <w:tab w:leader="none" w:pos="1293" w:val="left"/>
        </w:tabs>
        <w:numPr>
          <w:ilvl w:val="1"/>
          <w:numId w:val="59"/>
        </w:numPr>
        <w:rPr>
          <w:rFonts w:ascii="Arial" w:cs="Arial" w:eastAsia="Arial" w:hAnsi="Arial"/>
          <w:sz w:val="17"/>
          <w:szCs w:val="17"/>
          <w:color w:val="auto"/>
        </w:rPr>
      </w:pPr>
      <w:r>
        <w:rPr>
          <w:rFonts w:ascii="Arial" w:cs="Arial" w:eastAsia="Arial" w:hAnsi="Arial"/>
          <w:sz w:val="17"/>
          <w:szCs w:val="17"/>
          <w:i w:val="1"/>
          <w:iCs w:val="1"/>
          <w:color w:val="auto"/>
        </w:rPr>
        <w:t>Notices</w:t>
      </w:r>
      <w:r>
        <w:rPr>
          <w:rFonts w:ascii="Arial" w:cs="Arial" w:eastAsia="Arial" w:hAnsi="Arial"/>
          <w:sz w:val="17"/>
          <w:szCs w:val="17"/>
          <w:color w:val="auto"/>
        </w:rPr>
        <w:t>. All notices and other communications hereunder shall be in writing and shall be deemed to have been duly given if mailed or</w:t>
      </w:r>
      <w:r>
        <w:rPr>
          <w:rFonts w:ascii="Arial" w:cs="Arial" w:eastAsia="Arial" w:hAnsi="Arial"/>
          <w:sz w:val="17"/>
          <w:szCs w:val="17"/>
          <w:i w:val="1"/>
          <w:iCs w:val="1"/>
          <w:color w:val="auto"/>
        </w:rPr>
        <w:t xml:space="preserve"> </w:t>
      </w:r>
      <w:r>
        <w:rPr>
          <w:rFonts w:ascii="Arial" w:cs="Arial" w:eastAsia="Arial" w:hAnsi="Arial"/>
          <w:sz w:val="17"/>
          <w:szCs w:val="17"/>
          <w:color w:val="auto"/>
        </w:rPr>
        <w:t>transmitted and confirmed by any standard form of telecommunication. Notices to the Underwriters shall be given to the Representative c/o Merrill Lynch, Pierce, Fenner &amp; Smith Incorporated 50 Rockefeller Plaza NY1-050-12-02 New York, New York 10020 Facsimile: (646) 855-5958 Attention: High Grade Transaction Management/Legal. Notices to the Company or the Adviser shall be given to either of them at TPG Specialty Lending, Inc., 345 California Street, Suite 3300, San Francisco, California 94104 (fax: (917) 463-0175), Attention: David Stiepleman.</w:t>
      </w:r>
    </w:p>
    <w:p>
      <w:pPr>
        <w:spacing w:after="0" w:line="172" w:lineRule="exact"/>
        <w:rPr>
          <w:rFonts w:ascii="Arial" w:cs="Arial" w:eastAsia="Arial" w:hAnsi="Arial"/>
          <w:sz w:val="17"/>
          <w:szCs w:val="17"/>
          <w:color w:val="auto"/>
        </w:rPr>
      </w:pPr>
    </w:p>
    <w:p>
      <w:pPr>
        <w:ind w:right="280" w:firstLine="921"/>
        <w:spacing w:after="0" w:line="264" w:lineRule="auto"/>
        <w:tabs>
          <w:tab w:leader="none" w:pos="1303" w:val="left"/>
        </w:tabs>
        <w:numPr>
          <w:ilvl w:val="1"/>
          <w:numId w:val="59"/>
        </w:numPr>
        <w:rPr>
          <w:rFonts w:ascii="Arial" w:cs="Arial" w:eastAsia="Arial" w:hAnsi="Arial"/>
          <w:sz w:val="18"/>
          <w:szCs w:val="18"/>
          <w:color w:val="auto"/>
        </w:rPr>
      </w:pPr>
      <w:r>
        <w:rPr>
          <w:rFonts w:ascii="Arial" w:cs="Arial" w:eastAsia="Arial" w:hAnsi="Arial"/>
          <w:sz w:val="18"/>
          <w:szCs w:val="18"/>
          <w:i w:val="1"/>
          <w:iCs w:val="1"/>
          <w:color w:val="auto"/>
        </w:rPr>
        <w:t>USA Patriot Act</w:t>
      </w:r>
      <w:r>
        <w:rPr>
          <w:rFonts w:ascii="Arial" w:cs="Arial" w:eastAsia="Arial" w:hAnsi="Arial"/>
          <w:sz w:val="18"/>
          <w:szCs w:val="18"/>
          <w:color w:val="auto"/>
        </w:rPr>
        <w:t>. In accordance with the requirements of the USA Patriot Act (Title III of Pub. L, 107-56 (signed into law October 26,</w:t>
      </w:r>
      <w:r>
        <w:rPr>
          <w:rFonts w:ascii="Arial" w:cs="Arial" w:eastAsia="Arial" w:hAnsi="Arial"/>
          <w:sz w:val="18"/>
          <w:szCs w:val="18"/>
          <w:i w:val="1"/>
          <w:iCs w:val="1"/>
          <w:color w:val="auto"/>
        </w:rPr>
        <w:t xml:space="preserve"> </w:t>
      </w:r>
      <w:r>
        <w:rPr>
          <w:rFonts w:ascii="Arial" w:cs="Arial" w:eastAsia="Arial" w:hAnsi="Arial"/>
          <w:sz w:val="18"/>
          <w:szCs w:val="18"/>
          <w:color w:val="auto"/>
        </w:rPr>
        <w:t>2001)), the Underwriters are required to obtain, verify and record information that identifies their clients, which may include the name and address of their clients, as well as other information that will allow the underwriters to properly identify their clients.</w:t>
      </w:r>
    </w:p>
    <w:p>
      <w:pPr>
        <w:spacing w:after="0" w:line="181" w:lineRule="exact"/>
        <w:rPr>
          <w:rFonts w:ascii="Arial" w:cs="Arial" w:eastAsia="Arial" w:hAnsi="Arial"/>
          <w:sz w:val="18"/>
          <w:szCs w:val="18"/>
          <w:color w:val="auto"/>
        </w:rPr>
      </w:pPr>
    </w:p>
    <w:p>
      <w:pPr>
        <w:ind w:right="120" w:firstLine="921"/>
        <w:spacing w:after="0" w:line="308" w:lineRule="auto"/>
        <w:tabs>
          <w:tab w:leader="none" w:pos="1293" w:val="left"/>
        </w:tabs>
        <w:numPr>
          <w:ilvl w:val="1"/>
          <w:numId w:val="59"/>
        </w:numPr>
        <w:rPr>
          <w:rFonts w:ascii="Arial" w:cs="Arial" w:eastAsia="Arial" w:hAnsi="Arial"/>
          <w:sz w:val="17"/>
          <w:szCs w:val="17"/>
          <w:color w:val="auto"/>
        </w:rPr>
      </w:pPr>
      <w:r>
        <w:rPr>
          <w:rFonts w:ascii="Arial" w:cs="Arial" w:eastAsia="Arial" w:hAnsi="Arial"/>
          <w:sz w:val="17"/>
          <w:szCs w:val="17"/>
          <w:i w:val="1"/>
          <w:iCs w:val="1"/>
          <w:color w:val="auto"/>
        </w:rPr>
        <w:t xml:space="preserve">Governing Law. </w:t>
      </w:r>
      <w:r>
        <w:rPr>
          <w:rFonts w:ascii="Arial" w:cs="Arial" w:eastAsia="Arial" w:hAnsi="Arial"/>
          <w:sz w:val="17"/>
          <w:szCs w:val="17"/>
          <w:color w:val="auto"/>
        </w:rPr>
        <w:t>This Agreement and any claim, controversy or dispute arising under or related to this Agreement shall be governed by and</w:t>
      </w:r>
      <w:r>
        <w:rPr>
          <w:rFonts w:ascii="Arial" w:cs="Arial" w:eastAsia="Arial" w:hAnsi="Arial"/>
          <w:sz w:val="17"/>
          <w:szCs w:val="17"/>
          <w:i w:val="1"/>
          <w:iCs w:val="1"/>
          <w:color w:val="auto"/>
        </w:rPr>
        <w:t xml:space="preserve"> </w:t>
      </w:r>
      <w:r>
        <w:rPr>
          <w:rFonts w:ascii="Arial" w:cs="Arial" w:eastAsia="Arial" w:hAnsi="Arial"/>
          <w:sz w:val="17"/>
          <w:szCs w:val="17"/>
          <w:color w:val="auto"/>
        </w:rPr>
        <w:t>construed in accordance with the laws of the State of New York applicable to agreements made and to be performed in such state.</w:t>
      </w:r>
    </w:p>
    <w:p>
      <w:pPr>
        <w:spacing w:after="0" w:line="146" w:lineRule="exact"/>
        <w:rPr>
          <w:rFonts w:ascii="Arial" w:cs="Arial" w:eastAsia="Arial" w:hAnsi="Arial"/>
          <w:sz w:val="17"/>
          <w:szCs w:val="17"/>
          <w:color w:val="auto"/>
        </w:rPr>
      </w:pPr>
    </w:p>
    <w:p>
      <w:pPr>
        <w:ind w:right="800" w:firstLine="921"/>
        <w:spacing w:after="0" w:line="308" w:lineRule="auto"/>
        <w:tabs>
          <w:tab w:leader="none" w:pos="1303" w:val="left"/>
        </w:tabs>
        <w:numPr>
          <w:ilvl w:val="1"/>
          <w:numId w:val="59"/>
        </w:numPr>
        <w:rPr>
          <w:rFonts w:ascii="Arial" w:cs="Arial" w:eastAsia="Arial" w:hAnsi="Arial"/>
          <w:sz w:val="17"/>
          <w:szCs w:val="17"/>
          <w:color w:val="auto"/>
        </w:rPr>
      </w:pPr>
      <w:r>
        <w:rPr>
          <w:rFonts w:ascii="Arial" w:cs="Arial" w:eastAsia="Arial" w:hAnsi="Arial"/>
          <w:sz w:val="17"/>
          <w:szCs w:val="17"/>
          <w:i w:val="1"/>
          <w:iCs w:val="1"/>
          <w:color w:val="auto"/>
        </w:rPr>
        <w:t xml:space="preserve">Counterparts. </w:t>
      </w:r>
      <w:r>
        <w:rPr>
          <w:rFonts w:ascii="Arial" w:cs="Arial" w:eastAsia="Arial" w:hAnsi="Arial"/>
          <w:sz w:val="17"/>
          <w:szCs w:val="17"/>
          <w:color w:val="auto"/>
        </w:rPr>
        <w:t>This Agreement may be signed in counterparts (which may include counterparts delivered by any standard form of</w:t>
      </w:r>
      <w:r>
        <w:rPr>
          <w:rFonts w:ascii="Arial" w:cs="Arial" w:eastAsia="Arial" w:hAnsi="Arial"/>
          <w:sz w:val="17"/>
          <w:szCs w:val="17"/>
          <w:i w:val="1"/>
          <w:iCs w:val="1"/>
          <w:color w:val="auto"/>
        </w:rPr>
        <w:t xml:space="preserve"> </w:t>
      </w:r>
      <w:r>
        <w:rPr>
          <w:rFonts w:ascii="Arial" w:cs="Arial" w:eastAsia="Arial" w:hAnsi="Arial"/>
          <w:sz w:val="17"/>
          <w:szCs w:val="17"/>
          <w:color w:val="auto"/>
        </w:rPr>
        <w:t>telecommunication), each of which shall be an original and all of which together shall constitute one and the same instrument.</w:t>
      </w:r>
    </w:p>
    <w:p>
      <w:pPr>
        <w:spacing w:after="0" w:line="146" w:lineRule="exact"/>
        <w:rPr>
          <w:rFonts w:ascii="Arial" w:cs="Arial" w:eastAsia="Arial" w:hAnsi="Arial"/>
          <w:sz w:val="17"/>
          <w:szCs w:val="17"/>
          <w:color w:val="auto"/>
        </w:rPr>
      </w:pPr>
    </w:p>
    <w:p>
      <w:pPr>
        <w:ind w:right="560" w:firstLine="921"/>
        <w:spacing w:after="0" w:line="277" w:lineRule="auto"/>
        <w:tabs>
          <w:tab w:leader="none" w:pos="1293" w:val="left"/>
        </w:tabs>
        <w:numPr>
          <w:ilvl w:val="1"/>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Amendments or Waivers. </w:t>
      </w:r>
      <w:r>
        <w:rPr>
          <w:rFonts w:ascii="Arial" w:cs="Arial" w:eastAsia="Arial" w:hAnsi="Arial"/>
          <w:sz w:val="18"/>
          <w:szCs w:val="18"/>
          <w:color w:val="auto"/>
        </w:rPr>
        <w:t>No amendment or waiver of any provision of this Agreement, nor any consent or approval to any departure</w:t>
      </w:r>
      <w:r>
        <w:rPr>
          <w:rFonts w:ascii="Arial" w:cs="Arial" w:eastAsia="Arial" w:hAnsi="Arial"/>
          <w:sz w:val="18"/>
          <w:szCs w:val="18"/>
          <w:i w:val="1"/>
          <w:iCs w:val="1"/>
          <w:color w:val="auto"/>
        </w:rPr>
        <w:t xml:space="preserve"> </w:t>
      </w:r>
      <w:r>
        <w:rPr>
          <w:rFonts w:ascii="Arial" w:cs="Arial" w:eastAsia="Arial" w:hAnsi="Arial"/>
          <w:sz w:val="18"/>
          <w:szCs w:val="18"/>
          <w:color w:val="auto"/>
        </w:rPr>
        <w:t>therefrom, shall in any event be effective unless the same shall be in writing and signed by the parties hereto.</w:t>
      </w:r>
    </w:p>
    <w:p>
      <w:pPr>
        <w:spacing w:after="0" w:line="170" w:lineRule="exact"/>
        <w:rPr>
          <w:rFonts w:ascii="Arial" w:cs="Arial" w:eastAsia="Arial" w:hAnsi="Arial"/>
          <w:sz w:val="18"/>
          <w:szCs w:val="18"/>
          <w:color w:val="auto"/>
        </w:rPr>
      </w:pPr>
    </w:p>
    <w:p>
      <w:pPr>
        <w:ind w:right="60" w:firstLine="921"/>
        <w:spacing w:after="0" w:line="277" w:lineRule="auto"/>
        <w:tabs>
          <w:tab w:leader="none" w:pos="1273" w:val="left"/>
        </w:tabs>
        <w:numPr>
          <w:ilvl w:val="1"/>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Headings. </w:t>
      </w:r>
      <w:r>
        <w:rPr>
          <w:rFonts w:ascii="Arial" w:cs="Arial" w:eastAsia="Arial" w:hAnsi="Arial"/>
          <w:sz w:val="18"/>
          <w:szCs w:val="18"/>
          <w:color w:val="auto"/>
        </w:rPr>
        <w:t>The headings herein are included for convenience of reference only and are not intended to be part of, or to affect the meaning or</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interpretation of, this Agreement.</w:t>
      </w:r>
    </w:p>
    <w:p>
      <w:pPr>
        <w:spacing w:after="0" w:line="170" w:lineRule="exact"/>
        <w:rPr>
          <w:sz w:val="20"/>
          <w:szCs w:val="20"/>
          <w:color w:val="auto"/>
        </w:rPr>
      </w:pPr>
    </w:p>
    <w:p>
      <w:pPr>
        <w:jc w:val="center"/>
        <w:ind w:left="260"/>
        <w:spacing w:after="0"/>
        <w:rPr>
          <w:sz w:val="20"/>
          <w:szCs w:val="20"/>
          <w:color w:val="auto"/>
        </w:rPr>
      </w:pPr>
      <w:r>
        <w:rPr>
          <w:rFonts w:ascii="Arial" w:cs="Arial" w:eastAsia="Arial" w:hAnsi="Arial"/>
          <w:sz w:val="16"/>
          <w:szCs w:val="16"/>
          <w:color w:val="auto"/>
        </w:rPr>
        <w:t>If the foregoing is in accordance with your understanding, please indicate your acceptance of this Agreement by signing in the space provided below.</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43" w:name="page44"/>
    <w:bookmarkEnd w:id="43"/>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Ian T. Simmonds</w:t>
            </w:r>
          </w:p>
        </w:tc>
      </w:tr>
      <w:tr>
        <w:trPr>
          <w:trHeight w:val="209"/>
        </w:trPr>
        <w:tc>
          <w:tcPr>
            <w:tcW w:w="58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Name: Ian T. Simmonds</w:t>
            </w:r>
          </w:p>
        </w:tc>
      </w:tr>
      <w:tr>
        <w:trPr>
          <w:trHeight w:val="230"/>
        </w:trPr>
        <w:tc>
          <w:tcPr>
            <w:tcW w:w="58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348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432"/>
        </w:trPr>
        <w:tc>
          <w:tcPr>
            <w:tcW w:w="4560" w:type="dxa"/>
            <w:vAlign w:val="bottom"/>
            <w:gridSpan w:val="3"/>
          </w:tcPr>
          <w:p>
            <w:pPr>
              <w:spacing w:after="0"/>
              <w:rPr>
                <w:sz w:val="20"/>
                <w:szCs w:val="20"/>
                <w:color w:val="auto"/>
              </w:rPr>
            </w:pPr>
            <w:r>
              <w:rPr>
                <w:rFonts w:ascii="Arial" w:cs="Arial" w:eastAsia="Arial" w:hAnsi="Arial"/>
                <w:sz w:val="18"/>
                <w:szCs w:val="18"/>
                <w:color w:val="auto"/>
              </w:rPr>
              <w:t>TSL ADVISERS, LLC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Ian T. Simmonds</w:t>
            </w:r>
          </w:p>
        </w:tc>
      </w:tr>
      <w:tr>
        <w:trPr>
          <w:trHeight w:val="209"/>
        </w:trPr>
        <w:tc>
          <w:tcPr>
            <w:tcW w:w="58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Name: Ian T. Simmonds</w:t>
            </w:r>
          </w:p>
        </w:tc>
      </w:tr>
      <w:tr>
        <w:trPr>
          <w:trHeight w:val="230"/>
        </w:trPr>
        <w:tc>
          <w:tcPr>
            <w:tcW w:w="58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3480" w:type="dxa"/>
            <w:vAlign w:val="bottom"/>
          </w:tcPr>
          <w:p>
            <w:pPr>
              <w:ind w:left="100"/>
              <w:spacing w:after="0"/>
              <w:rPr>
                <w:sz w:val="20"/>
                <w:szCs w:val="20"/>
                <w:color w:val="auto"/>
              </w:rPr>
            </w:pPr>
            <w:r>
              <w:rPr>
                <w:rFonts w:ascii="Arial" w:cs="Arial" w:eastAsia="Arial" w:hAnsi="Arial"/>
                <w:sz w:val="18"/>
                <w:szCs w:val="18"/>
                <w:color w:val="auto"/>
              </w:rPr>
              <w:t>Vice President</w:t>
            </w:r>
          </w:p>
        </w:tc>
      </w:tr>
    </w:tbl>
    <w:p>
      <w:pPr>
        <w:spacing w:after="0" w:line="134"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ectPr>
          <w:pgSz w:w="11900" w:h="16838" w:orient="portrait"/>
          <w:cols w:equalWidth="0" w:num="1">
            <w:col w:w="10220"/>
          </w:cols>
          <w:pgMar w:left="1440" w:top="274"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MERRILL LYNCH, PIERCE, FENNER &amp; SMITH</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INCORPORATED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Acting on behalf of itself and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several Underwriters listed in Schedule 1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INCORPORATED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/s/ Randolph Randolph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Randolph Randolph</w:t>
      </w:r>
    </w:p>
    <w:p>
      <w:pPr>
        <w:spacing w:after="0" w:line="23"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Title:</w:t>
        <w:tab/>
        <w:t>Managing Director</w:t>
      </w:r>
    </w:p>
    <w:p>
      <w:pPr>
        <w:spacing w:after="0" w:line="143" w:lineRule="exact"/>
        <w:rPr>
          <w:sz w:val="20"/>
          <w:szCs w:val="20"/>
          <w:color w:val="auto"/>
        </w:rPr>
      </w:pPr>
    </w:p>
    <w:p>
      <w:pPr>
        <w:jc w:val="right"/>
        <w:ind w:right="28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ectPr>
          <w:pgSz w:w="11900" w:h="16838" w:orient="portrait"/>
          <w:cols w:equalWidth="0" w:num="1">
            <w:col w:w="10219"/>
          </w:cols>
          <w:pgMar w:left="240" w:top="274" w:right="1440"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Purchase Price for the Securities to be paid by the several Underwriters shall be 98.469% of the aggregate principal amount thereof.</w:t>
      </w:r>
    </w:p>
    <w:p>
      <w:pPr>
        <w:spacing w:after="0" w:line="23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240" w:type="dxa"/>
            <w:vAlign w:val="bottom"/>
            <w:gridSpan w:val="2"/>
            <w:vMerge w:val="restart"/>
          </w:tcPr>
          <w:p>
            <w:pPr>
              <w:spacing w:after="0"/>
              <w:rPr>
                <w:sz w:val="20"/>
                <w:szCs w:val="20"/>
                <w:color w:val="auto"/>
              </w:rPr>
            </w:pPr>
            <w:r>
              <w:rPr>
                <w:rFonts w:ascii="Arial" w:cs="Arial" w:eastAsia="Arial" w:hAnsi="Arial"/>
                <w:sz w:val="14"/>
                <w:szCs w:val="14"/>
                <w:color w:val="auto"/>
              </w:rPr>
              <w:t>Underwriter</w:t>
            </w:r>
          </w:p>
        </w:tc>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color w:val="auto"/>
              </w:rPr>
              <w:t>Principal Amount of</w:t>
            </w:r>
          </w:p>
        </w:tc>
        <w:tc>
          <w:tcPr>
            <w:tcW w:w="0" w:type="dxa"/>
            <w:vAlign w:val="bottom"/>
          </w:tcPr>
          <w:p>
            <w:pPr>
              <w:spacing w:after="0"/>
              <w:rPr>
                <w:sz w:val="1"/>
                <w:szCs w:val="1"/>
                <w:color w:val="auto"/>
              </w:rPr>
            </w:pPr>
          </w:p>
        </w:tc>
      </w:tr>
      <w:tr>
        <w:trPr>
          <w:trHeight w:val="154"/>
        </w:trPr>
        <w:tc>
          <w:tcPr>
            <w:tcW w:w="3240" w:type="dxa"/>
            <w:vAlign w:val="bottom"/>
            <w:gridSpan w:val="2"/>
            <w:vMerge w:val="continue"/>
          </w:tcPr>
          <w:p>
            <w:pPr>
              <w:spacing w:after="0"/>
              <w:rPr>
                <w:sz w:val="13"/>
                <w:szCs w:val="13"/>
                <w:color w:val="auto"/>
              </w:rPr>
            </w:pPr>
          </w:p>
        </w:tc>
        <w:tc>
          <w:tcPr>
            <w:tcW w:w="4520" w:type="dxa"/>
            <w:vAlign w:val="bottom"/>
            <w:gridSpan w:val="4"/>
          </w:tcPr>
          <w:p>
            <w:pPr>
              <w:ind w:left="2940"/>
              <w:spacing w:after="0" w:line="154" w:lineRule="exact"/>
              <w:rPr>
                <w:sz w:val="20"/>
                <w:szCs w:val="20"/>
                <w:color w:val="auto"/>
              </w:rPr>
            </w:pPr>
            <w:r>
              <w:rPr>
                <w:rFonts w:ascii="Arial" w:cs="Arial" w:eastAsia="Arial" w:hAnsi="Arial"/>
                <w:sz w:val="14"/>
                <w:szCs w:val="14"/>
                <w:color w:val="auto"/>
                <w:w w:val="93"/>
              </w:rPr>
              <w:t>Securities to be Purchased</w:t>
            </w:r>
          </w:p>
        </w:tc>
        <w:tc>
          <w:tcPr>
            <w:tcW w:w="0" w:type="dxa"/>
            <w:vAlign w:val="bottom"/>
          </w:tcPr>
          <w:p>
            <w:pPr>
              <w:spacing w:after="0"/>
              <w:rPr>
                <w:sz w:val="1"/>
                <w:szCs w:val="1"/>
                <w:color w:val="auto"/>
              </w:rPr>
            </w:pPr>
          </w:p>
        </w:tc>
      </w:tr>
      <w:tr>
        <w:trPr>
          <w:trHeight w:val="20"/>
        </w:trPr>
        <w:tc>
          <w:tcPr>
            <w:tcW w:w="700" w:type="dxa"/>
            <w:vAlign w:val="bottom"/>
            <w:tcBorders>
              <w:bottom w:val="single" w:sz="8" w:color="CCEEFF"/>
            </w:tcBorders>
            <w:shd w:val="clear" w:color="auto" w:fill="000000"/>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2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Merrill Lynch, Pierce, Fenner &amp; Smith</w:t>
            </w:r>
          </w:p>
        </w:tc>
        <w:tc>
          <w:tcPr>
            <w:tcW w:w="2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700" w:type="dxa"/>
            <w:vAlign w:val="bottom"/>
            <w:shd w:val="clear" w:color="auto" w:fill="CCEEFF"/>
          </w:tcPr>
          <w:p>
            <w:pPr>
              <w:spacing w:after="0"/>
              <w:rPr>
                <w:sz w:val="21"/>
                <w:szCs w:val="21"/>
                <w:color w:val="auto"/>
              </w:rPr>
            </w:pPr>
          </w:p>
        </w:tc>
        <w:tc>
          <w:tcPr>
            <w:tcW w:w="2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Incorporated</w:t>
            </w:r>
          </w:p>
        </w:tc>
        <w:tc>
          <w:tcPr>
            <w:tcW w:w="3060" w:type="dxa"/>
            <w:vAlign w:val="bottom"/>
            <w:gridSpan w:val="2"/>
            <w:shd w:val="clear" w:color="auto" w:fill="CCEEFF"/>
          </w:tcPr>
          <w:p>
            <w:pPr>
              <w:ind w:left="29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20,250,000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HSBC Securities (USA) Inc.</w:t>
            </w:r>
          </w:p>
        </w:tc>
        <w:tc>
          <w:tcPr>
            <w:tcW w:w="2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18,750,000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SunTrust Robinson Humphrey, Inc.</w:t>
            </w:r>
          </w:p>
        </w:tc>
        <w:tc>
          <w:tcPr>
            <w:tcW w:w="2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Mizuho Securities USA LLC</w:t>
            </w: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2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Goldman Sachs &amp; Co. LLC</w:t>
            </w: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2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Raymond James &amp; Associates, Inc.</w:t>
            </w: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TPG Capital BD, LLC</w:t>
            </w:r>
          </w:p>
        </w:tc>
        <w:tc>
          <w:tcPr>
            <w:tcW w:w="2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Comerica Securities, Inc.</w:t>
            </w: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060" w:type="dxa"/>
            <w:vAlign w:val="bottom"/>
            <w:gridSpan w:val="2"/>
            <w:shd w:val="clear" w:color="auto" w:fill="CCEEFF"/>
          </w:tcPr>
          <w:p>
            <w:pPr>
              <w:ind w:left="29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7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940" w:type="dxa"/>
            <w:vAlign w:val="bottom"/>
          </w:tcPr>
          <w:p>
            <w:pPr>
              <w:ind w:left="440"/>
              <w:spacing w:after="0"/>
              <w:rPr>
                <w:sz w:val="20"/>
                <w:szCs w:val="20"/>
                <w:color w:val="auto"/>
              </w:rPr>
            </w:pPr>
            <w:r>
              <w:rPr>
                <w:rFonts w:ascii="Arial" w:cs="Arial" w:eastAsia="Arial" w:hAnsi="Arial"/>
                <w:sz w:val="18"/>
                <w:szCs w:val="18"/>
                <w:color w:val="auto"/>
              </w:rPr>
              <w:t>S-1-1</w:t>
            </w:r>
          </w:p>
        </w:tc>
        <w:tc>
          <w:tcPr>
            <w:tcW w:w="12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2</w:t>
      </w:r>
    </w:p>
    <w:p>
      <w:pPr>
        <w:spacing w:after="0" w:line="252"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“New Issue” Bloomberg filed with the Commission on January 17, 2018 pursuant to Rule 497(a) (as a Rule 482ad).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“Launch” Bloomberg filed with the Commission on January 17, 2018 pursuant to Rule 497(a) (as a Rule 482ad).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“Guidance” Bloomberg filed with the Commission on January 17, 2018 pursuant to Rule 497(a) (as a Rule 482ad).</w:t>
      </w:r>
    </w:p>
    <w:p>
      <w:pPr>
        <w:spacing w:after="0" w:line="130" w:lineRule="exact"/>
        <w:rPr>
          <w:rFonts w:ascii="Arial" w:cs="Arial" w:eastAsia="Arial" w:hAnsi="Arial"/>
          <w:sz w:val="18"/>
          <w:szCs w:val="18"/>
          <w:color w:val="auto"/>
        </w:rPr>
      </w:pPr>
    </w:p>
    <w:p>
      <w:pPr>
        <w:ind w:left="460" w:right="20" w:hanging="452"/>
        <w:spacing w:after="0" w:line="277"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Pricing Term Sheet, dated January 17, 2018, containing the terms governing the Securities, substantially in the form of Annex A to this Agreement filed with the Commission on January 17, 2018 pursuant to Rule 497(a) (as a Rule 482ad).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20"/>
          </w:cols>
          <w:pgMar w:left="240" w:top="274"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Subsidiaries of the Company</w:t>
      </w:r>
    </w:p>
    <w:p>
      <w:pPr>
        <w:spacing w:after="0" w:line="131"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TC Lending, LLC</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TPG SL SPV, LLC</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TSL MR, LLC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420"/>
          </w:cols>
          <w:pgMar w:left="240" w:top="274"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A</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Filed pursuant to Rule 497(a)</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No. 333-217207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Rule 482ad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$150,000,000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4.500% Notes due 2023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PRICING TERM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17, 2018</w:t>
      </w:r>
    </w:p>
    <w:p>
      <w:pPr>
        <w:spacing w:after="0" w:line="21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following sets forth the final terms of the 4.500% Notes due 2023 and should only be read together with the preliminary prospectus supplement dated January 17, 2018, together with the accompanying prospectus dated May 30, 2017, relating to these securities (the “Preliminary Prospectus”), and supersedes the information in the Preliminary Prospectus to the extent inconsistent with the information in the Preliminary Prospectus. In all other respects, this pricing term sheet is qualified in its entirety by reference to the Preliminary Prospectus. Terms used herein but not defined herein shall have the respective meanings as set forth in the Preliminary Prospectus. All references to dollar amounts are references to U.S. dollars.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Issuer:</w:t>
            </w:r>
          </w:p>
        </w:tc>
        <w:tc>
          <w:tcPr>
            <w:tcW w:w="7800" w:type="dxa"/>
            <w:vAlign w:val="bottom"/>
            <w:gridSpan w:val="2"/>
          </w:tcPr>
          <w:p>
            <w:pPr>
              <w:ind w:left="820"/>
              <w:spacing w:after="0"/>
              <w:rPr>
                <w:sz w:val="20"/>
                <w:szCs w:val="20"/>
                <w:color w:val="auto"/>
              </w:rPr>
            </w:pPr>
            <w:r>
              <w:rPr>
                <w:rFonts w:ascii="Arial" w:cs="Arial" w:eastAsia="Arial" w:hAnsi="Arial"/>
                <w:sz w:val="18"/>
                <w:szCs w:val="18"/>
                <w:color w:val="auto"/>
              </w:rPr>
              <w:t>TPG Specialty Lending, Inc. (“TSLX”)</w:t>
            </w:r>
          </w:p>
        </w:tc>
      </w:tr>
      <w:tr>
        <w:trPr>
          <w:trHeight w:val="324"/>
        </w:trPr>
        <w:tc>
          <w:tcPr>
            <w:tcW w:w="3540" w:type="dxa"/>
            <w:vAlign w:val="bottom"/>
          </w:tcPr>
          <w:p>
            <w:pPr>
              <w:spacing w:after="0"/>
              <w:rPr>
                <w:sz w:val="20"/>
                <w:szCs w:val="20"/>
                <w:color w:val="auto"/>
              </w:rPr>
            </w:pPr>
            <w:r>
              <w:rPr>
                <w:rFonts w:ascii="Arial" w:cs="Arial" w:eastAsia="Arial" w:hAnsi="Arial"/>
                <w:sz w:val="18"/>
                <w:szCs w:val="18"/>
                <w:color w:val="auto"/>
              </w:rPr>
              <w:t>Security:</w:t>
            </w:r>
          </w:p>
        </w:tc>
        <w:tc>
          <w:tcPr>
            <w:tcW w:w="7800" w:type="dxa"/>
            <w:vAlign w:val="bottom"/>
            <w:gridSpan w:val="2"/>
          </w:tcPr>
          <w:p>
            <w:pPr>
              <w:ind w:left="820"/>
              <w:spacing w:after="0"/>
              <w:rPr>
                <w:sz w:val="20"/>
                <w:szCs w:val="20"/>
                <w:color w:val="auto"/>
              </w:rPr>
            </w:pPr>
            <w:r>
              <w:rPr>
                <w:rFonts w:ascii="Arial" w:cs="Arial" w:eastAsia="Arial" w:hAnsi="Arial"/>
                <w:sz w:val="18"/>
                <w:szCs w:val="18"/>
                <w:color w:val="auto"/>
              </w:rPr>
              <w:t>4.500% Notes due 2023</w:t>
            </w:r>
          </w:p>
        </w:tc>
      </w:tr>
      <w:tr>
        <w:trPr>
          <w:trHeight w:val="324"/>
        </w:trPr>
        <w:tc>
          <w:tcPr>
            <w:tcW w:w="3540" w:type="dxa"/>
            <w:vAlign w:val="bottom"/>
          </w:tcPr>
          <w:p>
            <w:pPr>
              <w:spacing w:after="0"/>
              <w:rPr>
                <w:sz w:val="20"/>
                <w:szCs w:val="20"/>
                <w:color w:val="auto"/>
              </w:rPr>
            </w:pPr>
            <w:r>
              <w:rPr>
                <w:rFonts w:ascii="Arial" w:cs="Arial" w:eastAsia="Arial" w:hAnsi="Arial"/>
                <w:sz w:val="18"/>
                <w:szCs w:val="18"/>
                <w:color w:val="auto"/>
              </w:rPr>
              <w:t>Ratings (S&amp;P/Fitch)*:</w:t>
            </w:r>
          </w:p>
        </w:tc>
        <w:tc>
          <w:tcPr>
            <w:tcW w:w="7800" w:type="dxa"/>
            <w:vAlign w:val="bottom"/>
            <w:gridSpan w:val="2"/>
          </w:tcPr>
          <w:p>
            <w:pPr>
              <w:ind w:left="820"/>
              <w:spacing w:after="0"/>
              <w:rPr>
                <w:sz w:val="20"/>
                <w:szCs w:val="20"/>
                <w:color w:val="auto"/>
              </w:rPr>
            </w:pPr>
            <w:r>
              <w:rPr>
                <w:rFonts w:ascii="Arial" w:cs="Arial" w:eastAsia="Arial" w:hAnsi="Arial"/>
                <w:sz w:val="18"/>
                <w:szCs w:val="18"/>
                <w:color w:val="auto"/>
              </w:rPr>
              <w:t>[Reserved]</w:t>
            </w:r>
          </w:p>
        </w:tc>
      </w:tr>
      <w:tr>
        <w:trPr>
          <w:trHeight w:val="324"/>
        </w:trPr>
        <w:tc>
          <w:tcPr>
            <w:tcW w:w="3540" w:type="dxa"/>
            <w:vAlign w:val="bottom"/>
          </w:tcPr>
          <w:p>
            <w:pPr>
              <w:spacing w:after="0"/>
              <w:rPr>
                <w:sz w:val="20"/>
                <w:szCs w:val="20"/>
                <w:color w:val="auto"/>
              </w:rPr>
            </w:pPr>
            <w:r>
              <w:rPr>
                <w:rFonts w:ascii="Arial" w:cs="Arial" w:eastAsia="Arial" w:hAnsi="Arial"/>
                <w:sz w:val="18"/>
                <w:szCs w:val="18"/>
                <w:color w:val="auto"/>
              </w:rPr>
              <w:t>Aggregate Principal Amount Offered:</w:t>
            </w:r>
          </w:p>
        </w:tc>
        <w:tc>
          <w:tcPr>
            <w:tcW w:w="7800" w:type="dxa"/>
            <w:vAlign w:val="bottom"/>
            <w:gridSpan w:val="2"/>
          </w:tcPr>
          <w:p>
            <w:pPr>
              <w:ind w:left="820"/>
              <w:spacing w:after="0"/>
              <w:rPr>
                <w:sz w:val="20"/>
                <w:szCs w:val="20"/>
                <w:color w:val="auto"/>
              </w:rPr>
            </w:pPr>
            <w:r>
              <w:rPr>
                <w:rFonts w:ascii="Arial" w:cs="Arial" w:eastAsia="Arial" w:hAnsi="Arial"/>
                <w:sz w:val="18"/>
                <w:szCs w:val="18"/>
                <w:color w:val="auto"/>
              </w:rPr>
              <w:t>$150,000,000</w:t>
            </w:r>
          </w:p>
        </w:tc>
      </w:tr>
      <w:tr>
        <w:trPr>
          <w:trHeight w:val="324"/>
        </w:trPr>
        <w:tc>
          <w:tcPr>
            <w:tcW w:w="3540" w:type="dxa"/>
            <w:vAlign w:val="bottom"/>
          </w:tcPr>
          <w:p>
            <w:pPr>
              <w:spacing w:after="0"/>
              <w:rPr>
                <w:sz w:val="20"/>
                <w:szCs w:val="20"/>
                <w:color w:val="auto"/>
              </w:rPr>
            </w:pPr>
            <w:r>
              <w:rPr>
                <w:rFonts w:ascii="Arial" w:cs="Arial" w:eastAsia="Arial" w:hAnsi="Arial"/>
                <w:sz w:val="18"/>
                <w:szCs w:val="18"/>
                <w:color w:val="auto"/>
              </w:rPr>
              <w:t>Maturity Date:</w:t>
            </w:r>
          </w:p>
        </w:tc>
        <w:tc>
          <w:tcPr>
            <w:tcW w:w="7800" w:type="dxa"/>
            <w:vAlign w:val="bottom"/>
            <w:gridSpan w:val="2"/>
          </w:tcPr>
          <w:p>
            <w:pPr>
              <w:ind w:left="820"/>
              <w:spacing w:after="0"/>
              <w:rPr>
                <w:sz w:val="20"/>
                <w:szCs w:val="20"/>
                <w:color w:val="auto"/>
              </w:rPr>
            </w:pPr>
            <w:r>
              <w:rPr>
                <w:rFonts w:ascii="Arial" w:cs="Arial" w:eastAsia="Arial" w:hAnsi="Arial"/>
                <w:sz w:val="18"/>
                <w:szCs w:val="18"/>
                <w:color w:val="auto"/>
              </w:rPr>
              <w:t>January 22, 2023, unless earlier repurchased or redeemed</w:t>
            </w:r>
          </w:p>
        </w:tc>
      </w:tr>
      <w:tr>
        <w:trPr>
          <w:trHeight w:val="324"/>
        </w:trPr>
        <w:tc>
          <w:tcPr>
            <w:tcW w:w="3540" w:type="dxa"/>
            <w:vAlign w:val="bottom"/>
          </w:tcPr>
          <w:p>
            <w:pPr>
              <w:spacing w:after="0"/>
              <w:rPr>
                <w:sz w:val="20"/>
                <w:szCs w:val="20"/>
                <w:color w:val="auto"/>
              </w:rPr>
            </w:pPr>
            <w:r>
              <w:rPr>
                <w:rFonts w:ascii="Arial" w:cs="Arial" w:eastAsia="Arial" w:hAnsi="Arial"/>
                <w:sz w:val="18"/>
                <w:szCs w:val="18"/>
                <w:color w:val="auto"/>
              </w:rPr>
              <w:t>Trade Date:</w:t>
            </w:r>
          </w:p>
        </w:tc>
        <w:tc>
          <w:tcPr>
            <w:tcW w:w="7800" w:type="dxa"/>
            <w:vAlign w:val="bottom"/>
            <w:gridSpan w:val="2"/>
          </w:tcPr>
          <w:p>
            <w:pPr>
              <w:ind w:left="820"/>
              <w:spacing w:after="0"/>
              <w:rPr>
                <w:sz w:val="20"/>
                <w:szCs w:val="20"/>
                <w:color w:val="auto"/>
              </w:rPr>
            </w:pPr>
            <w:r>
              <w:rPr>
                <w:rFonts w:ascii="Arial" w:cs="Arial" w:eastAsia="Arial" w:hAnsi="Arial"/>
                <w:sz w:val="18"/>
                <w:szCs w:val="18"/>
                <w:color w:val="auto"/>
              </w:rPr>
              <w:t>January 17, 2018</w:t>
            </w:r>
          </w:p>
        </w:tc>
      </w:tr>
      <w:tr>
        <w:trPr>
          <w:trHeight w:val="310"/>
        </w:trPr>
        <w:tc>
          <w:tcPr>
            <w:tcW w:w="3540" w:type="dxa"/>
            <w:vAlign w:val="bottom"/>
          </w:tcPr>
          <w:p>
            <w:pPr>
              <w:spacing w:after="0"/>
              <w:rPr>
                <w:sz w:val="20"/>
                <w:szCs w:val="20"/>
                <w:color w:val="auto"/>
              </w:rPr>
            </w:pPr>
            <w:r>
              <w:rPr>
                <w:rFonts w:ascii="Arial" w:cs="Arial" w:eastAsia="Arial" w:hAnsi="Arial"/>
                <w:sz w:val="18"/>
                <w:szCs w:val="18"/>
                <w:color w:val="auto"/>
              </w:rPr>
              <w:t>Price to Public (Issue Price):</w:t>
            </w:r>
          </w:p>
        </w:tc>
        <w:tc>
          <w:tcPr>
            <w:tcW w:w="7800" w:type="dxa"/>
            <w:vAlign w:val="bottom"/>
            <w:gridSpan w:val="2"/>
          </w:tcPr>
          <w:p>
            <w:pPr>
              <w:ind w:left="820"/>
              <w:spacing w:after="0"/>
              <w:rPr>
                <w:sz w:val="20"/>
                <w:szCs w:val="20"/>
                <w:color w:val="auto"/>
              </w:rPr>
            </w:pPr>
            <w:r>
              <w:rPr>
                <w:rFonts w:ascii="Arial" w:cs="Arial" w:eastAsia="Arial" w:hAnsi="Arial"/>
                <w:sz w:val="18"/>
                <w:szCs w:val="18"/>
                <w:color w:val="auto"/>
                <w:w w:val="91"/>
              </w:rPr>
              <w:t>The Notes will be issued at a price of 99.969% of their principal amount, plus accrued interest, if</w:t>
            </w:r>
          </w:p>
        </w:tc>
      </w:tr>
      <w:tr>
        <w:trPr>
          <w:trHeight w:val="230"/>
        </w:trPr>
        <w:tc>
          <w:tcPr>
            <w:tcW w:w="3540" w:type="dxa"/>
            <w:vAlign w:val="bottom"/>
          </w:tcPr>
          <w:p>
            <w:pPr>
              <w:spacing w:after="0"/>
              <w:rPr>
                <w:sz w:val="20"/>
                <w:szCs w:val="20"/>
                <w:color w:val="auto"/>
              </w:rPr>
            </w:pPr>
          </w:p>
        </w:tc>
        <w:tc>
          <w:tcPr>
            <w:tcW w:w="7800" w:type="dxa"/>
            <w:vAlign w:val="bottom"/>
            <w:gridSpan w:val="2"/>
          </w:tcPr>
          <w:p>
            <w:pPr>
              <w:ind w:left="820"/>
              <w:spacing w:after="0"/>
              <w:rPr>
                <w:sz w:val="20"/>
                <w:szCs w:val="20"/>
                <w:color w:val="auto"/>
              </w:rPr>
            </w:pPr>
            <w:r>
              <w:rPr>
                <w:rFonts w:ascii="Arial" w:cs="Arial" w:eastAsia="Arial" w:hAnsi="Arial"/>
                <w:sz w:val="18"/>
                <w:szCs w:val="18"/>
                <w:color w:val="auto"/>
              </w:rPr>
              <w:t>any, from January 22, 2018</w:t>
            </w:r>
          </w:p>
        </w:tc>
      </w:tr>
      <w:tr>
        <w:trPr>
          <w:trHeight w:val="324"/>
        </w:trPr>
        <w:tc>
          <w:tcPr>
            <w:tcW w:w="3540" w:type="dxa"/>
            <w:vAlign w:val="bottom"/>
          </w:tcPr>
          <w:p>
            <w:pPr>
              <w:spacing w:after="0"/>
              <w:rPr>
                <w:sz w:val="20"/>
                <w:szCs w:val="20"/>
                <w:color w:val="auto"/>
              </w:rPr>
            </w:pPr>
            <w:r>
              <w:rPr>
                <w:rFonts w:ascii="Arial" w:cs="Arial" w:eastAsia="Arial" w:hAnsi="Arial"/>
                <w:sz w:val="18"/>
                <w:szCs w:val="18"/>
                <w:color w:val="auto"/>
              </w:rPr>
              <w:t>Coupon (Interest Rate):</w:t>
            </w:r>
          </w:p>
        </w:tc>
        <w:tc>
          <w:tcPr>
            <w:tcW w:w="7800" w:type="dxa"/>
            <w:vAlign w:val="bottom"/>
            <w:gridSpan w:val="2"/>
          </w:tcPr>
          <w:p>
            <w:pPr>
              <w:ind w:left="820"/>
              <w:spacing w:after="0"/>
              <w:rPr>
                <w:sz w:val="20"/>
                <w:szCs w:val="20"/>
                <w:color w:val="auto"/>
              </w:rPr>
            </w:pPr>
            <w:r>
              <w:rPr>
                <w:rFonts w:ascii="Arial" w:cs="Arial" w:eastAsia="Arial" w:hAnsi="Arial"/>
                <w:sz w:val="18"/>
                <w:szCs w:val="18"/>
                <w:color w:val="auto"/>
              </w:rPr>
              <w:t>4.500%</w:t>
            </w:r>
          </w:p>
        </w:tc>
      </w:tr>
      <w:tr>
        <w:trPr>
          <w:trHeight w:val="324"/>
        </w:trPr>
        <w:tc>
          <w:tcPr>
            <w:tcW w:w="3540" w:type="dxa"/>
            <w:vAlign w:val="bottom"/>
          </w:tcPr>
          <w:p>
            <w:pPr>
              <w:spacing w:after="0"/>
              <w:rPr>
                <w:sz w:val="20"/>
                <w:szCs w:val="20"/>
                <w:color w:val="auto"/>
              </w:rPr>
            </w:pPr>
            <w:r>
              <w:rPr>
                <w:rFonts w:ascii="Arial" w:cs="Arial" w:eastAsia="Arial" w:hAnsi="Arial"/>
                <w:sz w:val="18"/>
                <w:szCs w:val="18"/>
                <w:color w:val="auto"/>
              </w:rPr>
              <w:t>Yield to Maturity:</w:t>
            </w:r>
          </w:p>
        </w:tc>
        <w:tc>
          <w:tcPr>
            <w:tcW w:w="7800" w:type="dxa"/>
            <w:vAlign w:val="bottom"/>
            <w:gridSpan w:val="2"/>
          </w:tcPr>
          <w:p>
            <w:pPr>
              <w:ind w:left="820"/>
              <w:spacing w:after="0"/>
              <w:rPr>
                <w:sz w:val="20"/>
                <w:szCs w:val="20"/>
                <w:color w:val="auto"/>
              </w:rPr>
            </w:pPr>
            <w:r>
              <w:rPr>
                <w:rFonts w:ascii="Arial" w:cs="Arial" w:eastAsia="Arial" w:hAnsi="Arial"/>
                <w:sz w:val="18"/>
                <w:szCs w:val="18"/>
                <w:color w:val="auto"/>
              </w:rPr>
              <w:t>4.507%</w:t>
            </w:r>
          </w:p>
        </w:tc>
      </w:tr>
      <w:tr>
        <w:trPr>
          <w:trHeight w:val="324"/>
        </w:trPr>
        <w:tc>
          <w:tcPr>
            <w:tcW w:w="3540" w:type="dxa"/>
            <w:vAlign w:val="bottom"/>
          </w:tcPr>
          <w:p>
            <w:pPr>
              <w:spacing w:after="0"/>
              <w:rPr>
                <w:sz w:val="20"/>
                <w:szCs w:val="20"/>
                <w:color w:val="auto"/>
              </w:rPr>
            </w:pPr>
            <w:r>
              <w:rPr>
                <w:rFonts w:ascii="Arial" w:cs="Arial" w:eastAsia="Arial" w:hAnsi="Arial"/>
                <w:sz w:val="18"/>
                <w:szCs w:val="18"/>
                <w:color w:val="auto"/>
              </w:rPr>
              <w:t>Spread to Benchmark Treasury:</w:t>
            </w:r>
          </w:p>
        </w:tc>
        <w:tc>
          <w:tcPr>
            <w:tcW w:w="7800" w:type="dxa"/>
            <w:vAlign w:val="bottom"/>
            <w:gridSpan w:val="2"/>
          </w:tcPr>
          <w:p>
            <w:pPr>
              <w:ind w:left="820"/>
              <w:spacing w:after="0"/>
              <w:rPr>
                <w:sz w:val="20"/>
                <w:szCs w:val="20"/>
                <w:color w:val="auto"/>
              </w:rPr>
            </w:pPr>
            <w:r>
              <w:rPr>
                <w:rFonts w:ascii="Arial" w:cs="Arial" w:eastAsia="Arial" w:hAnsi="Arial"/>
                <w:sz w:val="18"/>
                <w:szCs w:val="18"/>
                <w:color w:val="auto"/>
              </w:rPr>
              <w:t>+212.5 basis points</w:t>
            </w:r>
          </w:p>
        </w:tc>
      </w:tr>
      <w:tr>
        <w:trPr>
          <w:trHeight w:val="324"/>
        </w:trPr>
        <w:tc>
          <w:tcPr>
            <w:tcW w:w="3540" w:type="dxa"/>
            <w:vAlign w:val="bottom"/>
          </w:tcPr>
          <w:p>
            <w:pPr>
              <w:spacing w:after="0"/>
              <w:rPr>
                <w:sz w:val="20"/>
                <w:szCs w:val="20"/>
                <w:color w:val="auto"/>
              </w:rPr>
            </w:pPr>
            <w:r>
              <w:rPr>
                <w:rFonts w:ascii="Arial" w:cs="Arial" w:eastAsia="Arial" w:hAnsi="Arial"/>
                <w:sz w:val="18"/>
                <w:szCs w:val="18"/>
                <w:color w:val="auto"/>
              </w:rPr>
              <w:t>Benchmark Treasury:</w:t>
            </w:r>
          </w:p>
        </w:tc>
        <w:tc>
          <w:tcPr>
            <w:tcW w:w="7800" w:type="dxa"/>
            <w:vAlign w:val="bottom"/>
            <w:gridSpan w:val="2"/>
          </w:tcPr>
          <w:p>
            <w:pPr>
              <w:ind w:left="820"/>
              <w:spacing w:after="0"/>
              <w:rPr>
                <w:sz w:val="20"/>
                <w:szCs w:val="20"/>
                <w:color w:val="auto"/>
              </w:rPr>
            </w:pPr>
            <w:r>
              <w:rPr>
                <w:rFonts w:ascii="Arial" w:cs="Arial" w:eastAsia="Arial" w:hAnsi="Arial"/>
                <w:sz w:val="18"/>
                <w:szCs w:val="18"/>
                <w:color w:val="auto"/>
              </w:rPr>
              <w:t>2.125% due December 31, 2022</w:t>
            </w:r>
          </w:p>
        </w:tc>
      </w:tr>
      <w:tr>
        <w:trPr>
          <w:trHeight w:val="418"/>
        </w:trPr>
        <w:tc>
          <w:tcPr>
            <w:tcW w:w="3540" w:type="dxa"/>
            <w:vAlign w:val="bottom"/>
          </w:tcPr>
          <w:p>
            <w:pPr>
              <w:spacing w:after="0"/>
              <w:rPr>
                <w:sz w:val="20"/>
                <w:szCs w:val="20"/>
                <w:color w:val="auto"/>
              </w:rPr>
            </w:pPr>
            <w:r>
              <w:rPr>
                <w:rFonts w:ascii="Arial" w:cs="Arial" w:eastAsia="Arial" w:hAnsi="Arial"/>
                <w:sz w:val="18"/>
                <w:szCs w:val="18"/>
                <w:color w:val="auto"/>
              </w:rPr>
              <w:t>Benchmark Treasury Price and Yield:</w:t>
            </w:r>
          </w:p>
        </w:tc>
        <w:tc>
          <w:tcPr>
            <w:tcW w:w="7800" w:type="dxa"/>
            <w:vAlign w:val="bottom"/>
            <w:gridSpan w:val="2"/>
          </w:tcPr>
          <w:p>
            <w:pPr>
              <w:ind w:left="820"/>
              <w:spacing w:after="0"/>
              <w:rPr>
                <w:sz w:val="20"/>
                <w:szCs w:val="20"/>
                <w:color w:val="auto"/>
              </w:rPr>
            </w:pPr>
            <w:r>
              <w:rPr>
                <w:rFonts w:ascii="Arial" w:cs="Arial" w:eastAsia="Arial" w:hAnsi="Arial"/>
                <w:sz w:val="18"/>
                <w:szCs w:val="18"/>
                <w:color w:val="auto"/>
              </w:rPr>
              <w:t xml:space="preserve">98-25 </w:t>
            </w:r>
            <w:r>
              <w:rPr>
                <w:rFonts w:ascii="Arial" w:cs="Arial" w:eastAsia="Arial" w:hAnsi="Arial"/>
                <w:sz w:val="30"/>
                <w:szCs w:val="30"/>
                <w:color w:val="auto"/>
                <w:vertAlign w:val="superscript"/>
              </w:rPr>
              <w:t>3</w:t>
            </w:r>
            <w:r>
              <w:rPr>
                <w:rFonts w:ascii="Arial" w:cs="Arial" w:eastAsia="Arial" w:hAnsi="Arial"/>
                <w:sz w:val="18"/>
                <w:szCs w:val="18"/>
                <w:color w:val="auto"/>
              </w:rPr>
              <w:t>⁄</w:t>
            </w:r>
            <w:r>
              <w:rPr>
                <w:rFonts w:ascii="Arial" w:cs="Arial" w:eastAsia="Arial" w:hAnsi="Arial"/>
                <w:sz w:val="30"/>
                <w:szCs w:val="30"/>
                <w:color w:val="auto"/>
                <w:vertAlign w:val="subscript"/>
              </w:rPr>
              <w:t>4</w:t>
            </w:r>
            <w:r>
              <w:rPr>
                <w:rFonts w:ascii="Arial" w:cs="Arial" w:eastAsia="Arial" w:hAnsi="Arial"/>
                <w:sz w:val="18"/>
                <w:szCs w:val="18"/>
                <w:color w:val="auto"/>
              </w:rPr>
              <w:t xml:space="preserve"> / 2.382%</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Interest Payment Dates:</w:t>
            </w:r>
          </w:p>
        </w:tc>
        <w:tc>
          <w:tcPr>
            <w:tcW w:w="7800" w:type="dxa"/>
            <w:vAlign w:val="bottom"/>
            <w:gridSpan w:val="2"/>
          </w:tcPr>
          <w:p>
            <w:pPr>
              <w:ind w:left="820"/>
              <w:spacing w:after="0"/>
              <w:rPr>
                <w:sz w:val="20"/>
                <w:szCs w:val="20"/>
                <w:color w:val="auto"/>
              </w:rPr>
            </w:pPr>
            <w:r>
              <w:rPr>
                <w:rFonts w:ascii="Arial" w:cs="Arial" w:eastAsia="Arial" w:hAnsi="Arial"/>
                <w:sz w:val="18"/>
                <w:szCs w:val="18"/>
                <w:color w:val="auto"/>
              </w:rPr>
              <w:t>January 22 and July 22, commencing July 22, 2018</w:t>
            </w:r>
          </w:p>
        </w:tc>
      </w:tr>
      <w:tr>
        <w:trPr>
          <w:trHeight w:val="310"/>
        </w:trPr>
        <w:tc>
          <w:tcPr>
            <w:tcW w:w="3540" w:type="dxa"/>
            <w:vAlign w:val="bottom"/>
          </w:tcPr>
          <w:p>
            <w:pPr>
              <w:spacing w:after="0"/>
              <w:rPr>
                <w:sz w:val="20"/>
                <w:szCs w:val="20"/>
                <w:color w:val="auto"/>
              </w:rPr>
            </w:pPr>
            <w:r>
              <w:rPr>
                <w:rFonts w:ascii="Arial" w:cs="Arial" w:eastAsia="Arial" w:hAnsi="Arial"/>
                <w:sz w:val="18"/>
                <w:szCs w:val="18"/>
                <w:color w:val="auto"/>
              </w:rPr>
              <w:t>Make-Whole Redemption:</w:t>
            </w:r>
          </w:p>
        </w:tc>
        <w:tc>
          <w:tcPr>
            <w:tcW w:w="7800" w:type="dxa"/>
            <w:vAlign w:val="bottom"/>
            <w:gridSpan w:val="2"/>
          </w:tcPr>
          <w:p>
            <w:pPr>
              <w:ind w:left="820"/>
              <w:spacing w:after="0"/>
              <w:rPr>
                <w:sz w:val="20"/>
                <w:szCs w:val="20"/>
                <w:color w:val="auto"/>
              </w:rPr>
            </w:pPr>
            <w:r>
              <w:rPr>
                <w:rFonts w:ascii="Arial" w:cs="Arial" w:eastAsia="Arial" w:hAnsi="Arial"/>
                <w:sz w:val="18"/>
                <w:szCs w:val="18"/>
                <w:color w:val="auto"/>
                <w:w w:val="91"/>
              </w:rPr>
              <w:t>Equal to the greater of the following amounts, plus, in each case, accrued and unpaid interest to</w:t>
            </w:r>
          </w:p>
        </w:tc>
      </w:tr>
      <w:tr>
        <w:trPr>
          <w:trHeight w:val="230"/>
        </w:trPr>
        <w:tc>
          <w:tcPr>
            <w:tcW w:w="3540" w:type="dxa"/>
            <w:vAlign w:val="bottom"/>
          </w:tcPr>
          <w:p>
            <w:pPr>
              <w:spacing w:after="0"/>
              <w:rPr>
                <w:sz w:val="20"/>
                <w:szCs w:val="20"/>
                <w:color w:val="auto"/>
              </w:rPr>
            </w:pPr>
          </w:p>
        </w:tc>
        <w:tc>
          <w:tcPr>
            <w:tcW w:w="7800" w:type="dxa"/>
            <w:vAlign w:val="bottom"/>
            <w:gridSpan w:val="2"/>
          </w:tcPr>
          <w:p>
            <w:pPr>
              <w:ind w:left="820"/>
              <w:spacing w:after="0"/>
              <w:rPr>
                <w:sz w:val="20"/>
                <w:szCs w:val="20"/>
                <w:color w:val="auto"/>
              </w:rPr>
            </w:pPr>
            <w:r>
              <w:rPr>
                <w:rFonts w:ascii="Arial" w:cs="Arial" w:eastAsia="Arial" w:hAnsi="Arial"/>
                <w:sz w:val="18"/>
                <w:szCs w:val="18"/>
                <w:color w:val="auto"/>
              </w:rPr>
              <w:t>the redemption date:</w:t>
            </w:r>
          </w:p>
        </w:tc>
      </w:tr>
      <w:tr>
        <w:trPr>
          <w:trHeight w:val="338"/>
        </w:trPr>
        <w:tc>
          <w:tcPr>
            <w:tcW w:w="3540" w:type="dxa"/>
            <w:vAlign w:val="bottom"/>
          </w:tcPr>
          <w:p>
            <w:pPr>
              <w:spacing w:after="0"/>
              <w:rPr>
                <w:sz w:val="24"/>
                <w:szCs w:val="24"/>
                <w:color w:val="auto"/>
              </w:rPr>
            </w:pPr>
          </w:p>
        </w:tc>
        <w:tc>
          <w:tcPr>
            <w:tcW w:w="1020" w:type="dxa"/>
            <w:vAlign w:val="bottom"/>
          </w:tcPr>
          <w:p>
            <w:pPr>
              <w:ind w:left="820"/>
              <w:spacing w:after="0"/>
              <w:rPr>
                <w:sz w:val="20"/>
                <w:szCs w:val="20"/>
                <w:color w:val="auto"/>
              </w:rPr>
            </w:pPr>
            <w:r>
              <w:rPr>
                <w:rFonts w:ascii="Arial" w:cs="Arial" w:eastAsia="Arial" w:hAnsi="Arial"/>
                <w:sz w:val="18"/>
                <w:szCs w:val="18"/>
                <w:color w:val="auto"/>
              </w:rPr>
              <w:t>•</w:t>
            </w:r>
          </w:p>
        </w:tc>
        <w:tc>
          <w:tcPr>
            <w:tcW w:w="6780" w:type="dxa"/>
            <w:vAlign w:val="bottom"/>
          </w:tcPr>
          <w:p>
            <w:pPr>
              <w:ind w:left="180"/>
              <w:spacing w:after="0"/>
              <w:rPr>
                <w:sz w:val="20"/>
                <w:szCs w:val="20"/>
                <w:color w:val="auto"/>
              </w:rPr>
            </w:pPr>
            <w:r>
              <w:rPr>
                <w:rFonts w:ascii="Arial" w:cs="Arial" w:eastAsia="Arial" w:hAnsi="Arial"/>
                <w:sz w:val="18"/>
                <w:szCs w:val="18"/>
                <w:color w:val="auto"/>
              </w:rPr>
              <w:t>100% of the principal amount of the Notes to be redeemed, or</w:t>
            </w:r>
          </w:p>
        </w:tc>
      </w:tr>
      <w:tr>
        <w:trPr>
          <w:trHeight w:val="323"/>
        </w:trPr>
        <w:tc>
          <w:tcPr>
            <w:tcW w:w="3540" w:type="dxa"/>
            <w:vAlign w:val="bottom"/>
          </w:tcPr>
          <w:p>
            <w:pPr>
              <w:spacing w:after="0"/>
              <w:rPr>
                <w:sz w:val="24"/>
                <w:szCs w:val="24"/>
                <w:color w:val="auto"/>
              </w:rPr>
            </w:pPr>
          </w:p>
        </w:tc>
        <w:tc>
          <w:tcPr>
            <w:tcW w:w="1020" w:type="dxa"/>
            <w:vAlign w:val="bottom"/>
          </w:tcPr>
          <w:p>
            <w:pPr>
              <w:ind w:left="820"/>
              <w:spacing w:after="0"/>
              <w:rPr>
                <w:sz w:val="20"/>
                <w:szCs w:val="20"/>
                <w:color w:val="auto"/>
              </w:rPr>
            </w:pPr>
            <w:r>
              <w:rPr>
                <w:rFonts w:ascii="Arial" w:cs="Arial" w:eastAsia="Arial" w:hAnsi="Arial"/>
                <w:sz w:val="18"/>
                <w:szCs w:val="18"/>
                <w:color w:val="auto"/>
              </w:rPr>
              <w:t>•</w:t>
            </w:r>
          </w:p>
        </w:tc>
        <w:tc>
          <w:tcPr>
            <w:tcW w:w="6780" w:type="dxa"/>
            <w:vAlign w:val="bottom"/>
          </w:tcPr>
          <w:p>
            <w:pPr>
              <w:ind w:left="180"/>
              <w:spacing w:after="0"/>
              <w:rPr>
                <w:sz w:val="20"/>
                <w:szCs w:val="20"/>
                <w:color w:val="auto"/>
              </w:rPr>
            </w:pPr>
            <w:r>
              <w:rPr>
                <w:rFonts w:ascii="Arial" w:cs="Arial" w:eastAsia="Arial" w:hAnsi="Arial"/>
                <w:sz w:val="18"/>
                <w:szCs w:val="18"/>
                <w:color w:val="auto"/>
                <w:w w:val="89"/>
              </w:rPr>
              <w:t>the sum of the present values of the remaining scheduled payments of principal and interest</w:t>
            </w:r>
          </w:p>
        </w:tc>
      </w:tr>
      <w:tr>
        <w:trPr>
          <w:trHeight w:val="216"/>
        </w:trPr>
        <w:tc>
          <w:tcPr>
            <w:tcW w:w="3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780" w:type="dxa"/>
            <w:vAlign w:val="bottom"/>
          </w:tcPr>
          <w:p>
            <w:pPr>
              <w:ind w:left="160"/>
              <w:spacing w:after="0"/>
              <w:rPr>
                <w:sz w:val="20"/>
                <w:szCs w:val="20"/>
                <w:color w:val="auto"/>
              </w:rPr>
            </w:pPr>
            <w:r>
              <w:rPr>
                <w:rFonts w:ascii="Arial" w:cs="Arial" w:eastAsia="Arial" w:hAnsi="Arial"/>
                <w:sz w:val="18"/>
                <w:szCs w:val="18"/>
                <w:color w:val="auto"/>
                <w:w w:val="95"/>
              </w:rPr>
              <w:t>(exclusive of accrued and unpaid interest to the date of redemption) on the Notes to be</w:t>
            </w:r>
          </w:p>
        </w:tc>
      </w:tr>
      <w:tr>
        <w:trPr>
          <w:trHeight w:val="230"/>
        </w:trPr>
        <w:tc>
          <w:tcPr>
            <w:tcW w:w="3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780" w:type="dxa"/>
            <w:vAlign w:val="bottom"/>
          </w:tcPr>
          <w:p>
            <w:pPr>
              <w:ind w:left="160"/>
              <w:spacing w:after="0"/>
              <w:rPr>
                <w:sz w:val="20"/>
                <w:szCs w:val="20"/>
                <w:color w:val="auto"/>
              </w:rPr>
            </w:pPr>
            <w:r>
              <w:rPr>
                <w:rFonts w:ascii="Arial" w:cs="Arial" w:eastAsia="Arial" w:hAnsi="Arial"/>
                <w:sz w:val="18"/>
                <w:szCs w:val="18"/>
                <w:color w:val="auto"/>
              </w:rPr>
              <w:t>redeemed, discounted to the redemption date on a semi-annual</w:t>
            </w:r>
          </w:p>
        </w:tc>
      </w:tr>
    </w:tbl>
    <w:p>
      <w:pPr>
        <w:sectPr>
          <w:pgSz w:w="11900" w:h="16838" w:orient="portrait"/>
          <w:cols w:equalWidth="0" w:num="1">
            <w:col w:w="11420"/>
          </w:cols>
          <w:pgMar w:left="240" w:top="274" w:right="239" w:bottom="1440" w:gutter="0" w:footer="0" w:header="0"/>
        </w:sectPr>
      </w:pPr>
    </w:p>
    <w:bookmarkStart w:id="49" w:name="page50"/>
    <w:bookmarkEnd w:id="49"/>
    <w:p>
      <w:pPr>
        <w:ind w:left="4720"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basis (assuming a 360-day year consisting of twelve 30-day months) using the applicable Treasury Rate plus 35 basis points;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TSLX redeems any Notes on or after December 22, 2022 (the date falling one month prior to the maturity date of the Notes), the redemption price for the Notes will be equal to 100% of the principal amount of the Notes to be redeemed, plus accrued and unpaid interest, if any, to, but excluding, the date of redemption.</w:t>
      </w:r>
    </w:p>
    <w:p>
      <w:pPr>
        <w:sectPr>
          <w:pgSz w:w="11900" w:h="16838" w:orient="portrait"/>
          <w:cols w:equalWidth="0" w:num="1">
            <w:col w:w="11420"/>
          </w:cols>
          <w:pgMar w:left="240" w:top="274" w:right="239" w:bottom="1440" w:gutter="0" w:footer="0" w:header="0"/>
        </w:sectPr>
      </w:pP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Change of Control:</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Holders have the right to require TSLX to repurchase the Notes at 100% of their principal amount plus accrued and unpaid interest, if any, in the event of a change of control repurchase event.</w:t>
      </w:r>
    </w:p>
    <w:p>
      <w:pPr>
        <w:spacing w:after="0" w:line="16" w:lineRule="exact"/>
        <w:rPr>
          <w:sz w:val="20"/>
          <w:szCs w:val="20"/>
          <w:color w:val="auto"/>
        </w:rPr>
      </w:pPr>
    </w:p>
    <w:p>
      <w:pPr>
        <w:sectPr>
          <w:pgSz w:w="11900" w:h="16838" w:orient="portrait"/>
          <w:cols w:equalWidth="0" w:num="2">
            <w:col w:w="3640" w:space="720"/>
            <w:col w:w="706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January 22, 2018 (T+3)</w:t>
      </w:r>
    </w:p>
    <w:p>
      <w:pPr>
        <w:spacing w:after="0" w:line="140" w:lineRule="exact"/>
        <w:rPr>
          <w:sz w:val="20"/>
          <w:szCs w:val="20"/>
          <w:color w:val="auto"/>
        </w:rPr>
      </w:pPr>
    </w:p>
    <w:p>
      <w:pPr>
        <w:sectPr>
          <w:pgSz w:w="11900" w:h="16838" w:orient="portrait"/>
          <w:cols w:equalWidth="0" w:num="2">
            <w:col w:w="3640" w:space="720"/>
            <w:col w:w="706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Denomination:</w:t>
      </w:r>
    </w:p>
    <w:p>
      <w:pPr>
        <w:spacing w:after="0" w:line="20" w:lineRule="exact"/>
        <w:rPr>
          <w:sz w:val="20"/>
          <w:szCs w:val="20"/>
          <w:color w:val="auto"/>
        </w:rPr>
      </w:pPr>
      <w:r>
        <w:rPr>
          <w:sz w:val="20"/>
          <w:szCs w:val="20"/>
          <w:color w:val="auto"/>
        </w:rPr>
        <w:br w:type="column"/>
      </w:r>
    </w:p>
    <w:p>
      <w:pPr>
        <w:jc w:val="center"/>
        <w:ind w:right="2960"/>
        <w:spacing w:after="0"/>
        <w:rPr>
          <w:sz w:val="20"/>
          <w:szCs w:val="20"/>
          <w:color w:val="auto"/>
        </w:rPr>
      </w:pPr>
      <w:r>
        <w:rPr>
          <w:rFonts w:ascii="Arial" w:cs="Arial" w:eastAsia="Arial" w:hAnsi="Arial"/>
          <w:sz w:val="16"/>
          <w:szCs w:val="16"/>
          <w:color w:val="auto"/>
        </w:rPr>
        <w:t>$2,000 and integral multiples of $1,000 in excess thereof</w:t>
      </w:r>
    </w:p>
    <w:p>
      <w:pPr>
        <w:spacing w:after="0" w:line="140" w:lineRule="exact"/>
        <w:rPr>
          <w:sz w:val="20"/>
          <w:szCs w:val="20"/>
          <w:color w:val="auto"/>
        </w:rPr>
      </w:pPr>
    </w:p>
    <w:p>
      <w:pPr>
        <w:sectPr>
          <w:pgSz w:w="11900" w:h="16838" w:orient="portrait"/>
          <w:cols w:equalWidth="0" w:num="2">
            <w:col w:w="3640" w:space="720"/>
            <w:col w:w="706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CUSIP: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87265K AE2</w:t>
      </w:r>
    </w:p>
    <w:p>
      <w:pPr>
        <w:spacing w:after="0" w:line="129" w:lineRule="exact"/>
        <w:rPr>
          <w:sz w:val="20"/>
          <w:szCs w:val="20"/>
          <w:color w:val="auto"/>
        </w:rPr>
      </w:pPr>
    </w:p>
    <w:p>
      <w:pPr>
        <w:sectPr>
          <w:pgSz w:w="11900" w:h="16838" w:orient="portrait"/>
          <w:cols w:equalWidth="0" w:num="2">
            <w:col w:w="3640" w:space="720"/>
            <w:col w:w="7060"/>
          </w:cols>
          <w:pgMar w:left="240" w:top="274" w:right="239" w:bottom="1440" w:gutter="0" w:footer="0" w:header="0"/>
          <w:type w:val="continuous"/>
        </w:sectPr>
      </w:pPr>
    </w:p>
    <w:p>
      <w:pPr>
        <w:spacing w:after="0"/>
        <w:rPr>
          <w:sz w:val="20"/>
          <w:szCs w:val="20"/>
          <w:color w:val="auto"/>
        </w:rPr>
      </w:pPr>
      <w:r>
        <w:rPr>
          <w:rFonts w:ascii="Arial" w:cs="Arial" w:eastAsia="Arial" w:hAnsi="Arial"/>
          <w:sz w:val="17"/>
          <w:szCs w:val="17"/>
          <w:color w:val="auto"/>
        </w:rPr>
        <w:t>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US87265KAE29</w:t>
      </w:r>
    </w:p>
    <w:p>
      <w:pPr>
        <w:spacing w:after="0" w:line="140" w:lineRule="exact"/>
        <w:rPr>
          <w:sz w:val="20"/>
          <w:szCs w:val="20"/>
          <w:color w:val="auto"/>
        </w:rPr>
      </w:pPr>
    </w:p>
    <w:p>
      <w:pPr>
        <w:sectPr>
          <w:pgSz w:w="11900" w:h="16838" w:orient="portrait"/>
          <w:cols w:equalWidth="0" w:num="2">
            <w:col w:w="3640" w:space="720"/>
            <w:col w:w="706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Merrill Lynch, Pierce, Fenner &amp; Smith</w:t>
      </w:r>
    </w:p>
    <w:p>
      <w:pPr>
        <w:spacing w:after="0" w:line="4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HSBC Securities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SunTrust Robinson Humphrey,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Raymond James &amp; Associates, Inc.</w:t>
      </w:r>
    </w:p>
    <w:p>
      <w:pPr>
        <w:spacing w:after="0" w:line="128" w:lineRule="exact"/>
        <w:rPr>
          <w:sz w:val="20"/>
          <w:szCs w:val="20"/>
          <w:color w:val="auto"/>
        </w:rPr>
      </w:pPr>
    </w:p>
    <w:p>
      <w:pPr>
        <w:sectPr>
          <w:pgSz w:w="11900" w:h="16838" w:orient="portrait"/>
          <w:cols w:equalWidth="0" w:num="2">
            <w:col w:w="3640" w:space="720"/>
            <w:col w:w="706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TPG Capital BD,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Comerica Securities, Inc.</w:t>
      </w:r>
    </w:p>
    <w:p>
      <w:pPr>
        <w:spacing w:after="0" w:line="200" w:lineRule="exact"/>
        <w:rPr>
          <w:sz w:val="20"/>
          <w:szCs w:val="20"/>
          <w:color w:val="auto"/>
        </w:rPr>
      </w:pPr>
    </w:p>
    <w:p>
      <w:pPr>
        <w:sectPr>
          <w:pgSz w:w="11900" w:h="16838" w:orient="portrait"/>
          <w:cols w:equalWidth="0" w:num="2">
            <w:col w:w="3640" w:space="720"/>
            <w:col w:w="7060"/>
          </w:cols>
          <w:pgMar w:left="240" w:top="274" w:right="239" w:bottom="1440" w:gutter="0" w:footer="0" w:header="0"/>
          <w:type w:val="continuous"/>
        </w:sect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  Note: A securities rating is not a recommendation to buy, sell or hold securities and may be subject to revision or withdrawal at any time.</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TPG Specialty Lending, Inc. expects that delivery of the Notes will be made to investors on or about January 22, 2018, which will be the third business day following the date hereof. Under Rule 15c6-1 under the Securities Exchange Act of 1934, as amended, trades in the secondary market are required to settle in two business days, unless the parties to any such trade expressly agree otherwise. Accordingly, purchasers who wish to trade Notes on the date hereof will be required by virtue of the fact that the Notes initially settle in T+3, to specify an alternate settlement arrangement at the time of any such trade to prevent a failed settlement. Purchasers of the Notes who wish to trade the Notes on the date hereof should consult their advisors.</w:t>
      </w:r>
    </w:p>
    <w:p>
      <w:pPr>
        <w:spacing w:after="0" w:line="154"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Investors are advised to carefully consider the investment objectives, risks, charges and expenses of TSLX before investing. The Preliminary Prospectus, which has been filed with the Securities and Exchange Commission, contains this and other information about TSLX and should be read carefully before investing.</w:t>
      </w:r>
    </w:p>
    <w:p>
      <w:pPr>
        <w:spacing w:after="0" w:line="18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in the Preliminary Prospectus and in this pricing term sheet is not complete and may be changed. The Preliminary Prospectus and this pricing term sheet are not offers to sell any securities of TSLX and are not soliciting an offer to buy such securities in any state or jurisdiction where such offer and sale is not permitted.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420"/>
          </w:cols>
          <w:pgMar w:left="240" w:top="274" w:right="239" w:bottom="1440" w:gutter="0" w:footer="0" w:header="0"/>
          <w:type w:val="continuous"/>
        </w:sectPr>
      </w:pPr>
    </w:p>
    <w:bookmarkStart w:id="50" w:name="page51"/>
    <w:bookmarkEnd w:id="50"/>
    <w:p>
      <w:pPr>
        <w:spacing w:after="0" w:line="27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issuer has filed a registration statement including a prospectus and a prospectus supplement with the SEC for the offering to which this communication relates. Before you invest, you should read the prospectus and prospectus supplement in that registration statement and other documents the issuer has filed with the SEC for more complete information about the issuer and this offering. You may obtain these documents for free by visiting EDGAR on the SEC Web site at www.sec.gov. Alternatively, the issuer, any underwriter or any dealer participating in the offering will arrange to send you the prospectus and the prospectus supplement if you request them by calling Merrill Lynch, Pierce, Fenner &amp; Smith Incorporated at 1-800-294-1322; Citigroup Global Markets Inc. at 1-800-831-9146; HSBC Securities (USA) Inc. at 866-811-8049; J.P. Morgan Securities LLC at 212-834-4533; or SunTrust Robinson Humphrey, Inc. at 800-685-4786.</w:t>
      </w:r>
    </w:p>
    <w:p>
      <w:pPr>
        <w:spacing w:after="0" w:line="17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Blank</w:t>
      </w:r>
      <w:r>
        <w:rPr>
          <w:rFonts w:ascii="Arial" w:cs="Arial" w:eastAsia="Arial" w:hAnsi="Arial"/>
          <w:sz w:val="18"/>
          <w:szCs w:val="18"/>
          <w:color w:val="auto"/>
        </w:rPr>
        <w:t>]</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260"/>
          </w:cols>
          <w:pgMar w:left="240" w:top="270" w:right="39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(l)(2)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6260465" cy="25126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60465" cy="251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January 22,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 Worth, TX 76102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acted as counsel to TPG Specialty Lending,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in connection with the Company’s offering</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pursuant to a registration statement on Form N-2 (No. 333-217207), as amended as of January 17, 2018 for purposes of Rule 430C(a) under the Securities Act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(as so amended,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and the prospectus, dated May 30, 2017 (the “</w:t>
      </w:r>
      <w:r>
        <w:rPr>
          <w:rFonts w:ascii="Arial" w:cs="Arial" w:eastAsia="Arial" w:hAnsi="Arial"/>
          <w:sz w:val="16"/>
          <w:szCs w:val="16"/>
          <w:u w:val="single" w:color="auto"/>
          <w:color w:val="auto"/>
        </w:rPr>
        <w:t>Base Prospectus</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 supplemented by the prospectus supplement, dated January 17, 2018 (the “</w:t>
      </w:r>
      <w:r>
        <w:rPr>
          <w:rFonts w:ascii="Arial" w:cs="Arial" w:eastAsia="Arial" w:hAnsi="Arial"/>
          <w:sz w:val="17"/>
          <w:szCs w:val="17"/>
          <w:u w:val="single" w:color="auto"/>
          <w:color w:val="auto"/>
        </w:rPr>
        <w:t>Prospectus Supplement</w:t>
      </w:r>
      <w:r>
        <w:rPr>
          <w:rFonts w:ascii="Arial" w:cs="Arial" w:eastAsia="Arial" w:hAnsi="Arial"/>
          <w:sz w:val="17"/>
          <w:szCs w:val="17"/>
          <w:color w:val="auto"/>
        </w:rPr>
        <w:t>” and, together with the Base Prospectus,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Prospectus</w:t>
      </w:r>
      <w:r>
        <w:rPr>
          <w:rFonts w:ascii="Arial" w:cs="Arial" w:eastAsia="Arial" w:hAnsi="Arial"/>
          <w:sz w:val="16"/>
          <w:szCs w:val="16"/>
          <w:color w:val="auto"/>
        </w:rPr>
        <w:t>”), of $150,000,000 aggregate principal amount of 4.50% Notes due 2023 (the “</w:t>
      </w:r>
      <w:r>
        <w:rPr>
          <w:rFonts w:ascii="Arial" w:cs="Arial" w:eastAsia="Arial" w:hAnsi="Arial"/>
          <w:sz w:val="16"/>
          <w:szCs w:val="16"/>
          <w:u w:val="single" w:color="auto"/>
          <w:color w:val="auto"/>
        </w:rPr>
        <w:t>Securities</w:t>
      </w:r>
      <w:r>
        <w:rPr>
          <w:rFonts w:ascii="Arial" w:cs="Arial" w:eastAsia="Arial" w:hAnsi="Arial"/>
          <w:sz w:val="16"/>
          <w:szCs w:val="16"/>
          <w:color w:val="auto"/>
        </w:rPr>
        <w:t>”). The Securities were issued pursuant to an indenture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dated as of January 22, 2018 (the “</w:t>
      </w:r>
      <w:r>
        <w:rPr>
          <w:rFonts w:ascii="Arial" w:cs="Arial" w:eastAsia="Arial" w:hAnsi="Arial"/>
          <w:sz w:val="17"/>
          <w:szCs w:val="17"/>
          <w:u w:val="single" w:color="auto"/>
          <w:color w:val="auto"/>
        </w:rPr>
        <w:t>Base Indenture</w:t>
      </w:r>
      <w:r>
        <w:rPr>
          <w:rFonts w:ascii="Arial" w:cs="Arial" w:eastAsia="Arial" w:hAnsi="Arial"/>
          <w:sz w:val="17"/>
          <w:szCs w:val="17"/>
          <w:color w:val="auto"/>
        </w:rPr>
        <w:t>”) between the Company and Wells Fargo Bank, National Association, as trustee (the “</w:t>
      </w:r>
      <w:r>
        <w:rPr>
          <w:rFonts w:ascii="Arial" w:cs="Arial" w:eastAsia="Arial" w:hAnsi="Arial"/>
          <w:sz w:val="17"/>
          <w:szCs w:val="17"/>
          <w:u w:val="single" w:color="auto"/>
          <w:color w:val="auto"/>
        </w:rPr>
        <w:t>Trustee</w:t>
      </w:r>
      <w:r>
        <w:rPr>
          <w:rFonts w:ascii="Arial" w:cs="Arial" w:eastAsia="Arial" w:hAnsi="Arial"/>
          <w:sz w:val="17"/>
          <w:szCs w:val="17"/>
          <w:color w:val="auto"/>
        </w:rPr>
        <w:t>”), 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supplemented by the First Supplemental Indenture thereto dated as of January 22, 2018 (the “</w:t>
      </w:r>
      <w:r>
        <w:rPr>
          <w:rFonts w:ascii="Arial" w:cs="Arial" w:eastAsia="Arial" w:hAnsi="Arial"/>
          <w:sz w:val="16"/>
          <w:szCs w:val="16"/>
          <w:u w:val="single" w:color="auto"/>
          <w:color w:val="auto"/>
        </w:rPr>
        <w:t>Supplemental Indenture</w:t>
      </w:r>
      <w:r>
        <w:rPr>
          <w:rFonts w:ascii="Arial" w:cs="Arial" w:eastAsia="Arial" w:hAnsi="Arial"/>
          <w:sz w:val="16"/>
          <w:szCs w:val="16"/>
          <w:color w:val="auto"/>
        </w:rPr>
        <w:t>” and, together with the Base Indenture,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Indenture</w:t>
      </w:r>
      <w:r>
        <w:rPr>
          <w:rFonts w:ascii="Arial" w:cs="Arial" w:eastAsia="Arial" w:hAnsi="Arial"/>
          <w:sz w:val="18"/>
          <w:szCs w:val="18"/>
          <w:color w:val="auto"/>
        </w:rPr>
        <w:t>”) between the Company and the Trustee.</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arriving at the opinion expressed below, we have reviewed the following documents:</w:t>
      </w:r>
    </w:p>
    <w:p>
      <w:pPr>
        <w:spacing w:after="0" w:line="131"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Prospectus;</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executed copy of the Underwriting Agreement, dated January 17, 2018, among the Company, TSL Advisers, LLC and the several underwriters named in Schedule 1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74295</wp:posOffset>
            </wp:positionV>
            <wp:extent cx="384175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41750" cy="15430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TPG Specialty Lending, Inc., p. 2</w:t>
      </w:r>
    </w:p>
    <w:p>
      <w:pPr>
        <w:spacing w:after="0" w:line="158"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copy of the Securities in global form as executed by the Company and authenticated by the Trustee;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executed copies of the Base Indenture and the Supplemental Indenture; and</w:t>
      </w:r>
    </w:p>
    <w:p>
      <w:pPr>
        <w:spacing w:after="0" w:line="130" w:lineRule="exact"/>
        <w:rPr>
          <w:rFonts w:ascii="Arial" w:cs="Arial" w:eastAsia="Arial" w:hAnsi="Arial"/>
          <w:sz w:val="18"/>
          <w:szCs w:val="18"/>
          <w:color w:val="auto"/>
        </w:rPr>
      </w:pPr>
    </w:p>
    <w:p>
      <w:pPr>
        <w:jc w:val="both"/>
        <w:ind w:left="900" w:right="580" w:hanging="446"/>
        <w:spacing w:after="0" w:line="264"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copies of the Company’s Amended and Restated Certificate of Incorporation and Certificate of Amendment to the Amended and Restated Certificate of Incorporation, each certified by the Secretary of State of the State of Delaware, and the Company’s Bylaws, certified by the Secretary of the Company.</w:t>
      </w:r>
    </w:p>
    <w:p>
      <w:pPr>
        <w:spacing w:after="0" w:line="181"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In addition, we have reviewed the originals or copies certified or otherwise identified to our satisfaction of all such corporate records of the Company and such other documents, and we have made such investigations of law, as we have deemed appropriate as a basis for the opinion expressed below.</w:t>
      </w:r>
    </w:p>
    <w:p>
      <w:pPr>
        <w:spacing w:after="0" w:line="124"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In rendering the opinion expressed below, we have assumed the authenticity of all documents submitted to us as originals and the conformity to the originals of all documents submitted to us as copies. In addition, we have assumed and have not verified the accuracy as to factual matters of each document we have reviewed.</w:t>
      </w:r>
    </w:p>
    <w:p>
      <w:pPr>
        <w:spacing w:after="0" w:line="18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Based on the foregoing, and subject to the further assumptions and qualifications set forth below, it is our opinion that the Securities are the valid, binding and enforceable obligations of the Company, entitled to the benefits of the Indenture.</w:t>
      </w:r>
    </w:p>
    <w:p>
      <w:pPr>
        <w:spacing w:after="0" w:line="17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Insofar as the foregoing opinions relate to the valid existence and good standing of the Company or any Subsidiary, they are based solely on confirmation from public officials. Insofar as the foregoing opinion relates to the validity, binding effect or enforceability of any agreement or obligation of the Company, (x) we have assumed that the Company and each other party to such agreement or obligation has satisfied those legal requirements that are applicable to it to the extent necessary to make such agreement or obligation enforceable against it (except that no such assumption is made as to the Company regarding matters of the law of the State of New York or the General Corporation Law of the State of Delaware that in our experience normally would be applicable to general business entities with respect to such agreement or obligation), (y) we express no opinion with respect to the effect of any mandatory choice of law rules and (z) such opinion is subject to applicable bankruptcy, insolvency and similar laws affecting creditors’ rights generally and to general principles of equity.</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foregoing opinion is limited to the law of the State of New York and the General Corporation Law of the State of Delaware.</w:t>
      </w:r>
    </w:p>
    <w:p>
      <w:pPr>
        <w:spacing w:after="0" w:line="22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hereby consent to the use of our name in the Prospectus Supplement and the Prospectus under the headings “Legal Matters” as counsel for the Company that has passed on the validity of the Securities, and to the use of this opinion as a part (Exhibit (l)(2)) of the Registration Statement. In giving this consent, we do not thereby admit that we are within the category of persons whose consent is required under Section 7 of the Securities Act or the rules and regulations of the Securities and Exchange Commission thereunder.</w:t>
      </w:r>
    </w:p>
    <w:p>
      <w:pPr>
        <w:sectPr>
          <w:pgSz w:w="11900" w:h="16838" w:orient="portrait"/>
          <w:cols w:equalWidth="0" w:num="1">
            <w:col w:w="11400"/>
          </w:cols>
          <w:pgMar w:left="240" w:top="274" w:right="25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TPG Specialty Lending, Inc., p. 3</w:t>
      </w:r>
    </w:p>
    <w:p>
      <w:pPr>
        <w:spacing w:after="0" w:line="158"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The opinion expressed herein is rendered on and as of the date hereof, and we assume no obligation to advise you or any other person, or to make any investigations, as to any legal developments or factual matters arising subsequent to the date hereof that might affect the opinion expressed herein.</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CLEARY GOTTLIEB STEEN &amp; HAMILTON LLP</w:t>
      </w:r>
    </w:p>
    <w:p>
      <w:pPr>
        <w:spacing w:after="0" w:line="225" w:lineRule="exact"/>
        <w:rPr>
          <w:sz w:val="20"/>
          <w:szCs w:val="20"/>
          <w:color w:val="auto"/>
        </w:rPr>
      </w:pPr>
    </w:p>
    <w:p>
      <w:pPr>
        <w:ind w:left="6860"/>
        <w:spacing w:after="0"/>
        <w:tabs>
          <w:tab w:leader="none" w:pos="8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Adam E. Fleisher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Adam E. Fleisher, a Partner</w:t>
      </w:r>
    </w:p>
    <w:sectPr>
      <w:pgSz w:w="11900" w:h="16838" w:orient="portrait"/>
      <w:cols w:equalWidth="0" w:num="1">
        <w:col w:w="11260"/>
      </w:cols>
      <w:pgMar w:left="240" w:top="27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1)"/>
      <w:numFmt w:val="lowerLetter"/>
      <w:start w:val="2"/>
    </w:lvl>
  </w:abstractNum>
  <w:abstractNum w:abstractNumId="1">
    <w:nsid w:val="22221A70"/>
    <w:multiLevelType w:val="hybridMultilevel"/>
    <w:lvl w:ilvl="0">
      <w:lvlJc w:val="left"/>
      <w:lvlText w:val="(%1)"/>
      <w:numFmt w:val="lowerLetter"/>
      <w:start w:val="3"/>
    </w:lvl>
  </w:abstractNum>
  <w:abstractNum w:abstractNumId="2">
    <w:nsid w:val="4516DDE9"/>
    <w:multiLevelType w:val="hybridMultilevel"/>
    <w:lvl w:ilvl="0">
      <w:lvlJc w:val="left"/>
      <w:lvlText w:val="(%1)"/>
      <w:numFmt w:val="lowerLetter"/>
      <w:start w:val="5"/>
    </w:lvl>
  </w:abstractNum>
  <w:abstractNum w:abstractNumId="3">
    <w:nsid w:val="3006C83E"/>
    <w:multiLevelType w:val="hybridMultilevel"/>
    <w:lvl w:ilvl="0">
      <w:lvlJc w:val="left"/>
      <w:lvlText w:val="(%1)"/>
      <w:numFmt w:val="lowerLetter"/>
      <w:start w:val="9"/>
    </w:lvl>
  </w:abstractNum>
  <w:abstractNum w:abstractNumId="4">
    <w:nsid w:val="614FD4A1"/>
    <w:multiLevelType w:val="hybridMultilevel"/>
    <w:lvl w:ilvl="0">
      <w:lvlJc w:val="left"/>
      <w:lvlText w:val="(%1)"/>
      <w:numFmt w:val="lowerLetter"/>
      <w:start w:val="13"/>
    </w:lvl>
  </w:abstractNum>
  <w:abstractNum w:abstractNumId="5">
    <w:nsid w:val="419AC241"/>
    <w:multiLevelType w:val="hybridMultilevel"/>
    <w:lvl w:ilvl="0">
      <w:lvlJc w:val="left"/>
      <w:lvlText w:val="(%1)"/>
      <w:numFmt w:val="lowerLetter"/>
      <w:start w:val="15"/>
    </w:lvl>
  </w:abstractNum>
  <w:abstractNum w:abstractNumId="6">
    <w:nsid w:val="5577F8E1"/>
    <w:multiLevelType w:val="hybridMultilevel"/>
    <w:lvl w:ilvl="0">
      <w:lvlJc w:val="left"/>
      <w:lvlText w:val="(%1)"/>
      <w:numFmt w:val="decimal"/>
      <w:start w:val="1"/>
    </w:lvl>
  </w:abstractNum>
  <w:abstractNum w:abstractNumId="7">
    <w:nsid w:val="440BADFC"/>
    <w:multiLevelType w:val="hybridMultilevel"/>
    <w:lvl w:ilvl="0">
      <w:lvlJc w:val="left"/>
      <w:lvlText w:val="(%1)"/>
      <w:numFmt w:val="decimal"/>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1)"/>
      <w:numFmt w:val="decimal"/>
      <w:start w:val="1"/>
    </w:lvl>
  </w:abstractNum>
  <w:abstractNum w:abstractNumId="10">
    <w:nsid w:val="77465F01"/>
    <w:multiLevelType w:val="hybridMultilevel"/>
    <w:lvl w:ilvl="0">
      <w:lvlJc w:val="left"/>
      <w:lvlText w:val="(%1)"/>
      <w:numFmt w:val="decimal"/>
      <w:start w:val="1"/>
    </w:lvl>
  </w:abstractNum>
  <w:abstractNum w:abstractNumId="11">
    <w:nsid w:val="7724C67E"/>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2">
    <w:nsid w:val="5C482A97"/>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3">
    <w:nsid w:val="2463B9E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4">
    <w:nsid w:val="5E884ADC"/>
    <w:multiLevelType w:val="hybridMultilevel"/>
    <w:lvl w:ilvl="0">
      <w:lvlJc w:val="left"/>
      <w:lvlText w:val="%1."/>
      <w:numFmt w:val="decimal"/>
      <w:start w:val="1"/>
    </w:lvl>
  </w:abstractNum>
  <w:abstractNum w:abstractNumId="15">
    <w:nsid w:val="51EAD36B"/>
    <w:multiLevelType w:val="hybridMultilevel"/>
    <w:lvl w:ilvl="0">
      <w:lvlJc w:val="left"/>
      <w:lvlText w:val="%1."/>
      <w:numFmt w:val="decimal"/>
      <w:start w:val="2"/>
    </w:lvl>
    <w:lvl w:ilvl="1">
      <w:lvlJc w:val="left"/>
      <w:lvlText w:val="(%2)"/>
      <w:numFmt w:val="lowerLetter"/>
      <w:start w:val="1"/>
    </w:lvl>
  </w:abstractNum>
  <w:abstractNum w:abstractNumId="16">
    <w:nsid w:val="2D517796"/>
    <w:multiLevelType w:val="hybridMultilevel"/>
    <w:lvl w:ilvl="0">
      <w:lvlJc w:val="left"/>
      <w:lvlText w:val="(%1)"/>
      <w:numFmt w:val="lowerLetter"/>
      <w:start w:val="4"/>
    </w:lvl>
  </w:abstractNum>
  <w:abstractNum w:abstractNumId="17">
    <w:nsid w:val="580BD78F"/>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18">
    <w:nsid w:val="153EA438"/>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19">
    <w:nsid w:val="3855585C"/>
    <w:multiLevelType w:val="hybridMultilevel"/>
    <w:lvl w:ilvl="0">
      <w:lvlJc w:val="left"/>
      <w:lvlText w:val="%1"/>
      <w:numFmt w:val="lowerLetter"/>
      <w:start w:val="1"/>
    </w:lvl>
    <w:lvl w:ilvl="1">
      <w:lvlJc w:val="left"/>
      <w:lvlText w:val="(%2)"/>
      <w:numFmt w:val="lowerLetter"/>
      <w:start w:val="4"/>
    </w:lvl>
  </w:abstractNum>
  <w:abstractNum w:abstractNumId="20">
    <w:nsid w:val="70A64E2A"/>
    <w:multiLevelType w:val="hybridMultilevel"/>
    <w:lvl w:ilvl="0">
      <w:lvlJc w:val="left"/>
      <w:lvlText w:val="(%1)"/>
      <w:numFmt w:val="lowerLetter"/>
      <w:start w:val="9"/>
    </w:lvl>
    <w:lvl w:ilvl="1">
      <w:lvlJc w:val="left"/>
      <w:lvlText w:val="(%2)"/>
      <w:numFmt w:val="lowerLetter"/>
      <w:start w:val="6"/>
    </w:lvl>
  </w:abstractNum>
  <w:abstractNum w:abstractNumId="21">
    <w:nsid w:val="6A2342EC"/>
    <w:multiLevelType w:val="hybridMultilevel"/>
    <w:lvl w:ilvl="0">
      <w:lvlJc w:val="left"/>
      <w:lvlText w:val="(%1)"/>
      <w:numFmt w:val="lowerLetter"/>
      <w:start w:val="7"/>
    </w:lvl>
  </w:abstractNum>
  <w:abstractNum w:abstractNumId="22">
    <w:nsid w:val="2A487CB0"/>
    <w:multiLevelType w:val="hybridMultilevel"/>
    <w:lvl w:ilvl="0">
      <w:lvlJc w:val="left"/>
      <w:lvlText w:val="(%1)"/>
      <w:numFmt w:val="lowerLetter"/>
      <w:start w:val="11"/>
    </w:lvl>
  </w:abstractNum>
  <w:abstractNum w:abstractNumId="23">
    <w:nsid w:val="1D4ED43B"/>
    <w:multiLevelType w:val="hybridMultilevel"/>
    <w:lvl w:ilvl="0">
      <w:lvlJc w:val="left"/>
      <w:lvlText w:val="(%1)"/>
      <w:numFmt w:val="lowerLetter"/>
      <w:start w:val="17"/>
    </w:lvl>
  </w:abstractNum>
  <w:abstractNum w:abstractNumId="24">
    <w:nsid w:val="725A06FB"/>
    <w:multiLevelType w:val="hybridMultilevel"/>
    <w:lvl w:ilvl="0">
      <w:lvlJc w:val="left"/>
      <w:lvlText w:val="(%1)"/>
      <w:numFmt w:val="lowerLetter"/>
      <w:start w:val="19"/>
    </w:lvl>
  </w:abstractNum>
  <w:abstractNum w:abstractNumId="25">
    <w:nsid w:val="2CD89A32"/>
    <w:multiLevelType w:val="hybridMultilevel"/>
    <w:lvl w:ilvl="0">
      <w:lvlJc w:val="left"/>
      <w:lvlText w:val="(%1)"/>
      <w:numFmt w:val="lowerLetter"/>
      <w:start w:val="24"/>
    </w:lvl>
  </w:abstractNum>
  <w:abstractNum w:abstractNumId="26">
    <w:nsid w:val="57E4CCAF"/>
    <w:multiLevelType w:val="hybridMultilevel"/>
    <w:lvl w:ilvl="0">
      <w:lvlJc w:val="left"/>
      <w:lvlText w:val="(%1)"/>
      <w:numFmt w:val="lowerLetter"/>
      <w:start w:val="27"/>
    </w:lvl>
  </w:abstractNum>
  <w:abstractNum w:abstractNumId="27">
    <w:nsid w:val="7A6D8D3C"/>
    <w:multiLevelType w:val="hybridMultilevel"/>
    <w:lvl w:ilvl="0">
      <w:lvlJc w:val="left"/>
      <w:lvlText w:val="(%1)"/>
      <w:numFmt w:val="lowerLetter"/>
      <w:start w:val="28"/>
    </w:lvl>
  </w:abstractNum>
  <w:abstractNum w:abstractNumId="28">
    <w:nsid w:val="4B588F54"/>
    <w:multiLevelType w:val="hybridMultilevel"/>
    <w:lvl w:ilvl="0">
      <w:lvlJc w:val="left"/>
      <w:lvlText w:val="(%1)"/>
      <w:numFmt w:val="lowerLetter"/>
      <w:start w:val="31"/>
    </w:lvl>
  </w:abstractNum>
  <w:abstractNum w:abstractNumId="29">
    <w:nsid w:val="542289EC"/>
    <w:multiLevelType w:val="hybridMultilevel"/>
    <w:lvl w:ilvl="0">
      <w:lvlJc w:val="left"/>
      <w:lvlText w:val="(%1)"/>
      <w:numFmt w:val="lowerLetter"/>
      <w:start w:val="34"/>
    </w:lvl>
  </w:abstractNum>
  <w:abstractNum w:abstractNumId="30">
    <w:nsid w:val="6DE91B1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9"/>
    </w:lvl>
  </w:abstractNum>
  <w:abstractNum w:abstractNumId="31">
    <w:nsid w:val="38437FDB"/>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32">
    <w:nsid w:val="7644A45C"/>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33">
    <w:nsid w:val="32FFF902"/>
    <w:multiLevelType w:val="hybridMultilevel"/>
    <w:lvl w:ilvl="0">
      <w:lvlJc w:val="left"/>
      <w:lvlText w:val="(%1)"/>
      <w:numFmt w:val="lowerLetter"/>
      <w:start w:val="3"/>
    </w:lvl>
  </w:abstractNum>
  <w:abstractNum w:abstractNumId="34">
    <w:nsid w:val="684A481A"/>
    <w:multiLevelType w:val="hybridMultilevel"/>
    <w:lvl w:ilvl="0">
      <w:lvlJc w:val="left"/>
      <w:lvlText w:val="(%1)"/>
      <w:numFmt w:val="lowerLetter"/>
      <w:start w:val="8"/>
    </w:lvl>
  </w:abstractNum>
  <w:abstractNum w:abstractNumId="35">
    <w:nsid w:val="579478FE"/>
    <w:multiLevelType w:val="hybridMultilevel"/>
    <w:lvl w:ilvl="0">
      <w:lvlJc w:val="left"/>
      <w:lvlText w:val="%1"/>
      <w:numFmt w:val="lowerLetter"/>
      <w:start w:val="1"/>
    </w:lvl>
    <w:lvl w:ilvl="1">
      <w:lvlJc w:val="left"/>
      <w:lvlText w:val="(%2)"/>
      <w:numFmt w:val="lowerLetter"/>
      <w:start w:val="11"/>
    </w:lvl>
  </w:abstractNum>
  <w:abstractNum w:abstractNumId="36">
    <w:nsid w:val="749ABB43"/>
    <w:multiLevelType w:val="hybridMultilevel"/>
    <w:lvl w:ilvl="0">
      <w:lvlJc w:val="left"/>
      <w:lvlText w:val="(%1)"/>
      <w:numFmt w:val="lowerLetter"/>
      <w:start w:val="9"/>
    </w:lvl>
    <w:lvl w:ilvl="1">
      <w:lvlJc w:val="left"/>
      <w:lvlText w:val="(%2)"/>
      <w:numFmt w:val="lowerLetter"/>
      <w:start w:val="14"/>
    </w:lvl>
  </w:abstractNum>
  <w:abstractNum w:abstractNumId="37">
    <w:nsid w:val="3DC240FB"/>
    <w:multiLevelType w:val="hybridMultilevel"/>
    <w:lvl w:ilvl="0">
      <w:lvlJc w:val="left"/>
      <w:lvlText w:val="%1"/>
      <w:numFmt w:val="decimal"/>
      <w:start w:val="1"/>
    </w:lvl>
    <w:lvl w:ilvl="1">
      <w:lvlJc w:val="left"/>
      <w:lvlText w:val="(%2)"/>
      <w:numFmt w:val="lowerLetter"/>
      <w:start w:val="16"/>
    </w:lvl>
  </w:abstractNum>
  <w:abstractNum w:abstractNumId="38">
    <w:nsid w:val="1BA026FA"/>
    <w:multiLevelType w:val="hybridMultilevel"/>
    <w:lvl w:ilvl="0">
      <w:lvlJc w:val="left"/>
      <w:lvlText w:val="%1."/>
      <w:numFmt w:val="decimal"/>
      <w:start w:val="5"/>
    </w:lvl>
    <w:lvl w:ilvl="1">
      <w:lvlJc w:val="left"/>
      <w:lvlText w:val="(%2)"/>
      <w:numFmt w:val="lowerLetter"/>
      <w:start w:val="1"/>
    </w:lvl>
  </w:abstractNum>
  <w:abstractNum w:abstractNumId="39">
    <w:nsid w:val="79A1DEAA"/>
    <w:multiLevelType w:val="hybridMultilevel"/>
    <w:lvl w:ilvl="0">
      <w:lvlJc w:val="left"/>
      <w:lvlText w:val="(%1)"/>
      <w:numFmt w:val="lowerLetter"/>
      <w:start w:val="2"/>
    </w:lvl>
  </w:abstractNum>
  <w:abstractNum w:abstractNumId="40">
    <w:nsid w:val="75C6C33A"/>
    <w:multiLevelType w:val="hybridMultilevel"/>
    <w:lvl w:ilvl="0">
      <w:lvlJc w:val="left"/>
      <w:lvlText w:val="%1"/>
      <w:numFmt w:val="lowerLetter"/>
      <w:start w:val="1"/>
    </w:lvl>
    <w:lvl w:ilvl="1">
      <w:lvlJc w:val="left"/>
      <w:lvlText w:val="(%2)"/>
      <w:numFmt w:val="lowerLetter"/>
      <w:start w:val="5"/>
    </w:lvl>
  </w:abstractNum>
  <w:abstractNum w:abstractNumId="41">
    <w:nsid w:val="12E685FB"/>
    <w:multiLevelType w:val="hybridMultilevel"/>
    <w:lvl w:ilvl="0">
      <w:lvlJc w:val="left"/>
      <w:lvlText w:val="(%1)"/>
      <w:numFmt w:val="lowerLetter"/>
      <w:start w:val="35"/>
    </w:lvl>
    <w:lvl w:ilvl="1">
      <w:lvlJc w:val="left"/>
      <w:lvlText w:val="(%2)"/>
      <w:numFmt w:val="lowerLetter"/>
      <w:start w:val="6"/>
    </w:lvl>
  </w:abstractNum>
  <w:abstractNum w:abstractNumId="42">
    <w:nsid w:val="70C6A529"/>
    <w:multiLevelType w:val="hybridMultilevel"/>
    <w:lvl w:ilvl="0">
      <w:lvlJc w:val="left"/>
      <w:lvlText w:val="(%1)"/>
      <w:numFmt w:val="lowerLetter"/>
      <w:start w:val="8"/>
    </w:lvl>
  </w:abstractNum>
  <w:abstractNum w:abstractNumId="43">
    <w:nsid w:val="520EEDD1"/>
    <w:multiLevelType w:val="hybridMultilevel"/>
    <w:lvl w:ilvl="0">
      <w:lvlJc w:val="left"/>
      <w:lvlText w:val="%1"/>
      <w:numFmt w:val="decimal"/>
      <w:start w:val="1"/>
    </w:lvl>
    <w:lvl w:ilvl="1">
      <w:lvlJc w:val="left"/>
      <w:lvlText w:val="(%2)"/>
      <w:numFmt w:val="lowerLetter"/>
      <w:start w:val="15"/>
    </w:lvl>
  </w:abstractNum>
  <w:abstractNum w:abstractNumId="44">
    <w:nsid w:val="374A3FE6"/>
    <w:multiLevelType w:val="hybridMultilevel"/>
    <w:lvl w:ilvl="0">
      <w:lvlJc w:val="left"/>
      <w:lvlText w:val="%1."/>
      <w:numFmt w:val="decimal"/>
      <w:start w:val="6"/>
    </w:lvl>
    <w:lvl w:ilvl="1">
      <w:lvlJc w:val="left"/>
      <w:lvlText w:val="(%2)"/>
      <w:numFmt w:val="lowerLetter"/>
      <w:start w:val="1"/>
    </w:lvl>
  </w:abstractNum>
  <w:abstractNum w:abstractNumId="45">
    <w:nsid w:val="4F4EF005"/>
    <w:multiLevelType w:val="hybridMultilevel"/>
    <w:lvl w:ilvl="0">
      <w:lvlJc w:val="left"/>
      <w:lvlText w:val="(%1)"/>
      <w:numFmt w:val="lowerLetter"/>
      <w:start w:val="3"/>
    </w:lvl>
  </w:abstractNum>
  <w:abstractNum w:abstractNumId="46">
    <w:nsid w:val="23F9C13C"/>
    <w:multiLevelType w:val="hybridMultilevel"/>
    <w:lvl w:ilvl="0">
      <w:lvlJc w:val="left"/>
      <w:lvlText w:val="(%1)"/>
      <w:numFmt w:val="lowerLetter"/>
      <w:start w:val="7"/>
    </w:lvl>
  </w:abstractNum>
  <w:abstractNum w:abstractNumId="47">
    <w:nsid w:val="649BB77C"/>
    <w:multiLevelType w:val="hybridMultilevel"/>
    <w:lvl w:ilvl="0">
      <w:lvlJc w:val="left"/>
      <w:lvlText w:val="(%1)"/>
      <w:numFmt w:val="lowerLetter"/>
      <w:start w:val="13"/>
    </w:lvl>
  </w:abstractNum>
  <w:abstractNum w:abstractNumId="48">
    <w:nsid w:val="275AC794"/>
    <w:multiLevelType w:val="hybridMultilevel"/>
    <w:lvl w:ilvl="0">
      <w:lvlJc w:val="left"/>
      <w:lvlText w:val="%1."/>
      <w:numFmt w:val="decimal"/>
      <w:start w:val="8"/>
    </w:lvl>
    <w:lvl w:ilvl="1">
      <w:lvlJc w:val="left"/>
      <w:lvlText w:val="(%2)"/>
      <w:numFmt w:val="lowerLetter"/>
      <w:start w:val="1"/>
    </w:lvl>
  </w:abstractNum>
  <w:abstractNum w:abstractNumId="49">
    <w:nsid w:val="39386575"/>
    <w:multiLevelType w:val="hybridMultilevel"/>
    <w:lvl w:ilvl="0">
      <w:lvlJc w:val="left"/>
      <w:lvlText w:val="(%1)"/>
      <w:numFmt w:val="lowerLetter"/>
      <w:start w:val="3"/>
    </w:lvl>
  </w:abstractNum>
  <w:abstractNum w:abstractNumId="50">
    <w:nsid w:val="1CF10FD8"/>
    <w:multiLevelType w:val="hybridMultilevel"/>
    <w:lvl w:ilvl="0">
      <w:lvlJc w:val="left"/>
      <w:lvlText w:val="(%1)"/>
      <w:numFmt w:val="lowerLetter"/>
      <w:start w:val="4"/>
    </w:lvl>
  </w:abstractNum>
  <w:abstractNum w:abstractNumId="51">
    <w:nsid w:val="180115BE"/>
    <w:multiLevelType w:val="hybridMultilevel"/>
    <w:lvl w:ilvl="0">
      <w:lvlJc w:val="left"/>
      <w:lvlText w:val="%1"/>
      <w:numFmt w:val="decimal"/>
      <w:start w:val="1"/>
    </w:lvl>
    <w:lvl w:ilvl="1">
      <w:lvlJc w:val="left"/>
      <w:lvlText w:val="(%2)"/>
      <w:numFmt w:val="lowerLetter"/>
      <w:start w:val="6"/>
    </w:lvl>
  </w:abstractNum>
  <w:abstractNum w:abstractNumId="52">
    <w:nsid w:val="235BA861"/>
    <w:multiLevelType w:val="hybridMultilevel"/>
    <w:lvl w:ilvl="0">
      <w:lvlJc w:val="left"/>
      <w:lvlText w:val="%1."/>
      <w:numFmt w:val="decimal"/>
      <w:start w:val="9"/>
    </w:lvl>
    <w:lvl w:ilvl="1">
      <w:lvlJc w:val="left"/>
      <w:lvlText w:val="(%2)"/>
      <w:numFmt w:val="lowerLetter"/>
      <w:start w:val="1"/>
    </w:lvl>
  </w:abstractNum>
  <w:abstractNum w:abstractNumId="53">
    <w:nsid w:val="47398C8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54">
    <w:nsid w:val="354FE9F9"/>
    <w:multiLevelType w:val="hybridMultilevel"/>
    <w:lvl w:ilvl="0">
      <w:lvlJc w:val="left"/>
      <w:lvlText w:val="%1"/>
      <w:numFmt w:val="lowerLetter"/>
      <w:start w:val="1"/>
    </w:lvl>
    <w:lvl w:ilvl="1">
      <w:lvlJc w:val="left"/>
      <w:lvlText w:val="%2."/>
      <w:numFmt w:val="decimal"/>
      <w:start w:val="12"/>
    </w:lvl>
    <w:lvl w:ilvl="2">
      <w:lvlJc w:val="left"/>
      <w:lvlText w:val="(%3)"/>
      <w:numFmt w:val="lowerLetter"/>
      <w:start w:val="1"/>
    </w:lvl>
  </w:abstractNum>
  <w:abstractNum w:abstractNumId="55">
    <w:nsid w:val="15B5AF5C"/>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56">
    <w:nsid w:val="741226BB"/>
    <w:multiLevelType w:val="hybridMultilevel"/>
    <w:lvl w:ilvl="0">
      <w:lvlJc w:val="left"/>
      <w:lvlText w:val="%1"/>
      <w:numFmt w:val="decimal"/>
      <w:start w:val="1"/>
    </w:lvl>
    <w:lvl w:ilvl="1">
      <w:lvlJc w:val="left"/>
      <w:lvlText w:val="(%2)"/>
      <w:numFmt w:val="lowerLetter"/>
      <w:start w:val="2"/>
    </w:lvl>
  </w:abstractNum>
  <w:abstractNum w:abstractNumId="57">
    <w:nsid w:val="D34B6A8"/>
    <w:multiLevelType w:val="hybridMultilevel"/>
    <w:lvl w:ilvl="0">
      <w:lvlJc w:val="left"/>
      <w:lvlText w:val="%1."/>
      <w:numFmt w:val="decimal"/>
      <w:start w:val="13"/>
    </w:lvl>
    <w:lvl w:ilvl="1">
      <w:lvlJc w:val="left"/>
      <w:lvlText w:val="%2"/>
      <w:numFmt w:val="lowerLetter"/>
      <w:start w:val="1"/>
    </w:lvl>
  </w:abstractNum>
  <w:abstractNum w:abstractNumId="58">
    <w:nsid w:val="10233C99"/>
    <w:multiLevelType w:val="hybridMultilevel"/>
    <w:lvl w:ilvl="0">
      <w:lvlJc w:val="left"/>
      <w:lvlText w:val="%1."/>
      <w:numFmt w:val="decimal"/>
      <w:start w:val="16"/>
    </w:lvl>
    <w:lvl w:ilvl="1">
      <w:lvlJc w:val="left"/>
      <w:lvlText w:val="(%2)"/>
      <w:numFmt w:val="lowerLetter"/>
      <w:start w:val="1"/>
    </w:lvl>
  </w:abstractNum>
  <w:abstractNum w:abstractNumId="59">
    <w:nsid w:val="3F6AB60F"/>
    <w:multiLevelType w:val="hybridMultilevel"/>
    <w:lvl w:ilvl="0">
      <w:lvlJc w:val="left"/>
      <w:lvlText w:val="%1."/>
      <w:numFmt w:val="decimal"/>
      <w:start w:val="1"/>
    </w:lvl>
  </w:abstractNum>
  <w:abstractNum w:abstractNumId="60">
    <w:nsid w:val="61574095"/>
    <w:multiLevelType w:val="hybridMultilevel"/>
    <w:lvl w:ilvl="0">
      <w:lvlJc w:val="left"/>
      <w:lvlText w:val="%1."/>
      <w:numFmt w:val="decimal"/>
      <w:start w:val="1"/>
    </w:lvl>
  </w:abstractNum>
  <w:abstractNum w:abstractNumId="61">
    <w:nsid w:val="7E0C57B1"/>
    <w:multiLevelType w:val="hybridMultilevel"/>
    <w:lvl w:ilvl="0">
      <w:lvlJc w:val="left"/>
      <w:lvlText w:val="(%1)"/>
      <w:numFmt w:val="lowerLetter"/>
      <w:start w:val="1"/>
    </w:lvl>
  </w:abstractNum>
  <w:abstractNum w:abstractNumId="62">
    <w:nsid w:val="77AE35E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2019-12-07T21:49:04Z</dcterms:created>
  <dcterms:modified xsi:type="dcterms:W3CDTF">2019-12-07T21:49:04Z</dcterms:modified>
</cp:coreProperties>
</file>