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May 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60" w:type="dxa"/>
            <w:vAlign w:val="bottom"/>
          </w:tcPr>
          <w:p>
            <w:pPr>
              <w:jc w:val="center"/>
              <w:ind w:right="2399"/>
              <w:spacing w:after="0"/>
              <w:rPr>
                <w:sz w:val="20"/>
                <w:szCs w:val="20"/>
                <w:color w:val="auto"/>
              </w:rPr>
            </w:pPr>
            <w:r>
              <w:rPr>
                <w:rFonts w:ascii="Arial" w:cs="Arial" w:eastAsia="Arial" w:hAnsi="Arial"/>
                <w:sz w:val="18"/>
                <w:szCs w:val="18"/>
                <w:b w:val="1"/>
                <w:bCs w:val="1"/>
                <w:color w:val="auto"/>
                <w:w w:val="91"/>
              </w:rPr>
              <w:t>Delaware</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001-36364</w:t>
            </w:r>
          </w:p>
        </w:tc>
        <w:tc>
          <w:tcPr>
            <w:tcW w:w="2520" w:type="dxa"/>
            <w:vAlign w:val="bottom"/>
          </w:tcPr>
          <w:p>
            <w:pPr>
              <w:jc w:val="center"/>
              <w:ind w:left="1321"/>
              <w:spacing w:after="0"/>
              <w:rPr>
                <w:sz w:val="20"/>
                <w:szCs w:val="20"/>
                <w:color w:val="auto"/>
              </w:rPr>
            </w:pPr>
            <w:r>
              <w:rPr>
                <w:rFonts w:ascii="Arial" w:cs="Arial" w:eastAsia="Arial" w:hAnsi="Arial"/>
                <w:sz w:val="18"/>
                <w:szCs w:val="18"/>
                <w:b w:val="1"/>
                <w:bCs w:val="1"/>
                <w:color w:val="auto"/>
                <w:w w:val="91"/>
              </w:rPr>
              <w:t>27-3380000</w:t>
            </w:r>
          </w:p>
        </w:tc>
      </w:tr>
      <w:tr>
        <w:trPr>
          <w:trHeight w:val="149"/>
        </w:trPr>
        <w:tc>
          <w:tcPr>
            <w:tcW w:w="416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60" w:type="dxa"/>
            <w:vAlign w:val="bottom"/>
          </w:tcPr>
          <w:p>
            <w:pPr>
              <w:jc w:val="center"/>
              <w:ind w:right="2379"/>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4160" w:type="dxa"/>
            <w:vAlign w:val="bottom"/>
          </w:tcPr>
          <w:p>
            <w:pPr>
              <w:jc w:val="center"/>
              <w:ind w:left="1219"/>
              <w:spacing w:after="0"/>
              <w:rPr>
                <w:sz w:val="20"/>
                <w:szCs w:val="20"/>
                <w:color w:val="auto"/>
              </w:rPr>
            </w:pPr>
            <w:r>
              <w:rPr>
                <w:rFonts w:ascii="Arial" w:cs="Arial" w:eastAsia="Arial" w:hAnsi="Arial"/>
                <w:sz w:val="18"/>
                <w:szCs w:val="18"/>
                <w:b w:val="1"/>
                <w:bCs w:val="1"/>
                <w:color w:val="auto"/>
                <w:w w:val="89"/>
              </w:rPr>
              <w:t>301 Commerce Street, Suite 3300</w:t>
            </w:r>
          </w:p>
        </w:tc>
        <w:tc>
          <w:tcPr>
            <w:tcW w:w="2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60" w:type="dxa"/>
            <w:vAlign w:val="bottom"/>
          </w:tcPr>
          <w:p>
            <w:pPr>
              <w:jc w:val="center"/>
              <w:ind w:left="1219"/>
              <w:spacing w:after="0"/>
              <w:rPr>
                <w:sz w:val="20"/>
                <w:szCs w:val="20"/>
                <w:color w:val="auto"/>
              </w:rPr>
            </w:pPr>
            <w:r>
              <w:rPr>
                <w:rFonts w:ascii="Arial" w:cs="Arial" w:eastAsia="Arial" w:hAnsi="Arial"/>
                <w:sz w:val="18"/>
                <w:szCs w:val="18"/>
                <w:b w:val="1"/>
                <w:bCs w:val="1"/>
                <w:color w:val="auto"/>
                <w:w w:val="97"/>
              </w:rPr>
              <w:t>Fort Worth, TX</w:t>
            </w:r>
          </w:p>
        </w:tc>
        <w:tc>
          <w:tcPr>
            <w:tcW w:w="2380" w:type="dxa"/>
            <w:vAlign w:val="bottom"/>
          </w:tcPr>
          <w:p>
            <w:pPr>
              <w:spacing w:after="0"/>
              <w:rPr>
                <w:sz w:val="19"/>
                <w:szCs w:val="19"/>
                <w:color w:val="auto"/>
              </w:rPr>
            </w:pPr>
          </w:p>
        </w:tc>
        <w:tc>
          <w:tcPr>
            <w:tcW w:w="2520" w:type="dxa"/>
            <w:vAlign w:val="bottom"/>
          </w:tcPr>
          <w:p>
            <w:pPr>
              <w:jc w:val="right"/>
              <w:ind w:right="201"/>
              <w:spacing w:after="0"/>
              <w:rPr>
                <w:sz w:val="20"/>
                <w:szCs w:val="20"/>
                <w:color w:val="auto"/>
              </w:rPr>
            </w:pPr>
            <w:r>
              <w:rPr>
                <w:rFonts w:ascii="Arial" w:cs="Arial" w:eastAsia="Arial" w:hAnsi="Arial"/>
                <w:sz w:val="18"/>
                <w:szCs w:val="18"/>
                <w:b w:val="1"/>
                <w:bCs w:val="1"/>
                <w:color w:val="auto"/>
              </w:rPr>
              <w:t>76102</w:t>
            </w:r>
          </w:p>
        </w:tc>
      </w:tr>
      <w:tr>
        <w:trPr>
          <w:trHeight w:val="186"/>
        </w:trPr>
        <w:tc>
          <w:tcPr>
            <w:tcW w:w="416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80" w:type="dxa"/>
            <w:vAlign w:val="bottom"/>
          </w:tcPr>
          <w:p>
            <w:pPr>
              <w:spacing w:after="0"/>
              <w:rPr>
                <w:sz w:val="16"/>
                <w:szCs w:val="16"/>
                <w:color w:val="auto"/>
              </w:rPr>
            </w:pPr>
          </w:p>
        </w:tc>
        <w:tc>
          <w:tcPr>
            <w:tcW w:w="2520" w:type="dxa"/>
            <w:vAlign w:val="bottom"/>
          </w:tcPr>
          <w:p>
            <w:pPr>
              <w:jc w:val="center"/>
              <w:ind w:left="144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 Results of Operations and Financial Condition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May 3, 2017, the registrant issued a press release announcing its financial results for the quarter ended March 31, 2017. The text of the press release is included as Exhibit 99.1 to this Form 8-K.</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May 3, 2017, the registrant issued a press release, included herewith as Exhibit 99.1, announcing the declaration of a second fiscal quarter 2017 base dividend of $0.39 per share, payable on or about July 14, 2017 to stockholders of record as of June 15, 2017, and a quarterly variable supplemental dividend of $0.04 per share, payable on or about June 30, 2017, to stockholders of record as of May 31, 2017.</w:t>
      </w:r>
    </w:p>
    <w:p>
      <w:pPr>
        <w:spacing w:after="0" w:line="16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0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3, 2017</w:t>
      </w:r>
    </w:p>
    <w:p>
      <w:pPr>
        <w:sectPr>
          <w:pgSz w:w="11900" w:h="16838" w:orient="portrait"/>
          <w:cols w:equalWidth="0" w:num="1">
            <w:col w:w="11280"/>
          </w:cols>
          <w:pgMar w:left="240" w:top="270" w:right="3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304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30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May 3, 2017</w:t>
      </w:r>
      <w:r>
        <w:rPr>
          <w:sz w:val="20"/>
          <w:szCs w:val="20"/>
          <w:color w:val="auto"/>
        </w:rPr>
        <w:tab/>
      </w:r>
      <w:r>
        <w:rPr>
          <w:rFonts w:ascii="Arial" w:cs="Arial" w:eastAsia="Arial" w:hAnsi="Arial"/>
          <w:sz w:val="16"/>
          <w:szCs w:val="16"/>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Ian Simmonds</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274" w:right="43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ind w:right="300"/>
        <w:spacing w:after="0" w:line="313" w:lineRule="auto"/>
        <w:rPr>
          <w:sz w:val="20"/>
          <w:szCs w:val="20"/>
          <w:color w:val="auto"/>
        </w:rPr>
      </w:pPr>
      <w:r>
        <w:rPr>
          <w:rFonts w:ascii="Arial" w:cs="Arial" w:eastAsia="Arial" w:hAnsi="Arial"/>
          <w:sz w:val="17"/>
          <w:szCs w:val="17"/>
          <w:b w:val="1"/>
          <w:bCs w:val="1"/>
          <w:color w:val="auto"/>
        </w:rPr>
        <w:t>TPG Specialty Lending, Inc. Announces Quarter Ended March 31, 2017 Financial Results; Board Declares Quarterly Base Dividend of $0.39 Per Share for the Second Fiscal Quarter of 2017 and a Quarterly Variable Supplemental Dividend of $0.04 Per Share</w:t>
      </w:r>
    </w:p>
    <w:p>
      <w:pPr>
        <w:spacing w:after="0" w:line="14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NEW YORK—(BUSINESS WIRE)—May 3, 2017— TPG Specialty Lending, Inc. (NYSE: TSLX, or the “Company”) today reported net investment income of $28.5 million, or $0.48 per share, for the quarter ended March 31, 2017. Net asset value per share was $16.04 at March 31, 2017 as compared to $15.95 at December 31, 2016. The Company’s Board of Directors previously declared a first quarter dividend of $0.39 per share, payable to stockholders of record as of April 7, 2017 that was paid on April 28, 2017.</w:t>
      </w:r>
    </w:p>
    <w:p>
      <w:pPr>
        <w:spacing w:after="0" w:line="18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 announced that its Board of Directors has declared a quarterly base dividend of $0.39 per share for stockholders of record as of June 15, 2017, payable on July 14, 2017. The Company’s Board of Directors also declared a quarterly variable supplemental dividend of $0.04 per share for stockholders of record as of May 31, 2017, payable on June 30, 2017. Going forward, in addition to a quarterly base dividend of $0.39 per share, the Company’s Board of Directors expects to also declare, when applicable, a formula-based quarterly variable supplemental dividend in an amount to be determined each quarter.</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(amounts in millions, except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212"/>
              <w:spacing w:after="0" w:line="119" w:lineRule="exact"/>
              <w:rPr>
                <w:sz w:val="20"/>
                <w:szCs w:val="20"/>
                <w:color w:val="auto"/>
              </w:rPr>
            </w:pPr>
            <w:r>
              <w:rPr>
                <w:rFonts w:ascii="Arial" w:cs="Arial" w:eastAsia="Arial" w:hAnsi="Arial"/>
                <w:sz w:val="13"/>
                <w:szCs w:val="13"/>
                <w:b w:val="1"/>
                <w:bCs w:val="1"/>
                <w:color w:val="auto"/>
              </w:rPr>
              <w:t>(unaudited)</w:t>
            </w: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162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March 31, 2017</w:t>
            </w:r>
          </w:p>
        </w:tc>
        <w:tc>
          <w:tcPr>
            <w:tcW w:w="240" w:type="dxa"/>
            <w:vAlign w:val="bottom"/>
          </w:tcPr>
          <w:p>
            <w:pPr>
              <w:spacing w:after="0"/>
              <w:rPr>
                <w:sz w:val="17"/>
                <w:szCs w:val="17"/>
                <w:color w:val="auto"/>
              </w:rPr>
            </w:pPr>
          </w:p>
        </w:tc>
        <w:tc>
          <w:tcPr>
            <w:tcW w:w="17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6"/>
              </w:rPr>
              <w:t>December 31, 2016</w:t>
            </w:r>
          </w:p>
        </w:tc>
        <w:tc>
          <w:tcPr>
            <w:tcW w:w="14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March 31, 2016</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1,580.3</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1,657.4</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Total Assets</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1,606.9</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1,675.5</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1,584.3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16.04</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15.95</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324"/>
        </w:trPr>
        <w:tc>
          <w:tcPr>
            <w:tcW w:w="642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50.9</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49.7</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28.5</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28.1</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28.3</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32.7</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Share</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0.48</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0.47</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Net Realized and Unrealized Gains (and Losses) Per Share</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0.01)</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0.08</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0.47</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0.55</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324"/>
        </w:trPr>
        <w:tc>
          <w:tcPr>
            <w:tcW w:w="6420" w:type="dxa"/>
            <w:vAlign w:val="bottom"/>
            <w:gridSpan w:val="2"/>
          </w:tcPr>
          <w:p>
            <w:pPr>
              <w:spacing w:after="0"/>
              <w:rPr>
                <w:sz w:val="20"/>
                <w:szCs w:val="20"/>
                <w:color w:val="auto"/>
              </w:rPr>
            </w:pPr>
            <w:r>
              <w:rPr>
                <w:rFonts w:ascii="Arial" w:cs="Arial" w:eastAsia="Arial" w:hAnsi="Arial"/>
                <w:sz w:val="18"/>
                <w:szCs w:val="18"/>
                <w:color w:val="auto"/>
              </w:rPr>
              <w:t>Weighted Average Yield of Debt and Income Producing Securities at Fair Value</w:t>
            </w:r>
          </w:p>
        </w:tc>
        <w:tc>
          <w:tcPr>
            <w:tcW w:w="540" w:type="dxa"/>
            <w:vAlign w:val="bottom"/>
          </w:tcPr>
          <w:p>
            <w:pPr>
              <w:spacing w:after="0"/>
              <w:rPr>
                <w:sz w:val="24"/>
                <w:szCs w:val="24"/>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 Average Yield of Debt and Income Producing Securities at Amortized Cost</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324"/>
        </w:trPr>
        <w:tc>
          <w:tcPr>
            <w:tcW w:w="6420" w:type="dxa"/>
            <w:vAlign w:val="bottom"/>
            <w:gridSpan w:val="2"/>
          </w:tcPr>
          <w:p>
            <w:pPr>
              <w:spacing w:after="0"/>
              <w:rPr>
                <w:sz w:val="20"/>
                <w:szCs w:val="20"/>
                <w:color w:val="auto"/>
              </w:rPr>
            </w:pPr>
            <w:r>
              <w:rPr>
                <w:rFonts w:ascii="Arial" w:cs="Arial" w:eastAsia="Arial" w:hAnsi="Arial"/>
                <w:sz w:val="18"/>
                <w:szCs w:val="18"/>
                <w:color w:val="auto"/>
              </w:rPr>
              <w:t>Percentage of Debt Investment Commitments at Floating Rates</w:t>
            </w:r>
            <w:r>
              <w:rPr>
                <w:rFonts w:ascii="Arial" w:cs="Arial" w:eastAsia="Arial" w:hAnsi="Arial"/>
                <w:sz w:val="15"/>
                <w:szCs w:val="15"/>
                <w:color w:val="auto"/>
              </w:rPr>
              <w:t>(1)</w:t>
            </w:r>
          </w:p>
        </w:tc>
        <w:tc>
          <w:tcPr>
            <w:tcW w:w="540" w:type="dxa"/>
            <w:vAlign w:val="bottom"/>
          </w:tcPr>
          <w:p>
            <w:pPr>
              <w:spacing w:after="0"/>
              <w:rPr>
                <w:sz w:val="24"/>
                <w:szCs w:val="24"/>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98%</w:t>
            </w:r>
          </w:p>
        </w:tc>
        <w:tc>
          <w:tcPr>
            <w:tcW w:w="5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Includes one or more fixed rate investments for which the Company entered into an interest rate swap agreement to swap to a floating rate.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Information:</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The conference call will be broadcast live at 8:30 a.m. Eastern Time on May 4, 2017. </w:t>
      </w:r>
      <w:r>
        <w:rPr>
          <w:rFonts w:ascii="Arial" w:cs="Arial" w:eastAsia="Arial" w:hAnsi="Arial"/>
          <w:sz w:val="18"/>
          <w:szCs w:val="18"/>
          <w:b w:val="1"/>
          <w:bCs w:val="1"/>
          <w:i w:val="1"/>
          <w:iCs w:val="1"/>
          <w:color w:val="auto"/>
        </w:rPr>
        <w:t>Please visit TSLX’s webcast link located on the Events &amp; Presentation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page of the Investor Resources section of TSLX’s website </w:t>
      </w:r>
      <w:r>
        <w:rPr>
          <w:rFonts w:ascii="Arial" w:cs="Arial" w:eastAsia="Arial" w:hAnsi="Arial"/>
          <w:sz w:val="18"/>
          <w:szCs w:val="18"/>
          <w:color w:val="auto"/>
        </w:rPr>
        <w:t>http://www.tpgspecialtylending.com</w:t>
      </w:r>
      <w:r>
        <w:rPr>
          <w:rFonts w:ascii="Arial" w:cs="Arial" w:eastAsia="Arial" w:hAnsi="Arial"/>
          <w:sz w:val="18"/>
          <w:szCs w:val="18"/>
          <w:b w:val="1"/>
          <w:bCs w:val="1"/>
          <w:i w:val="1"/>
          <w:iCs w:val="1"/>
          <w:color w:val="auto"/>
        </w:rPr>
        <w:t xml:space="preserve"> for a slide presentation that complements the Earnings Conference Call</w:t>
      </w:r>
      <w:r>
        <w:rPr>
          <w:rFonts w:ascii="Arial" w:cs="Arial" w:eastAsia="Arial" w:hAnsi="Arial"/>
          <w:sz w:val="18"/>
          <w:szCs w:val="18"/>
          <w:color w:val="auto"/>
        </w:rPr>
        <w:t>. Please visit the website to test your connection before the webcast.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also invited to access the conference call by dialing one of the following numbers: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Domestic: (877) 359-9508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(253) 237-1122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92764335</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callers will need to enter the Conference ID followed by the # sign and reference “TPG Specialty Lending” once connected with the operator. All callers are asked to dial in 10-15 minutes prior to the call so that name and company information can be collected.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Replay Information:</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An archived replay will be available from approximately 12:00 p.m. Eastern Time on May 4 through May 11 via a webcast link located on the Investor Resources section of TSLX’s website, and via the dial-in numbers listed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Domestic: (855) 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(404) 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92764335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For the three months ended March 31, 2017, gross originations totaled $285.9 million. This compares to $79.2 million for the three months ended December 31, 2016 and $164.6 million for the three months ended March 31, 2016.</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three months ended March 31, 2017, the Company made new investment commitments of $149.2 million in five new portfolio companies. For this period, the Company had $213.5 million aggregate principal amount in exits and repayments.</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For the three months ended March 31, 2016, the Company made new investment commitments of $129.6 million, including $78.5 million in four new portfolio companies and $51.1 million in four existing portfolio companies. For this period, the Company had $45.8 million aggregate principal amount in exits and repayments.</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March 31, 2017 and December 31, 2016, the Company had investments in 48 and 52 portfolio companies, respectively, with an aggregate fair value of $1,580.3 million and $1,657.4 million, respectively.</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of March 31, 2017, the portfolio based on fair value consisted of 98.5% first-lien debt investments, 0.2% second-lien debt investments, and 1.3% equity and other investments. As of December 31, 2016, the portfolio based on fair value consisted of 96.5% first-lien debt investments, 1.2% second-lien debt investments, 0.6% mezzanine and unsecured debt investments, and 1.7% equity and other investments.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March 31, 2017, 100.0% of debt investments based on fair value in the portfolio bore interest at floating rates (when including investment specific hedges), with 92.7% of these subject to interest rate floors. The Company’s credit facilities also bear interest at floating rates. In connection with the Company’s Convertible Senior Notes, which bear interest at fixed rates, the Company entered into fixed-to-floating interest rate swaps in order to continue to align the interest rates of its liabilities with its investment portfolio.</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March 31, 2017 and December 31, 2016, the weighted average total yield of debt and income-producing securities at fair value (which includes interest income and amortization of fees and discounts) was 10.3% and 10.4%, respectively, and the weighted average total yield of debt and income-producing securities at amortized cost (which includes interest income and amortization of fees and discounts) was 10.4% and 10.4%, respectively.</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5" w:name="page6"/>
    <w:bookmarkEnd w:id="5"/>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March 31, 2017, 94.6% of the portfolio at fair value was meeting all payment and covenant requirements. One investment was on non-accrual status at March 31, 2017, and was subsequently restructured post quarter end into a performing credit and equity investment.</w:t>
      </w:r>
    </w:p>
    <w:p>
      <w:pPr>
        <w:spacing w:after="0" w:line="275" w:lineRule="exact"/>
        <w:rPr>
          <w:sz w:val="20"/>
          <w:szCs w:val="20"/>
          <w:color w:val="auto"/>
        </w:rPr>
      </w:pPr>
    </w:p>
    <w:p>
      <w:pPr>
        <w:ind w:right="2000"/>
        <w:spacing w:after="0" w:line="378" w:lineRule="auto"/>
        <w:rPr>
          <w:sz w:val="20"/>
          <w:szCs w:val="20"/>
          <w:color w:val="auto"/>
        </w:rPr>
      </w:pPr>
      <w:r>
        <w:rPr>
          <w:rFonts w:ascii="Arial" w:cs="Arial" w:eastAsia="Arial" w:hAnsi="Arial"/>
          <w:sz w:val="18"/>
          <w:szCs w:val="18"/>
          <w:b w:val="1"/>
          <w:bCs w:val="1"/>
          <w:color w:val="auto"/>
        </w:rPr>
        <w:t xml:space="preserve">Results of Operations for the Three Months Ended March 31, 2017 compared to the Three Months Ended March 31, 2016 </w:t>
      </w:r>
      <w:r>
        <w:rPr>
          <w:rFonts w:ascii="Arial" w:cs="Arial" w:eastAsia="Arial" w:hAnsi="Arial"/>
          <w:sz w:val="18"/>
          <w:szCs w:val="18"/>
          <w:b w:val="1"/>
          <w:bCs w:val="1"/>
          <w:i w:val="1"/>
          <w:iCs w:val="1"/>
          <w:color w:val="auto"/>
        </w:rPr>
        <w:t>Investment Income</w:t>
      </w:r>
    </w:p>
    <w:p>
      <w:pPr>
        <w:ind w:right="60"/>
        <w:spacing w:after="0" w:line="264" w:lineRule="auto"/>
        <w:rPr>
          <w:sz w:val="20"/>
          <w:szCs w:val="20"/>
          <w:color w:val="auto"/>
        </w:rPr>
      </w:pPr>
      <w:r>
        <w:rPr>
          <w:rFonts w:ascii="Arial" w:cs="Arial" w:eastAsia="Arial" w:hAnsi="Arial"/>
          <w:sz w:val="18"/>
          <w:szCs w:val="18"/>
          <w:color w:val="auto"/>
        </w:rPr>
        <w:t>For the three months ended March 31, 2017 and 2016, investment income totaled $50.9 million and $42.7 million, respectively. The increase in investment income was primarily driven by an increase in the average size of the investment portfolio, higher accelerated amortization of upfront fees from unscheduled paydowns, and higher syndication and amendment fees.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Net expenses totaled $21.7 million and $19.1 million for the three months ended March 31, 2017 and 2016, respectively. The increase in net expenses was primarily due to an increase in the average interest rate on the debt outstanding following the issuance of the 2022 Convertible Senior Notes and an increase in LIBOR, as well as higher management and incentive fees.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2017, the Company had $7.0 million in cash and cash equivalents, total principal value of debt outstanding of $620.2 million, and</w:t>
      </w:r>
    </w:p>
    <w:p>
      <w:pPr>
        <w:spacing w:after="0" w:line="35"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$554.8 million of undrawn capacity on its revolving credit facility, subject to borrowing base and other limitations. The Company’s weighted average interest rate on debt outstanding was 3.2% and 2.8% for the three months ended March 31, 2017 and December 31, 2016,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rated BBB- with stable outlook by both Fitch Ratings and Standard and Poor’s.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Statements and Tables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 (amortized cost of $1,483,055 and $1,567,673, respectively)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1,518,165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1,591,544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340"/>
              <w:spacing w:after="0"/>
              <w:rPr>
                <w:sz w:val="20"/>
                <w:szCs w:val="20"/>
                <w:color w:val="auto"/>
              </w:rPr>
            </w:pPr>
            <w:r>
              <w:rPr>
                <w:rFonts w:ascii="Arial" w:cs="Arial" w:eastAsia="Arial" w:hAnsi="Arial"/>
                <w:sz w:val="18"/>
                <w:szCs w:val="18"/>
                <w:color w:val="auto"/>
              </w:rPr>
              <w:t>Controlled, affiliated investments (amortized cost of $104,018 and $100,014, respectively)</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62,113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 (amortized cost of $1,587,073 and $1,667,687, respectively)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1,580,278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1,657,403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Cash and cash equivalents (includes restricted cash of $2,601 and $1,088, respectively)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7,030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7,914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Receivable for interest rate swaps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Receivable for investments sold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7,080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1,606,880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1,675,532</w:t>
            </w: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Debt (net of deferred financing costs of $14,096 and $11,019, respectively)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603,999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Management fees payable to affiliate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6,071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to affiliate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Dividends payable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23,337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Payables to affiliate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6,434</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647,239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723,320</w:t>
            </w:r>
          </w:p>
        </w:tc>
        <w:tc>
          <w:tcPr>
            <w:tcW w:w="0" w:type="dxa"/>
            <w:vAlign w:val="bottom"/>
          </w:tcPr>
          <w:p>
            <w:pPr>
              <w:spacing w:after="0"/>
              <w:rPr>
                <w:sz w:val="1"/>
                <w:szCs w:val="1"/>
                <w:color w:val="auto"/>
              </w:rPr>
            </w:pPr>
          </w:p>
        </w:tc>
      </w:tr>
      <w:tr>
        <w:trPr>
          <w:trHeight w:val="223"/>
        </w:trPr>
        <w:tc>
          <w:tcPr>
            <w:tcW w:w="91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Common stock, $0.01 par value; 400,000,000 shares authorized, 59,928,121 and 59,805,285 shares issued, respectively; and</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59,839,041 and 59,716,205 shares outstanding, respectively</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900,596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898,868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89,080 and 89,080 shares held, respectively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48,619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(losses)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Undistributed net realized gains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11,912</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Net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959,641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952,212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1,606,880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1,675,532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Asset Value Per Share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jc w:val="right"/>
              <w:ind w:right="329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1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w:t>
            </w:r>
          </w:p>
        </w:tc>
        <w:tc>
          <w:tcPr>
            <w:tcW w:w="340" w:type="dxa"/>
            <w:vAlign w:val="bottom"/>
          </w:tcPr>
          <w:p>
            <w:pPr>
              <w:spacing w:after="0"/>
              <w:rPr>
                <w:sz w:val="14"/>
                <w:szCs w:val="14"/>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Ended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March 31, 2017</w:t>
            </w:r>
          </w:p>
        </w:tc>
        <w:tc>
          <w:tcPr>
            <w:tcW w:w="34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31,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from investments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47,770</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Dividend income</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2,125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700"/>
              <w:spacing w:after="0"/>
              <w:rPr>
                <w:sz w:val="20"/>
                <w:szCs w:val="20"/>
                <w:color w:val="auto"/>
              </w:rPr>
            </w:pPr>
            <w:r>
              <w:rPr>
                <w:rFonts w:ascii="Arial" w:cs="Arial" w:eastAsia="Arial" w:hAnsi="Arial"/>
                <w:sz w:val="18"/>
                <w:szCs w:val="18"/>
                <w:color w:val="auto"/>
              </w:rPr>
              <w:t>Total investment income from non-controlled, non-affiliated investments</w:t>
            </w: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49,896</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from controlled, affiliated investments: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Interest from investments</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tcPr>
          <w:p>
            <w:pPr>
              <w:ind w:left="700"/>
              <w:spacing w:after="0"/>
              <w:rPr>
                <w:sz w:val="20"/>
                <w:szCs w:val="20"/>
                <w:color w:val="auto"/>
              </w:rPr>
            </w:pPr>
            <w:r>
              <w:rPr>
                <w:rFonts w:ascii="Arial" w:cs="Arial" w:eastAsia="Arial" w:hAnsi="Arial"/>
                <w:sz w:val="18"/>
                <w:szCs w:val="18"/>
                <w:color w:val="auto"/>
              </w:rPr>
              <w:t>Total investment income from controlled, affiliated investments</w:t>
            </w: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Total Investment Income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50,948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42,751</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6,865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Management fees</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6,071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6,050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1,286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expenses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21,679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19,222</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Management and incentive fees waived</w:t>
            </w: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Net Expenses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21,679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19,124</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29,269</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Income taxes, including excise taxes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w:t>
            </w: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28,519</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Unrealized and Realized Gains (Losses)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Controlled, affiliated investments</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(7,750)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of assets and liabilities in foreign currencies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(5,793)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Interest rate swaps</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net change in unrealized losses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(2,149)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Realized gains:</w:t>
            </w: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Foreign currency transactions</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realized gains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1,908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tcPr>
          <w:p>
            <w:pPr>
              <w:ind w:left="1420"/>
              <w:spacing w:after="0"/>
              <w:rPr>
                <w:sz w:val="20"/>
                <w:szCs w:val="20"/>
                <w:color w:val="auto"/>
              </w:rPr>
            </w:pPr>
            <w:r>
              <w:rPr>
                <w:rFonts w:ascii="Arial" w:cs="Arial" w:eastAsia="Arial" w:hAnsi="Arial"/>
                <w:sz w:val="18"/>
                <w:szCs w:val="18"/>
                <w:b w:val="1"/>
                <w:bCs w:val="1"/>
                <w:color w:val="auto"/>
              </w:rPr>
              <w:t>Total Unrealized and Realized Gains (Losses)</w:t>
            </w: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42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28,278</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17,771</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68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outstanding—basic and diluted</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59,796,731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55,802,270</w:t>
            </w:r>
          </w:p>
        </w:tc>
        <w:tc>
          <w:tcPr>
            <w:tcW w:w="0" w:type="dxa"/>
            <w:vAlign w:val="bottom"/>
          </w:tcPr>
          <w:p>
            <w:pPr>
              <w:spacing w:after="0"/>
              <w:rPr>
                <w:sz w:val="1"/>
                <w:szCs w:val="1"/>
                <w:color w:val="auto"/>
              </w:rPr>
            </w:pPr>
          </w:p>
        </w:tc>
      </w:tr>
      <w:tr>
        <w:trPr>
          <w:trHeight w:val="372"/>
        </w:trPr>
        <w:tc>
          <w:tcPr>
            <w:tcW w:w="8680" w:type="dxa"/>
            <w:vAlign w:val="bottom"/>
            <w:gridSpan w:val="2"/>
          </w:tcPr>
          <w:p>
            <w:pPr>
              <w:ind w:left="5660"/>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investment activity for the three months ended March 31, 2017 and 2016 is presented below (information presented herein is at par value unless otherwise indicated).</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94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0"/>
                <w:szCs w:val="10"/>
                <w:color w:val="auto"/>
              </w:rPr>
            </w:pPr>
          </w:p>
        </w:tc>
      </w:tr>
      <w:tr>
        <w:trPr>
          <w:trHeight w:val="171"/>
        </w:trPr>
        <w:tc>
          <w:tcPr>
            <w:tcW w:w="606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2"/>
              <w:spacing w:after="0"/>
              <w:rPr>
                <w:sz w:val="20"/>
                <w:szCs w:val="20"/>
                <w:color w:val="auto"/>
              </w:rPr>
            </w:pPr>
            <w:r>
              <w:rPr>
                <w:rFonts w:ascii="Arial" w:cs="Arial" w:eastAsia="Arial" w:hAnsi="Arial"/>
                <w:sz w:val="14"/>
                <w:szCs w:val="14"/>
                <w:b w:val="1"/>
                <w:bCs w:val="1"/>
                <w:color w:val="auto"/>
                <w:w w:val="96"/>
              </w:rPr>
              <w:t>2017</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91"/>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New investment commitments:</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Gross originations</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285.9</w:t>
            </w:r>
          </w:p>
        </w:tc>
        <w:tc>
          <w:tcPr>
            <w:tcW w:w="4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164.6</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Syndications/sell downs</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700"/>
              <w:spacing w:after="0"/>
              <w:rPr>
                <w:sz w:val="20"/>
                <w:szCs w:val="20"/>
                <w:color w:val="auto"/>
              </w:rPr>
            </w:pPr>
            <w:r>
              <w:rPr>
                <w:rFonts w:ascii="Arial" w:cs="Arial" w:eastAsia="Arial" w:hAnsi="Arial"/>
                <w:sz w:val="18"/>
                <w:szCs w:val="18"/>
                <w:color w:val="auto"/>
              </w:rPr>
              <w:t>Total new investment commitments</w:t>
            </w:r>
          </w:p>
        </w:tc>
        <w:tc>
          <w:tcPr>
            <w:tcW w:w="4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149.2</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129.6</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First-lien</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142.2</w:t>
            </w:r>
          </w:p>
        </w:tc>
        <w:tc>
          <w:tcPr>
            <w:tcW w:w="4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127.5</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Second-lien</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Mezzanine and unsecured</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and other</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040" w:type="dxa"/>
            <w:vAlign w:val="bottom"/>
          </w:tcPr>
          <w:p>
            <w:pPr>
              <w:ind w:left="700"/>
              <w:spacing w:after="0"/>
              <w:rPr>
                <w:sz w:val="20"/>
                <w:szCs w:val="20"/>
                <w:color w:val="auto"/>
              </w:rPr>
            </w:pPr>
            <w:r>
              <w:rPr>
                <w:rFonts w:ascii="Arial" w:cs="Arial" w:eastAsia="Arial" w:hAnsi="Arial"/>
                <w:sz w:val="18"/>
                <w:szCs w:val="18"/>
                <w:color w:val="auto"/>
              </w:rPr>
              <w:t>Total</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First-lien</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175.6</w:t>
            </w:r>
          </w:p>
        </w:tc>
        <w:tc>
          <w:tcPr>
            <w:tcW w:w="4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43.6</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Second-lien</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Mezzanine and unsecured</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11.5</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and other</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6040" w:type="dxa"/>
            <w:vAlign w:val="bottom"/>
          </w:tcPr>
          <w:p>
            <w:pPr>
              <w:ind w:left="700"/>
              <w:spacing w:after="0"/>
              <w:rPr>
                <w:sz w:val="20"/>
                <w:szCs w:val="20"/>
                <w:color w:val="auto"/>
              </w:rPr>
            </w:pPr>
            <w:r>
              <w:rPr>
                <w:rFonts w:ascii="Arial" w:cs="Arial" w:eastAsia="Arial" w:hAnsi="Arial"/>
                <w:sz w:val="18"/>
                <w:szCs w:val="18"/>
                <w:color w:val="auto"/>
              </w:rPr>
              <w:t>Total</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213.5</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Number of new investment commitments in new portfolio companies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w w:val="95"/>
              </w:rPr>
              <w:t>Average new investment commitment amount in new portfolio companies</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29.8</w:t>
            </w:r>
          </w:p>
        </w:tc>
        <w:tc>
          <w:tcPr>
            <w:tcW w:w="4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0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Weighted average term for new investment commitments in new portfolio</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companies (in years)</w:t>
            </w: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 xml:space="preserve">Percentage of new debt investment commitments at floating rates </w:t>
            </w:r>
            <w:r>
              <w:rPr>
                <w:rFonts w:ascii="Arial" w:cs="Arial" w:eastAsia="Arial" w:hAnsi="Arial"/>
                <w:sz w:val="15"/>
                <w:szCs w:val="15"/>
                <w:b w:val="1"/>
                <w:bCs w:val="1"/>
                <w:color w:val="auto"/>
              </w:rPr>
              <w:t>(1)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98.3%</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Percentage of new debt investment commitments at fixed rates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 investment commitments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198"/>
        </w:trPr>
        <w:tc>
          <w:tcPr>
            <w:tcW w:w="20" w:type="dxa"/>
            <w:vAlign w:val="bottom"/>
          </w:tcPr>
          <w:p>
            <w:pPr>
              <w:spacing w:after="0"/>
              <w:rPr>
                <w:sz w:val="17"/>
                <w:szCs w:val="17"/>
                <w:color w:val="auto"/>
              </w:rPr>
            </w:pPr>
          </w:p>
        </w:tc>
        <w:tc>
          <w:tcPr>
            <w:tcW w:w="60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spread over LIBOR of new floating rate investment</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 xml:space="preserve">commitments </w:t>
            </w:r>
            <w:r>
              <w:rPr>
                <w:rFonts w:ascii="Arial" w:cs="Arial" w:eastAsia="Arial" w:hAnsi="Arial"/>
                <w:sz w:val="15"/>
                <w:szCs w:val="15"/>
                <w:b w:val="1"/>
                <w:bCs w:val="1"/>
                <w:color w:val="auto"/>
              </w:rPr>
              <w:t>(1)</w:t>
            </w: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r>
      <w:tr>
        <w:trPr>
          <w:trHeight w:val="234"/>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 sold or paid down</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r>
    </w:tbl>
    <w:p>
      <w:pPr>
        <w:spacing w:after="0" w:line="210" w:lineRule="exact"/>
        <w:rPr>
          <w:sz w:val="20"/>
          <w:szCs w:val="20"/>
          <w:color w:val="auto"/>
        </w:rPr>
      </w:pPr>
    </w:p>
    <w:p>
      <w:pPr>
        <w:ind w:left="46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one fixed rate investment for the three months ended March 31, 2017 for which we entered into an interest rate swap agreement to swap to a floating rate.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274"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TPG Specialty Lending, Inc.</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TSLX is a specialty finance company focused on lending to middle-market companies. The Company seeks to generate current income primarily in U.S.-domiciled middle-market companies through direct originations of senior secured loans and, to a lesser extent, originations of mezzanine and unsecured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over $18 billion of assets under management as of December 31, 2016, and the broader TPG platform, a global private investment firm with approximately $72 billion of assets under management as of December 31, 2016. For more information, visit the Company’s website at www.tpgspecialtylending.com.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Statements included herein may constitute “forward-looking statements,” which relate to future events or the Company’s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 TSLX undertakes no duty to update any forward-looking statements made herein.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Source: TPG Specialty Lending,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Lucy 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lbarrett@tpg.com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Owen Blicksilver PR,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Hurson, 845-507-0571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jennifer@blicksilverpr.com</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sectPr>
      <w:pgSz w:w="11900" w:h="16838" w:orient="portrait"/>
      <w:cols w:equalWidth="0" w:num="1">
        <w:col w:w="11380"/>
      </w:cols>
      <w:pgMar w:left="240" w:top="27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2019-12-07T14:18:41Z</dcterms:created>
  <dcterms:modified xsi:type="dcterms:W3CDTF">2019-12-07T14:18:41Z</dcterms:modified>
</cp:coreProperties>
</file>