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495066d8k.htm"/>
      <w:bookmarkStart w:id="1" w:name="ksd495066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May 25,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Sixth Street Specialty Lending,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001-36364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27-3380000</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23" w:type="dxa"/>
        <w:jc w:val="left"/>
        <w:tblInd w:w="0" w:type="dxa"/>
        <w:tblLayout w:type="fixed"/>
        <w:tblCellMar>
          <w:top w:w="0" w:type="dxa"/>
          <w:left w:w="0" w:type="dxa"/>
          <w:bottom w:w="0" w:type="dxa"/>
          <w:right w:w="0" w:type="dxa"/>
        </w:tblCellMar>
      </w:tblPr>
      <w:tblGrid>
        <w:gridCol w:w="4070"/>
        <w:gridCol w:w="60"/>
        <w:gridCol w:w="23"/>
        <w:gridCol w:w="60"/>
        <w:gridCol w:w="1010"/>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2100 McKinney Avenue, Suite 1500</w:t>
            </w:r>
          </w:p>
          <w:p>
            <w:pPr>
              <w:pStyle w:val="TableContents"/>
              <w:bidi w:val="0"/>
              <w:spacing w:before="0" w:after="20"/>
              <w:jc w:val="center"/>
              <w:rPr>
                <w:rFonts w:ascii="Times New Roman" w:hAnsi="Times New Roman"/>
                <w:b/>
                <w:sz w:val="20"/>
              </w:rPr>
            </w:pPr>
            <w:r>
              <w:rPr>
                <w:rFonts w:ascii="Times New Roman" w:hAnsi="Times New Roman"/>
                <w:b/>
                <w:sz w:val="20"/>
              </w:rPr>
              <w:t>Dallas, TX</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b/>
              </w:rPr>
            </w:pPr>
            <w:r>
              <w:rPr>
                <w:b/>
              </w:rPr>
              <w:t>75201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(469) 621-3001</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980" w:type="dxa"/>
        <w:jc w:val="left"/>
        <w:tblInd w:w="0" w:type="dxa"/>
        <w:tblLayout w:type="fixed"/>
        <w:tblCellMar>
          <w:top w:w="0" w:type="dxa"/>
          <w:left w:w="0" w:type="dxa"/>
          <w:bottom w:w="0" w:type="dxa"/>
          <w:right w:w="0" w:type="dxa"/>
        </w:tblCellMar>
      </w:tblPr>
      <w:tblGrid>
        <w:gridCol w:w="4025"/>
        <w:gridCol w:w="60"/>
        <w:gridCol w:w="740"/>
        <w:gridCol w:w="60"/>
        <w:gridCol w:w="3095"/>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TSLX</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5.07 – Submission of Matters to a Vote of Security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Annual Meeting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On May 25, 2023, Sixth Street Specialty Lending, Inc. (the “Company”) held its annual meeting of stockholders. Stockholders considered two proposals as described in the Company’s proxy statement filed on April 13, 2023. The final results of the voting on each matter submitted to stockholders at the annual meeting are set forth below. </w:t>
      </w:r>
    </w:p>
    <w:p>
      <w:pPr>
        <w:pStyle w:val="TextBody"/>
        <w:bidi w:val="0"/>
        <w:spacing w:before="240" w:after="0"/>
        <w:jc w:val="left"/>
        <w:rPr>
          <w:rFonts w:ascii="Times New Roman" w:hAnsi="Times New Roman"/>
          <w:sz w:val="20"/>
        </w:rPr>
      </w:pPr>
      <w:r>
        <w:rPr>
          <w:rFonts w:ascii="Times New Roman" w:hAnsi="Times New Roman"/>
          <w:b/>
          <w:sz w:val="20"/>
        </w:rPr>
        <w:t>Proposal 1 – Election of Class</w:t>
      </w:r>
      <w:r>
        <w:rPr>
          <w:rFonts w:ascii="Times New Roman" w:hAnsi="Times New Roman"/>
          <w:sz w:val="20"/>
        </w:rPr>
        <w:t> </w:t>
      </w:r>
      <w:r>
        <w:rPr>
          <w:rFonts w:ascii="Times New Roman" w:hAnsi="Times New Roman"/>
          <w:b/>
          <w:sz w:val="20"/>
        </w:rPr>
        <w:t>I Directors.</w:t>
      </w:r>
      <w:r>
        <w:rPr>
          <w:rFonts w:ascii="Times New Roman" w:hAnsi="Times New Roman"/>
          <w:sz w:val="20"/>
        </w:rPr>
        <w:t xml:space="preserve"> The stockholders elected the nominees for Class I director by the vote shown below. </w:t>
      </w:r>
    </w:p>
    <w:p>
      <w:pPr>
        <w:pStyle w:val="TextBody"/>
        <w:bidi w:val="0"/>
        <w:spacing w:before="0" w:after="0"/>
        <w:jc w:val="left"/>
        <w:rPr/>
      </w:pPr>
      <w:r>
        <w:rPr/>
        <w:t> </w:t>
      </w:r>
    </w:p>
    <w:tbl>
      <w:tblPr>
        <w:tblW w:w="6993" w:type="dxa"/>
        <w:jc w:val="left"/>
        <w:tblInd w:w="0" w:type="dxa"/>
        <w:tblLayout w:type="fixed"/>
        <w:tblCellMar>
          <w:top w:w="0" w:type="dxa"/>
          <w:left w:w="0" w:type="dxa"/>
          <w:bottom w:w="0" w:type="dxa"/>
          <w:right w:w="0" w:type="dxa"/>
        </w:tblCellMar>
      </w:tblPr>
      <w:tblGrid>
        <w:gridCol w:w="1445"/>
        <w:gridCol w:w="120"/>
        <w:gridCol w:w="65"/>
        <w:gridCol w:w="1199"/>
        <w:gridCol w:w="60"/>
        <w:gridCol w:w="120"/>
        <w:gridCol w:w="104"/>
        <w:gridCol w:w="1730"/>
        <w:gridCol w:w="60"/>
        <w:gridCol w:w="120"/>
        <w:gridCol w:w="98"/>
        <w:gridCol w:w="1797"/>
        <w:gridCol w:w="75"/>
      </w:tblGrid>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Nominee</w:t>
            </w:r>
          </w:p>
        </w:tc>
        <w:tc>
          <w:tcPr>
            <w:tcW w:w="12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Votes “For”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Votes “Withheld”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Broker Non-Votes</w:t>
            </w:r>
          </w:p>
        </w:tc>
        <w:tc>
          <w:tcPr>
            <w:tcW w:w="75"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Joshua Easterly</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34,352,292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right"/>
              <w:rPr/>
            </w:pPr>
            <w:r>
              <w:rPr/>
              <w:t>4,670,759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right"/>
              <w:rPr/>
            </w:pPr>
            <w:r>
              <w:rPr/>
              <w:t>24,443,663</w:t>
            </w:r>
          </w:p>
        </w:tc>
        <w:tc>
          <w:tcPr>
            <w:tcW w:w="75" w:type="dxa"/>
            <w:tcBorders/>
            <w:shd w:fill="CCEEFF" w:val="cle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Michael Fishman</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34,686,380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right"/>
              <w:rPr/>
            </w:pPr>
            <w:r>
              <w:rPr/>
              <w:t>4,336,671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797" w:type="dxa"/>
            <w:tcBorders/>
            <w:vAlign w:val="center"/>
          </w:tcPr>
          <w:p>
            <w:pPr>
              <w:pStyle w:val="TableContents"/>
              <w:bidi w:val="0"/>
              <w:spacing w:before="0" w:after="283"/>
              <w:jc w:val="right"/>
              <w:rPr/>
            </w:pPr>
            <w:r>
              <w:rPr/>
              <w:t>24,443,663</w:t>
            </w:r>
          </w:p>
        </w:tc>
        <w:tc>
          <w:tcPr>
            <w:tcW w:w="75"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Hurley Doddy</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31,752,629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right"/>
              <w:rPr/>
            </w:pPr>
            <w:r>
              <w:rPr/>
              <w:t>7,270,422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right"/>
              <w:rPr/>
            </w:pPr>
            <w:r>
              <w:rPr/>
              <w:t>24,443,663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sz w:val="20"/>
        </w:rPr>
        <w:t>Proposal 2 – Ratification of Appointment of Independent Registered Public Accounting Firm.</w:t>
      </w:r>
      <w:r>
        <w:rPr>
          <w:rFonts w:ascii="Times New Roman" w:hAnsi="Times New Roman"/>
          <w:sz w:val="20"/>
        </w:rPr>
        <w:t xml:space="preserve"> The stockholders ratified the retention of KPMG LLP as our independent registered public accounting firm for the fiscal year ending December 31, 2023. </w:t>
      </w:r>
    </w:p>
    <w:p>
      <w:pPr>
        <w:pStyle w:val="TextBody"/>
        <w:bidi w:val="0"/>
        <w:spacing w:before="0" w:after="0"/>
        <w:jc w:val="left"/>
        <w:rPr/>
      </w:pPr>
      <w:r>
        <w:rPr/>
        <w:t> </w:t>
      </w:r>
    </w:p>
    <w:tbl>
      <w:tblPr>
        <w:tblW w:w="4715" w:type="dxa"/>
        <w:jc w:val="left"/>
        <w:tblInd w:w="0" w:type="dxa"/>
        <w:tblLayout w:type="fixed"/>
        <w:tblCellMar>
          <w:top w:w="0" w:type="dxa"/>
          <w:left w:w="0" w:type="dxa"/>
          <w:bottom w:w="0" w:type="dxa"/>
          <w:right w:w="0" w:type="dxa"/>
        </w:tblCellMar>
      </w:tblPr>
      <w:tblGrid>
        <w:gridCol w:w="1115"/>
        <w:gridCol w:w="60"/>
        <w:gridCol w:w="1205"/>
        <w:gridCol w:w="60"/>
        <w:gridCol w:w="860"/>
        <w:gridCol w:w="60"/>
        <w:gridCol w:w="135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115" w:type="dxa"/>
            <w:tcBorders/>
            <w:shd w:fill="CCEEFF" w:val="clear"/>
            <w:vAlign w:val="center"/>
          </w:tcPr>
          <w:p>
            <w:pPr>
              <w:pStyle w:val="TableContents"/>
              <w:bidi w:val="0"/>
              <w:spacing w:before="0" w:after="283"/>
              <w:jc w:val="center"/>
              <w:rPr/>
            </w:pPr>
            <w:r>
              <w:rPr/>
              <w:t>62,380,359</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r>
              <w:rPr/>
              <w:t>603,032</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483,323</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0</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Special Meeting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On May 25, 2023, the Company also held a special meeting of stockholders. Stockholders considered one proposal as described in the Company’s proxy statement filed on April 13, 2023. The final results of the voting on the matter submitted to stockholders at the special meeting are set forth below. </w:t>
      </w:r>
    </w:p>
    <w:p>
      <w:pPr>
        <w:pStyle w:val="TextBody"/>
        <w:bidi w:val="0"/>
        <w:spacing w:before="240" w:after="0"/>
        <w:jc w:val="left"/>
        <w:rPr>
          <w:rFonts w:ascii="Times New Roman" w:hAnsi="Times New Roman"/>
          <w:sz w:val="20"/>
        </w:rPr>
      </w:pPr>
      <w:r>
        <w:rPr>
          <w:rFonts w:ascii="Times New Roman" w:hAnsi="Times New Roman"/>
          <w:b/>
          <w:sz w:val="20"/>
        </w:rPr>
        <w:t>Proposal 1 – Sales of Common Stock Below NAV.</w:t>
      </w:r>
      <w:r>
        <w:rPr>
          <w:rFonts w:ascii="Times New Roman" w:hAnsi="Times New Roman"/>
          <w:sz w:val="20"/>
        </w:rPr>
        <w:t xml:space="preserve"> The stockholders approved the proposal to authorize the Company to sell or otherwise issue shares of its common stock at a price below its then-current net asset value per share in one or more offerings, in each case subject to the approval of its board of directors and subject to certain conditions as set forth in the proxy statement (including that the number of shares issued does not exceed 25% of the Company’s then-outstanding common stock immediately prior to each such offering), by the vote shown below. </w:t>
      </w:r>
    </w:p>
    <w:p>
      <w:pPr>
        <w:pStyle w:val="TextBody"/>
        <w:bidi w:val="0"/>
        <w:spacing w:before="240" w:after="0"/>
        <w:jc w:val="left"/>
        <w:rPr>
          <w:rFonts w:ascii="Times New Roman" w:hAnsi="Times New Roman"/>
          <w:sz w:val="20"/>
        </w:rPr>
      </w:pPr>
      <w:r>
        <w:rPr>
          <w:rFonts w:ascii="Times New Roman" w:hAnsi="Times New Roman"/>
          <w:sz w:val="20"/>
        </w:rPr>
        <w:t xml:space="preserve">The vote on the proposal, including affiliated and unaffiliated shares, was as follows: </w:t>
      </w:r>
    </w:p>
    <w:p>
      <w:pPr>
        <w:pStyle w:val="TextBody"/>
        <w:bidi w:val="0"/>
        <w:spacing w:before="0" w:after="0"/>
        <w:jc w:val="left"/>
        <w:rPr/>
      </w:pPr>
      <w:r>
        <w:rPr/>
        <w:t> </w:t>
      </w:r>
    </w:p>
    <w:tbl>
      <w:tblPr>
        <w:tblW w:w="4715" w:type="dxa"/>
        <w:jc w:val="left"/>
        <w:tblInd w:w="0" w:type="dxa"/>
        <w:tblLayout w:type="fixed"/>
        <w:tblCellMar>
          <w:top w:w="0" w:type="dxa"/>
          <w:left w:w="0" w:type="dxa"/>
          <w:bottom w:w="0" w:type="dxa"/>
          <w:right w:w="0" w:type="dxa"/>
        </w:tblCellMar>
      </w:tblPr>
      <w:tblGrid>
        <w:gridCol w:w="1115"/>
        <w:gridCol w:w="60"/>
        <w:gridCol w:w="1205"/>
        <w:gridCol w:w="60"/>
        <w:gridCol w:w="860"/>
        <w:gridCol w:w="60"/>
        <w:gridCol w:w="135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115" w:type="dxa"/>
            <w:tcBorders/>
            <w:shd w:fill="CCEEFF" w:val="clear"/>
            <w:vAlign w:val="center"/>
          </w:tcPr>
          <w:p>
            <w:pPr>
              <w:pStyle w:val="TableContents"/>
              <w:bidi w:val="0"/>
              <w:spacing w:before="0" w:after="283"/>
              <w:jc w:val="center"/>
              <w:rPr/>
            </w:pPr>
            <w:r>
              <w:rPr/>
              <w:t>37,945,043</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r>
              <w:rPr/>
              <w:t>4,430,199</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635,500</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0</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vote on the proposal, adjusted to exclude 2,997,671 affiliated shares, was as follows: </w:t>
      </w:r>
    </w:p>
    <w:p>
      <w:pPr>
        <w:pStyle w:val="TextBody"/>
        <w:bidi w:val="0"/>
        <w:spacing w:before="0" w:after="0"/>
        <w:jc w:val="left"/>
        <w:rPr/>
      </w:pPr>
      <w:r>
        <w:rPr/>
        <w:t> </w:t>
      </w:r>
    </w:p>
    <w:tbl>
      <w:tblPr>
        <w:tblW w:w="4715" w:type="dxa"/>
        <w:jc w:val="left"/>
        <w:tblInd w:w="0" w:type="dxa"/>
        <w:tblLayout w:type="fixed"/>
        <w:tblCellMar>
          <w:top w:w="0" w:type="dxa"/>
          <w:left w:w="0" w:type="dxa"/>
          <w:bottom w:w="0" w:type="dxa"/>
          <w:right w:w="0" w:type="dxa"/>
        </w:tblCellMar>
      </w:tblPr>
      <w:tblGrid>
        <w:gridCol w:w="1115"/>
        <w:gridCol w:w="60"/>
        <w:gridCol w:w="1205"/>
        <w:gridCol w:w="60"/>
        <w:gridCol w:w="860"/>
        <w:gridCol w:w="60"/>
        <w:gridCol w:w="135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115" w:type="dxa"/>
            <w:tcBorders/>
            <w:shd w:fill="CCEEFF" w:val="clear"/>
            <w:vAlign w:val="center"/>
          </w:tcPr>
          <w:p>
            <w:pPr>
              <w:pStyle w:val="TableContents"/>
              <w:bidi w:val="0"/>
              <w:spacing w:before="0" w:after="283"/>
              <w:jc w:val="center"/>
              <w:rPr/>
            </w:pPr>
            <w:r>
              <w:rPr/>
              <w:t>35,157,767</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r>
              <w:rPr/>
              <w:t>4,430,199</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425,105</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0</w:t>
            </w:r>
          </w:p>
        </w:tc>
      </w:tr>
    </w:tbl>
    <w:p>
      <w:pPr>
        <w:pStyle w:val="HorizontalLine"/>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866" w:type="dxa"/>
        <w:jc w:val="left"/>
        <w:tblInd w:w="0" w:type="dxa"/>
        <w:tblLayout w:type="fixed"/>
        <w:tblCellMar>
          <w:top w:w="0" w:type="dxa"/>
          <w:left w:w="0" w:type="dxa"/>
          <w:bottom w:w="0" w:type="dxa"/>
          <w:right w:w="0" w:type="dxa"/>
        </w:tblCellMar>
      </w:tblPr>
      <w:tblGrid>
        <w:gridCol w:w="1940"/>
        <w:gridCol w:w="60"/>
        <w:gridCol w:w="23"/>
        <w:gridCol w:w="60"/>
        <w:gridCol w:w="521"/>
        <w:gridCol w:w="85"/>
        <w:gridCol w:w="3177"/>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3177"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83"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SIXTH STREET SPECIALTY LENDING, INC.</w:t>
            </w:r>
          </w:p>
          <w:p>
            <w:pPr>
              <w:pStyle w:val="TableContents"/>
              <w:bidi w:val="0"/>
              <w:spacing w:before="0" w:after="20"/>
              <w:jc w:val="left"/>
              <w:rPr>
                <w:rFonts w:ascii="Times New Roman" w:hAnsi="Times New Roman"/>
                <w:sz w:val="20"/>
              </w:rPr>
            </w:pPr>
            <w:r>
              <w:rPr>
                <w:rFonts w:ascii="Times New Roman" w:hAnsi="Times New Roman"/>
                <w:sz w:val="20"/>
              </w:rPr>
              <w:t>(Registrant)</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581" w:type="dxa"/>
            <w:gridSpan w:val="2"/>
            <w:tcBorders/>
            <w:vAlign w:val="center"/>
          </w:tcPr>
          <w:p>
            <w:pPr>
              <w:pStyle w:val="TableContents"/>
              <w:bidi w:val="0"/>
              <w:spacing w:before="0" w:after="283"/>
              <w:jc w:val="left"/>
              <w:rPr>
                <w:sz w:val="4"/>
                <w:szCs w:val="4"/>
              </w:rPr>
            </w:pPr>
            <w:r>
              <w:rPr>
                <w:sz w:val="4"/>
                <w:szCs w:val="4"/>
              </w:rPr>
            </w:r>
          </w:p>
        </w:tc>
        <w:tc>
          <w:tcPr>
            <w:tcW w:w="3262"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 May 26, 2023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pPr>
            <w:r>
              <w:rPr/>
              <w:t>By:</w:t>
            </w:r>
          </w:p>
        </w:tc>
        <w:tc>
          <w:tcPr>
            <w:tcW w:w="85" w:type="dxa"/>
            <w:tcBorders/>
            <w:vAlign w:val="center"/>
          </w:tcPr>
          <w:p>
            <w:pPr>
              <w:pStyle w:val="TableContents"/>
              <w:bidi w:val="0"/>
              <w:spacing w:before="0" w:after="283"/>
              <w:jc w:val="left"/>
              <w:rPr/>
            </w:pPr>
            <w:r>
              <w:rPr/>
              <w:t> </w:t>
            </w:r>
          </w:p>
        </w:tc>
        <w:tc>
          <w:tcPr>
            <w:tcW w:w="3177"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Ian Simmonds</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pPr>
            <w:r>
              <w:rPr/>
              <w:t> </w:t>
            </w:r>
          </w:p>
        </w:tc>
        <w:tc>
          <w:tcPr>
            <w:tcW w:w="3177" w:type="dxa"/>
            <w:tcBorders/>
            <w:vAlign w:val="center"/>
          </w:tcPr>
          <w:p>
            <w:pPr>
              <w:pStyle w:val="TableContents"/>
              <w:bidi w:val="0"/>
              <w:spacing w:before="0" w:after="283"/>
              <w:jc w:val="left"/>
              <w:rPr/>
            </w:pPr>
            <w:r>
              <w:rPr/>
              <w:t>Ian Simmonds</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pPr>
            <w:r>
              <w:rPr/>
              <w:t> </w:t>
            </w:r>
          </w:p>
        </w:tc>
        <w:tc>
          <w:tcPr>
            <w:tcW w:w="3177" w:type="dxa"/>
            <w:tcBorders/>
            <w:vAlign w:val="center"/>
          </w:tcPr>
          <w:p>
            <w:pPr>
              <w:pStyle w:val="TableContents"/>
              <w:bidi w:val="0"/>
              <w:spacing w:before="0" w:after="283"/>
              <w:jc w:val="left"/>
              <w:rPr/>
            </w:pPr>
            <w:r>
              <w:rPr/>
              <w:t>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698</Words>
  <Characters>3876</Characters>
  <CharactersWithSpaces>4600</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