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219075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SCHEDULE 14A</w:t>
      </w:r>
    </w:p>
    <w:p>
      <w:pPr>
        <w:spacing w:after="0" w:line="40" w:lineRule="exact"/>
        <w:rPr>
          <w:sz w:val="24"/>
          <w:szCs w:val="24"/>
          <w:color w:val="auto"/>
        </w:rPr>
      </w:pPr>
    </w:p>
    <w:p>
      <w:pPr>
        <w:ind w:left="5040"/>
        <w:spacing w:after="0"/>
        <w:rPr>
          <w:sz w:val="20"/>
          <w:szCs w:val="20"/>
          <w:color w:val="auto"/>
        </w:rPr>
      </w:pPr>
      <w:r>
        <w:rPr>
          <w:rFonts w:ascii="Times New Roman" w:cs="Times New Roman" w:eastAsia="Times New Roman" w:hAnsi="Times New Roman"/>
          <w:sz w:val="22"/>
          <w:szCs w:val="22"/>
          <w:b w:val="1"/>
          <w:bCs w:val="1"/>
          <w:color w:val="auto"/>
        </w:rPr>
        <w:t>(Rule 14a-101)</w:t>
      </w:r>
    </w:p>
    <w:p>
      <w:pPr>
        <w:spacing w:after="0" w:line="178" w:lineRule="exact"/>
        <w:rPr>
          <w:sz w:val="24"/>
          <w:szCs w:val="24"/>
          <w:color w:val="auto"/>
        </w:rPr>
      </w:pPr>
    </w:p>
    <w:p>
      <w:pPr>
        <w:ind w:left="3060"/>
        <w:spacing w:after="0"/>
        <w:rPr>
          <w:sz w:val="20"/>
          <w:szCs w:val="20"/>
          <w:color w:val="auto"/>
        </w:rPr>
      </w:pPr>
      <w:r>
        <w:rPr>
          <w:rFonts w:ascii="Times New Roman" w:cs="Times New Roman" w:eastAsia="Times New Roman" w:hAnsi="Times New Roman"/>
          <w:sz w:val="22"/>
          <w:szCs w:val="22"/>
          <w:b w:val="1"/>
          <w:bCs w:val="1"/>
          <w:color w:val="auto"/>
        </w:rPr>
        <w:t>INFORMATION REQUIRED IN PROXY STATEMENT</w:t>
      </w:r>
    </w:p>
    <w:p>
      <w:pPr>
        <w:spacing w:after="0" w:line="18" w:lineRule="exact"/>
        <w:rPr>
          <w:sz w:val="24"/>
          <w:szCs w:val="24"/>
          <w:color w:val="auto"/>
        </w:rPr>
      </w:pPr>
    </w:p>
    <w:p>
      <w:pPr>
        <w:ind w:left="4080"/>
        <w:spacing w:after="0"/>
        <w:rPr>
          <w:sz w:val="20"/>
          <w:szCs w:val="20"/>
          <w:color w:val="auto"/>
        </w:rPr>
      </w:pPr>
      <w:r>
        <w:rPr>
          <w:rFonts w:ascii="Times New Roman" w:cs="Times New Roman" w:eastAsia="Times New Roman" w:hAnsi="Times New Roman"/>
          <w:sz w:val="22"/>
          <w:szCs w:val="22"/>
          <w:b w:val="1"/>
          <w:bCs w:val="1"/>
          <w:color w:val="auto"/>
        </w:rPr>
        <w:t>SCHEDULE 14A INFORMATION</w:t>
      </w:r>
    </w:p>
    <w:p>
      <w:pPr>
        <w:spacing w:after="0" w:line="178" w:lineRule="exact"/>
        <w:rPr>
          <w:sz w:val="24"/>
          <w:szCs w:val="24"/>
          <w:color w:val="auto"/>
        </w:rPr>
      </w:pPr>
    </w:p>
    <w:p>
      <w:pPr>
        <w:ind w:left="3460"/>
        <w:spacing w:after="0"/>
        <w:rPr>
          <w:sz w:val="20"/>
          <w:szCs w:val="20"/>
          <w:color w:val="auto"/>
        </w:rPr>
      </w:pPr>
      <w:r>
        <w:rPr>
          <w:rFonts w:ascii="Times New Roman" w:cs="Times New Roman" w:eastAsia="Times New Roman" w:hAnsi="Times New Roman"/>
          <w:sz w:val="22"/>
          <w:szCs w:val="22"/>
          <w:b w:val="1"/>
          <w:bCs w:val="1"/>
          <w:color w:val="auto"/>
        </w:rPr>
        <w:t>Proxy Statement Pursuant to Section 14(a) of the</w:t>
      </w:r>
    </w:p>
    <w:p>
      <w:pPr>
        <w:spacing w:after="0" w:line="1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Securities Exchange Act of 1934</w:t>
      </w:r>
    </w:p>
    <w:p>
      <w:pPr>
        <w:spacing w:after="0" w:line="178" w:lineRule="exact"/>
        <w:rPr>
          <w:sz w:val="24"/>
          <w:szCs w:val="24"/>
          <w:color w:val="auto"/>
        </w:rPr>
      </w:pPr>
    </w:p>
    <w:p>
      <w:pPr>
        <w:jc w:val="center"/>
        <w:ind w:right="-39"/>
        <w:spacing w:after="0"/>
        <w:tabs>
          <w:tab w:leader="none" w:pos="200" w:val="left"/>
        </w:tabs>
        <w:rPr>
          <w:sz w:val="20"/>
          <w:szCs w:val="20"/>
          <w:color w:val="auto"/>
        </w:rPr>
      </w:pPr>
      <w:r>
        <w:rPr>
          <w:rFonts w:ascii="Times New Roman" w:cs="Times New Roman" w:eastAsia="Times New Roman" w:hAnsi="Times New Roman"/>
          <w:sz w:val="22"/>
          <w:szCs w:val="22"/>
          <w:b w:val="1"/>
          <w:bCs w:val="1"/>
          <w:color w:val="auto"/>
        </w:rPr>
        <w:t>(Amendment No.</w:t>
        <w:tab/>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245110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49" w:lineRule="exact"/>
        <w:rPr>
          <w:sz w:val="24"/>
          <w:szCs w:val="24"/>
          <w:color w:val="auto"/>
        </w:rPr>
      </w:pPr>
    </w:p>
    <w:p>
      <w:pPr>
        <w:spacing w:after="0" w:line="207" w:lineRule="exact"/>
        <w:tabs>
          <w:tab w:leader="none" w:pos="3180" w:val="left"/>
        </w:tabs>
        <w:rPr>
          <w:sz w:val="20"/>
          <w:szCs w:val="20"/>
          <w:color w:val="auto"/>
        </w:rPr>
      </w:pPr>
      <w:r>
        <w:rPr>
          <w:rFonts w:ascii="Times New Roman" w:cs="Times New Roman" w:eastAsia="Times New Roman" w:hAnsi="Times New Roman"/>
          <w:sz w:val="18"/>
          <w:szCs w:val="18"/>
          <w:color w:val="auto"/>
        </w:rPr>
        <w:t xml:space="preserve">Filed by the Registrant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254"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w:t>
      </w:r>
    </w:p>
    <w:p>
      <w:pPr>
        <w:spacing w:after="0" w:line="131" w:lineRule="exact"/>
        <w:rPr>
          <w:sz w:val="24"/>
          <w:szCs w:val="24"/>
          <w:color w:val="auto"/>
        </w:rPr>
      </w:pPr>
    </w:p>
    <w:p>
      <w:pPr>
        <w:ind w:left="580" w:hanging="572"/>
        <w:spacing w:after="0"/>
        <w:tabs>
          <w:tab w:leader="none" w:pos="5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Preliminary Proxy Statement</w:t>
      </w:r>
    </w:p>
    <w:p>
      <w:pPr>
        <w:spacing w:after="0" w:line="117" w:lineRule="exact"/>
        <w:rPr>
          <w:sz w:val="24"/>
          <w:szCs w:val="24"/>
          <w:color w:val="auto"/>
        </w:rPr>
      </w:pPr>
    </w:p>
    <w:p>
      <w:pPr>
        <w:ind w:left="580" w:hanging="572"/>
        <w:spacing w:after="0"/>
        <w:tabs>
          <w:tab w:leader="none" w:pos="58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Confidential, for Use of the Commission Only (as permitted by Rule14a-6(e)(2))</w:t>
      </w:r>
    </w:p>
    <w:p>
      <w:pPr>
        <w:spacing w:after="0" w:line="117" w:lineRule="exact"/>
        <w:rPr>
          <w:rFonts w:ascii="MS PGothic" w:cs="MS PGothic" w:eastAsia="MS PGothic" w:hAnsi="MS PGothic"/>
          <w:sz w:val="18"/>
          <w:szCs w:val="18"/>
          <w:color w:val="auto"/>
        </w:rPr>
      </w:pPr>
    </w:p>
    <w:p>
      <w:pPr>
        <w:ind w:left="580" w:hanging="572"/>
        <w:spacing w:after="0"/>
        <w:tabs>
          <w:tab w:leader="none" w:pos="58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Proxy Statement</w:t>
      </w:r>
    </w:p>
    <w:p>
      <w:pPr>
        <w:spacing w:after="0" w:line="117" w:lineRule="exact"/>
        <w:rPr>
          <w:rFonts w:ascii="MS PGothic" w:cs="MS PGothic" w:eastAsia="MS PGothic" w:hAnsi="MS PGothic"/>
          <w:sz w:val="18"/>
          <w:szCs w:val="18"/>
          <w:color w:val="auto"/>
        </w:rPr>
      </w:pPr>
    </w:p>
    <w:p>
      <w:pPr>
        <w:ind w:left="580" w:hanging="572"/>
        <w:spacing w:after="0"/>
        <w:tabs>
          <w:tab w:leader="none" w:pos="58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Additional Materials</w:t>
      </w:r>
    </w:p>
    <w:p>
      <w:pPr>
        <w:spacing w:after="0" w:line="117" w:lineRule="exact"/>
        <w:rPr>
          <w:rFonts w:ascii="MS PGothic" w:cs="MS PGothic" w:eastAsia="MS PGothic" w:hAnsi="MS PGothic"/>
          <w:sz w:val="18"/>
          <w:szCs w:val="18"/>
          <w:color w:val="auto"/>
        </w:rPr>
      </w:pPr>
    </w:p>
    <w:p>
      <w:pPr>
        <w:ind w:left="580" w:hanging="572"/>
        <w:spacing w:after="0"/>
        <w:tabs>
          <w:tab w:leader="none" w:pos="58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Under Rule 14a-12</w:t>
      </w:r>
    </w:p>
    <w:p>
      <w:pPr>
        <w:spacing w:after="0" w:line="29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0"/>
          <w:szCs w:val="40"/>
          <w:b w:val="1"/>
          <w:bCs w:val="1"/>
          <w:color w:val="auto"/>
        </w:rPr>
        <w:t>TICC CAPITAL CORP.</w:t>
      </w:r>
    </w:p>
    <w:p>
      <w:pPr>
        <w:spacing w:after="0" w:line="4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(Name of Registrant as Specified in Its Charter)</w:t>
      </w:r>
    </w:p>
    <w:p>
      <w:pPr>
        <w:spacing w:after="0" w:line="30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TPG SPECIALTY LENDING, INC.</w:t>
      </w:r>
    </w:p>
    <w:p>
      <w:pPr>
        <w:spacing w:after="0" w:line="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(Name of Persons(s) Filing Proxy Statement, if Other Than the Registrant)</w:t>
      </w:r>
    </w:p>
    <w:p>
      <w:pPr>
        <w:spacing w:after="0" w:line="30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Payment of Filing Fee (Check the appropriate box):</w:t>
      </w:r>
    </w:p>
    <w:p>
      <w:pPr>
        <w:spacing w:after="0" w:line="225" w:lineRule="exact"/>
        <w:rPr>
          <w:sz w:val="24"/>
          <w:szCs w:val="24"/>
          <w:color w:val="auto"/>
        </w:rPr>
      </w:pPr>
    </w:p>
    <w:p>
      <w:pPr>
        <w:ind w:left="580" w:hanging="572"/>
        <w:spacing w:after="0"/>
        <w:tabs>
          <w:tab w:leader="none" w:pos="58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No fee required.</w:t>
      </w:r>
    </w:p>
    <w:p>
      <w:pPr>
        <w:spacing w:after="0" w:line="225" w:lineRule="exact"/>
        <w:rPr>
          <w:sz w:val="24"/>
          <w:szCs w:val="24"/>
          <w:color w:val="auto"/>
        </w:rPr>
      </w:pPr>
    </w:p>
    <w:p>
      <w:pPr>
        <w:ind w:left="580" w:hanging="572"/>
        <w:spacing w:after="0"/>
        <w:tabs>
          <w:tab w:leader="none" w:pos="580" w:val="left"/>
        </w:tabs>
        <w:numPr>
          <w:ilvl w:val="0"/>
          <w:numId w:val="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computed on table below per Exchange Act Rules 14a-6(i)(1) and 0-11.</w:t>
      </w:r>
    </w:p>
    <w:p>
      <w:pPr>
        <w:spacing w:after="0" w:line="225" w:lineRule="exact"/>
        <w:rPr>
          <w:rFonts w:ascii="MS PGothic" w:cs="MS PGothic" w:eastAsia="MS PGothic" w:hAnsi="MS PGothic"/>
          <w:sz w:val="18"/>
          <w:szCs w:val="18"/>
          <w:color w:val="auto"/>
        </w:rPr>
      </w:pPr>
    </w:p>
    <w:p>
      <w:pPr>
        <w:ind w:left="1160" w:hanging="571"/>
        <w:spacing w:after="0"/>
        <w:tabs>
          <w:tab w:leader="none" w:pos="116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Title of each class of securities to which transaction applies:</w:t>
      </w:r>
    </w:p>
    <w:p>
      <w:pPr>
        <w:spacing w:after="0" w:line="200" w:lineRule="exact"/>
        <w:rPr>
          <w:rFonts w:ascii="Times New Roman" w:cs="Times New Roman" w:eastAsia="Times New Roman" w:hAnsi="Times New Roman"/>
          <w:sz w:val="18"/>
          <w:szCs w:val="18"/>
          <w:color w:val="auto"/>
        </w:rPr>
      </w:pPr>
    </w:p>
    <w:p>
      <w:pPr>
        <w:spacing w:after="0" w:line="295" w:lineRule="exact"/>
        <w:rPr>
          <w:rFonts w:ascii="Times New Roman" w:cs="Times New Roman" w:eastAsia="Times New Roman" w:hAnsi="Times New Roman"/>
          <w:sz w:val="18"/>
          <w:szCs w:val="18"/>
          <w:color w:val="auto"/>
        </w:rPr>
      </w:pPr>
    </w:p>
    <w:p>
      <w:pPr>
        <w:ind w:left="1160" w:hanging="571"/>
        <w:spacing w:after="0"/>
        <w:tabs>
          <w:tab w:leader="none" w:pos="116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number of securities to which transaction applies:</w:t>
      </w:r>
    </w:p>
    <w:p>
      <w:pPr>
        <w:spacing w:after="0" w:line="200" w:lineRule="exact"/>
        <w:rPr>
          <w:rFonts w:ascii="Times New Roman" w:cs="Times New Roman" w:eastAsia="Times New Roman" w:hAnsi="Times New Roman"/>
          <w:sz w:val="18"/>
          <w:szCs w:val="18"/>
          <w:color w:val="auto"/>
        </w:rPr>
      </w:pPr>
    </w:p>
    <w:p>
      <w:pPr>
        <w:spacing w:after="0" w:line="295" w:lineRule="exact"/>
        <w:rPr>
          <w:rFonts w:ascii="Times New Roman" w:cs="Times New Roman" w:eastAsia="Times New Roman" w:hAnsi="Times New Roman"/>
          <w:sz w:val="18"/>
          <w:szCs w:val="18"/>
          <w:color w:val="auto"/>
        </w:rPr>
      </w:pPr>
    </w:p>
    <w:p>
      <w:pPr>
        <w:ind w:left="1160" w:hanging="571"/>
        <w:spacing w:after="0" w:line="282" w:lineRule="auto"/>
        <w:tabs>
          <w:tab w:leader="none" w:pos="116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 unit price or other underlying value of transaction computed pursuant to Exchange Act Rule 0-11 (set forth the amount on which the filing fee is calculated and state how it was determined):</w:t>
      </w:r>
    </w:p>
    <w:p>
      <w:pPr>
        <w:spacing w:after="0" w:line="200" w:lineRule="exact"/>
        <w:rPr>
          <w:rFonts w:ascii="Times New Roman" w:cs="Times New Roman" w:eastAsia="Times New Roman" w:hAnsi="Times New Roman"/>
          <w:sz w:val="18"/>
          <w:szCs w:val="18"/>
          <w:color w:val="auto"/>
        </w:rPr>
      </w:pPr>
    </w:p>
    <w:p>
      <w:pPr>
        <w:spacing w:after="0" w:line="231" w:lineRule="exact"/>
        <w:rPr>
          <w:rFonts w:ascii="Times New Roman" w:cs="Times New Roman" w:eastAsia="Times New Roman" w:hAnsi="Times New Roman"/>
          <w:sz w:val="18"/>
          <w:szCs w:val="18"/>
          <w:color w:val="auto"/>
        </w:rPr>
      </w:pPr>
    </w:p>
    <w:p>
      <w:pPr>
        <w:ind w:left="1160" w:hanging="571"/>
        <w:spacing w:after="0"/>
        <w:tabs>
          <w:tab w:leader="none" w:pos="116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Proposed maximum aggregate value of transaction:</w:t>
      </w:r>
    </w:p>
    <w:p>
      <w:pPr>
        <w:spacing w:after="0" w:line="200" w:lineRule="exact"/>
        <w:rPr>
          <w:rFonts w:ascii="Times New Roman" w:cs="Times New Roman" w:eastAsia="Times New Roman" w:hAnsi="Times New Roman"/>
          <w:sz w:val="18"/>
          <w:szCs w:val="18"/>
          <w:color w:val="auto"/>
        </w:rPr>
      </w:pPr>
    </w:p>
    <w:p>
      <w:pPr>
        <w:spacing w:after="0" w:line="295" w:lineRule="exact"/>
        <w:rPr>
          <w:rFonts w:ascii="Times New Roman" w:cs="Times New Roman" w:eastAsia="Times New Roman" w:hAnsi="Times New Roman"/>
          <w:sz w:val="18"/>
          <w:szCs w:val="18"/>
          <w:color w:val="auto"/>
        </w:rPr>
      </w:pPr>
    </w:p>
    <w:p>
      <w:pPr>
        <w:ind w:left="1160" w:hanging="571"/>
        <w:spacing w:after="0"/>
        <w:tabs>
          <w:tab w:leader="none" w:pos="116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fee paid:</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19" w:lineRule="exact"/>
        <w:rPr>
          <w:rFonts w:ascii="Times New Roman" w:cs="Times New Roman" w:eastAsia="Times New Roman" w:hAnsi="Times New Roman"/>
          <w:sz w:val="18"/>
          <w:szCs w:val="18"/>
          <w:color w:val="auto"/>
        </w:rPr>
      </w:pPr>
    </w:p>
    <w:p>
      <w:pPr>
        <w:ind w:left="580" w:hanging="572"/>
        <w:spacing w:after="0"/>
        <w:tabs>
          <w:tab w:leader="none" w:pos="580" w:val="left"/>
        </w:tabs>
        <w:numPr>
          <w:ilvl w:val="0"/>
          <w:numId w:val="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paid previously with preliminary materials:</w:t>
      </w:r>
    </w:p>
    <w:p>
      <w:pPr>
        <w:spacing w:after="0" w:line="333" w:lineRule="exact"/>
        <w:rPr>
          <w:rFonts w:ascii="MS PGothic" w:cs="MS PGothic" w:eastAsia="MS PGothic" w:hAnsi="MS PGothic"/>
          <w:sz w:val="18"/>
          <w:szCs w:val="18"/>
          <w:color w:val="auto"/>
        </w:rPr>
      </w:pPr>
    </w:p>
    <w:p>
      <w:pPr>
        <w:ind w:left="580" w:right="300" w:hanging="572"/>
        <w:spacing w:after="0" w:line="282" w:lineRule="auto"/>
        <w:tabs>
          <w:tab w:leader="none" w:pos="580" w:val="left"/>
        </w:tabs>
        <w:numPr>
          <w:ilvl w:val="0"/>
          <w:numId w:val="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269" w:lineRule="exact"/>
        <w:rPr>
          <w:rFonts w:ascii="MS PGothic" w:cs="MS PGothic" w:eastAsia="MS PGothic" w:hAnsi="MS PGothic"/>
          <w:sz w:val="18"/>
          <w:szCs w:val="18"/>
          <w:color w:val="auto"/>
        </w:rPr>
      </w:pPr>
    </w:p>
    <w:p>
      <w:pPr>
        <w:ind w:left="1160" w:hanging="571"/>
        <w:spacing w:after="0"/>
        <w:tabs>
          <w:tab w:leader="none" w:pos="116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 previously paid: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734060</wp:posOffset>
            </wp:positionH>
            <wp:positionV relativeFrom="paragraph">
              <wp:posOffset>-3086100</wp:posOffset>
            </wp:positionV>
            <wp:extent cx="651764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517640" cy="8890"/>
                    </a:xfrm>
                    <a:prstGeom prst="rect">
                      <a:avLst/>
                    </a:prstGeom>
                    <a:noFill/>
                  </pic:spPr>
                </pic:pic>
              </a:graphicData>
            </a:graphic>
          </wp:anchor>
        </w:drawing>
        <w:drawing>
          <wp:anchor simplePos="0" relativeHeight="251657728" behindDoc="1" locked="0" layoutInCell="0" allowOverlap="1">
            <wp:simplePos x="0" y="0"/>
            <wp:positionH relativeFrom="column">
              <wp:posOffset>734060</wp:posOffset>
            </wp:positionH>
            <wp:positionV relativeFrom="paragraph">
              <wp:posOffset>-2640330</wp:posOffset>
            </wp:positionV>
            <wp:extent cx="651764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517640" cy="8890"/>
                    </a:xfrm>
                    <a:prstGeom prst="rect">
                      <a:avLst/>
                    </a:prstGeom>
                    <a:noFill/>
                  </pic:spPr>
                </pic:pic>
              </a:graphicData>
            </a:graphic>
          </wp:anchor>
        </w:drawing>
        <w:drawing>
          <wp:anchor simplePos="0" relativeHeight="251657728" behindDoc="1" locked="0" layoutInCell="0" allowOverlap="1">
            <wp:simplePos x="0" y="0"/>
            <wp:positionH relativeFrom="column">
              <wp:posOffset>734060</wp:posOffset>
            </wp:positionH>
            <wp:positionV relativeFrom="paragraph">
              <wp:posOffset>-2057400</wp:posOffset>
            </wp:positionV>
            <wp:extent cx="651764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517640" cy="8890"/>
                    </a:xfrm>
                    <a:prstGeom prst="rect">
                      <a:avLst/>
                    </a:prstGeom>
                    <a:noFill/>
                  </pic:spPr>
                </pic:pic>
              </a:graphicData>
            </a:graphic>
          </wp:anchor>
        </w:drawing>
        <w:drawing>
          <wp:anchor simplePos="0" relativeHeight="251657728" behindDoc="1" locked="0" layoutInCell="0" allowOverlap="1">
            <wp:simplePos x="0" y="0"/>
            <wp:positionH relativeFrom="column">
              <wp:posOffset>734060</wp:posOffset>
            </wp:positionH>
            <wp:positionV relativeFrom="paragraph">
              <wp:posOffset>-1611630</wp:posOffset>
            </wp:positionV>
            <wp:extent cx="651764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517640" cy="8890"/>
                    </a:xfrm>
                    <a:prstGeom prst="rect">
                      <a:avLst/>
                    </a:prstGeom>
                    <a:noFill/>
                  </pic:spPr>
                </pic:pic>
              </a:graphicData>
            </a:graphic>
          </wp:anchor>
        </w:drawing>
        <w:drawing>
          <wp:anchor simplePos="0" relativeHeight="251657728" behindDoc="1" locked="0" layoutInCell="0" allowOverlap="1">
            <wp:simplePos x="0" y="0"/>
            <wp:positionH relativeFrom="column">
              <wp:posOffset>734060</wp:posOffset>
            </wp:positionH>
            <wp:positionV relativeFrom="paragraph">
              <wp:posOffset>-1165225</wp:posOffset>
            </wp:positionV>
            <wp:extent cx="651764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517640" cy="8890"/>
                    </a:xfrm>
                    <a:prstGeom prst="rect">
                      <a:avLst/>
                    </a:prstGeom>
                    <a:noFill/>
                  </pic:spPr>
                </pic:pic>
              </a:graphicData>
            </a:graphic>
          </wp:anchor>
        </w:drawing>
      </w:r>
    </w:p>
    <w:p>
      <w:pPr>
        <w:sectPr>
          <w:pgSz w:w="11900" w:h="16838" w:orient="portrait"/>
          <w:cols w:equalWidth="0" w:num="1">
            <w:col w:w="11400"/>
          </w:cols>
          <w:pgMar w:left="240" w:top="511" w:right="259" w:bottom="0" w:gutter="0" w:footer="0" w:header="0"/>
        </w:sectPr>
      </w:pPr>
    </w:p>
    <w:bookmarkStart w:id="1" w:name="page2"/>
    <w:bookmarkEnd w:id="1"/>
    <w:p>
      <w:pPr>
        <w:ind w:left="571" w:hanging="571"/>
        <w:spacing w:after="0"/>
        <w:tabs>
          <w:tab w:leader="none" w:pos="571"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886460</wp:posOffset>
            </wp:positionH>
            <wp:positionV relativeFrom="page">
              <wp:posOffset>226060</wp:posOffset>
            </wp:positionV>
            <wp:extent cx="651764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517640" cy="8890"/>
                    </a:xfrm>
                    <a:prstGeom prst="rect">
                      <a:avLst/>
                    </a:prstGeom>
                    <a:noFill/>
                  </pic:spPr>
                </pic:pic>
              </a:graphicData>
            </a:graphic>
          </wp:anchor>
        </w:drawing>
        <w:t>Form, Schedule or Registration Statement No.:</w:t>
      </w:r>
    </w:p>
    <w:p>
      <w:pPr>
        <w:spacing w:after="0" w:line="200" w:lineRule="exact"/>
        <w:rPr>
          <w:rFonts w:ascii="Times New Roman" w:cs="Times New Roman" w:eastAsia="Times New Roman" w:hAnsi="Times New Roman"/>
          <w:sz w:val="17"/>
          <w:szCs w:val="17"/>
          <w:color w:val="auto"/>
        </w:rPr>
      </w:pPr>
    </w:p>
    <w:p>
      <w:pPr>
        <w:spacing w:after="0" w:line="306" w:lineRule="exact"/>
        <w:rPr>
          <w:rFonts w:ascii="Times New Roman" w:cs="Times New Roman" w:eastAsia="Times New Roman" w:hAnsi="Times New Roman"/>
          <w:sz w:val="17"/>
          <w:szCs w:val="17"/>
          <w:color w:val="auto"/>
        </w:rPr>
      </w:pPr>
    </w:p>
    <w:p>
      <w:pPr>
        <w:ind w:left="571" w:hanging="571"/>
        <w:spacing w:after="0"/>
        <w:tabs>
          <w:tab w:leader="none" w:pos="571"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Filing Party:</w:t>
      </w:r>
    </w:p>
    <w:p>
      <w:pPr>
        <w:spacing w:after="0" w:line="200" w:lineRule="exact"/>
        <w:rPr>
          <w:rFonts w:ascii="Times New Roman" w:cs="Times New Roman" w:eastAsia="Times New Roman" w:hAnsi="Times New Roman"/>
          <w:sz w:val="18"/>
          <w:szCs w:val="18"/>
          <w:color w:val="auto"/>
        </w:rPr>
      </w:pPr>
    </w:p>
    <w:p>
      <w:pPr>
        <w:spacing w:after="0" w:line="295" w:lineRule="exact"/>
        <w:rPr>
          <w:rFonts w:ascii="Times New Roman" w:cs="Times New Roman" w:eastAsia="Times New Roman" w:hAnsi="Times New Roman"/>
          <w:sz w:val="18"/>
          <w:szCs w:val="18"/>
          <w:color w:val="auto"/>
        </w:rPr>
      </w:pPr>
    </w:p>
    <w:p>
      <w:pPr>
        <w:ind w:left="571" w:hanging="571"/>
        <w:spacing w:after="0"/>
        <w:tabs>
          <w:tab w:leader="none" w:pos="571"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Date Filed: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360045</wp:posOffset>
            </wp:positionH>
            <wp:positionV relativeFrom="paragraph">
              <wp:posOffset>-582295</wp:posOffset>
            </wp:positionV>
            <wp:extent cx="651764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517640" cy="8890"/>
                    </a:xfrm>
                    <a:prstGeom prst="rect">
                      <a:avLst/>
                    </a:prstGeom>
                    <a:noFill/>
                  </pic:spPr>
                </pic:pic>
              </a:graphicData>
            </a:graphic>
          </wp:anchor>
        </w:drawing>
        <w:drawing>
          <wp:anchor simplePos="0" relativeHeight="251657728" behindDoc="1" locked="0" layoutInCell="0" allowOverlap="1">
            <wp:simplePos x="0" y="0"/>
            <wp:positionH relativeFrom="column">
              <wp:posOffset>360045</wp:posOffset>
            </wp:positionH>
            <wp:positionV relativeFrom="paragraph">
              <wp:posOffset>-136525</wp:posOffset>
            </wp:positionV>
            <wp:extent cx="651764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517640" cy="8890"/>
                    </a:xfrm>
                    <a:prstGeom prst="rect">
                      <a:avLst/>
                    </a:prstGeom>
                    <a:noFill/>
                  </pic:spPr>
                </pic:pic>
              </a:graphicData>
            </a:graphic>
          </wp:anchor>
        </w:drawing>
        <w:drawing>
          <wp:anchor simplePos="0" relativeHeight="251657728" behindDoc="1" locked="0" layoutInCell="0" allowOverlap="1">
            <wp:simplePos x="0" y="0"/>
            <wp:positionH relativeFrom="column">
              <wp:posOffset>360045</wp:posOffset>
            </wp:positionH>
            <wp:positionV relativeFrom="paragraph">
              <wp:posOffset>309245</wp:posOffset>
            </wp:positionV>
            <wp:extent cx="651764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517640" cy="8890"/>
                    </a:xfrm>
                    <a:prstGeom prst="rect">
                      <a:avLst/>
                    </a:prstGeom>
                    <a:noFill/>
                  </pic:spPr>
                </pic:pic>
              </a:graphicData>
            </a:graphic>
          </wp:anchor>
        </w:drawing>
        <w:drawing>
          <wp:anchor simplePos="0" relativeHeight="251657728" behindDoc="1" locked="0" layoutInCell="0" allowOverlap="1">
            <wp:simplePos x="0" y="0"/>
            <wp:positionH relativeFrom="column">
              <wp:posOffset>-368300</wp:posOffset>
            </wp:positionH>
            <wp:positionV relativeFrom="paragraph">
              <wp:posOffset>488950</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-368300</wp:posOffset>
            </wp:positionH>
            <wp:positionV relativeFrom="paragraph">
              <wp:posOffset>532130</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630"/>
          </w:cols>
          <w:pgMar w:left="829" w:top="378" w:right="1440"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PRELIMINARY COPY SUBJECT TO COMPLETION DATED SEPTEMBER 18,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243205</wp:posOffset>
            </wp:positionV>
            <wp:extent cx="151765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SPECIAL MEETING OF STOCKHOLDERS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TICC CAPITAL CORP.</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TO BE HELD ON OCTOBER 27,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237490</wp:posOffset>
            </wp:positionV>
            <wp:extent cx="151765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PROXY STATEMENT</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TPG SPECIALTY LENDING,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228600</wp:posOffset>
            </wp:positionV>
            <wp:extent cx="151765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SOLICITATION OF PROXIES IN OPPOSITION TO</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MATTERS RELATING TO THE PROPOSED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APPROVAL OF A NEW ADVISORY AGREEMENT</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BETWEEN TICC CAPITAL CORP. AND TICC MANAGEMENT,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228600</wp:posOffset>
            </wp:positionV>
            <wp:extent cx="151765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PLEASE SIGN, DATE AND MAIL THE ENCLOSED GOLD PROXY CARD TODAY</w:t>
      </w:r>
    </w:p>
    <w:p>
      <w:pPr>
        <w:spacing w:after="0" w:line="229" w:lineRule="exact"/>
        <w:rPr>
          <w:sz w:val="20"/>
          <w:szCs w:val="20"/>
          <w:color w:val="auto"/>
        </w:rPr>
      </w:pPr>
    </w:p>
    <w:p>
      <w:pPr>
        <w:ind w:firstLine="456"/>
        <w:spacing w:after="0" w:line="253" w:lineRule="auto"/>
        <w:rPr>
          <w:sz w:val="20"/>
          <w:szCs w:val="20"/>
          <w:color w:val="auto"/>
        </w:rPr>
      </w:pPr>
      <w:r>
        <w:rPr>
          <w:rFonts w:ascii="Times New Roman" w:cs="Times New Roman" w:eastAsia="Times New Roman" w:hAnsi="Times New Roman"/>
          <w:sz w:val="18"/>
          <w:szCs w:val="18"/>
          <w:color w:val="auto"/>
        </w:rPr>
        <w:t>TPG Specialty Lending, Inc. (“TSLX” or “we”) is a stockholder of TICC Capital Corp. (“TICC” or the “Company”), owning approximately 3.0% of its outstanding shares of common stock, $0.01 par value per share (the “Shares”). TSLX is writing to you regarding a new investment advisory agreement (the “New Advisory Agreement”) that is proposed to be entered into between TICC and TICC Management, LLC (the “Existing Adviser”), in connection with the acquisition of the Existing Adviser (the “BSP Transaction”) pursuant to a purchase agreement between the Existing Adviser and an affiliate of Benefit Street Partners L.L.C. (“BSP”). The BSP Transaction would result in a change in control of the Existing Adviser for purposes of the Investment Company Act of 1940, as amended (the “1940 Act”), and as a result, an assignment and subsequent termination of the current investment advisory agreement, dated July 1, 2011, between the Company and the Existing Adviser (the “Existing Advisory Agreement”) would occur in accordance with its terms, thereby requiring TICC to enter into, and seek stockholder approval for, the New Advisory Agreement in order to effect the BSP Transaction. The Board of Directors of TICC (the “Board”) has scheduled a special meeting of stockholders for the purpose of approving the proposed New Advisory Agreement (the “Special Meeting”). The Special Meeting is scheduled to be held on Tuesday, October 27, 2015 at 10:00 a.m., Eastern Time, at the offices of Sutherland Asbill &amp; Brennan LLP located at 1114 Avenue of the Americas, 40th Floor, New York, New York 10036.</w:t>
      </w:r>
    </w:p>
    <w:p>
      <w:pPr>
        <w:spacing w:after="0" w:line="193" w:lineRule="exact"/>
        <w:rPr>
          <w:sz w:val="20"/>
          <w:szCs w:val="20"/>
          <w:color w:val="auto"/>
        </w:rPr>
      </w:pPr>
    </w:p>
    <w:p>
      <w:pPr>
        <w:jc w:val="both"/>
        <w:ind w:right="280" w:firstLine="456"/>
        <w:spacing w:after="0" w:line="266" w:lineRule="auto"/>
        <w:rPr>
          <w:sz w:val="20"/>
          <w:szCs w:val="20"/>
          <w:color w:val="auto"/>
        </w:rPr>
      </w:pPr>
      <w:r>
        <w:rPr>
          <w:rFonts w:ascii="Times New Roman" w:cs="Times New Roman" w:eastAsia="Times New Roman" w:hAnsi="Times New Roman"/>
          <w:sz w:val="18"/>
          <w:szCs w:val="18"/>
          <w:color w:val="auto"/>
        </w:rPr>
        <w:t>Pursuant to this Proxy Statement, TSLX is soliciting proxies from holders of the Shares in respect of the following proposals to be considered at the Special Meeting, each as described in greater detail in the definitive proxy statement of TICC (the “TICC Proxy Statement”) filed with the Securities and Exchange Commission (the “SEC”) on September 3, 2015 for the Special Meeting (such proposals, the “TICC Special Meeting Proposals”):</w:t>
      </w:r>
    </w:p>
    <w:p>
      <w:pPr>
        <w:spacing w:after="0" w:line="176" w:lineRule="exact"/>
        <w:rPr>
          <w:sz w:val="20"/>
          <w:szCs w:val="20"/>
          <w:color w:val="auto"/>
        </w:rPr>
      </w:pPr>
    </w:p>
    <w:p>
      <w:pPr>
        <w:ind w:right="160" w:firstLine="464"/>
        <w:spacing w:after="0" w:line="282" w:lineRule="auto"/>
        <w:tabs>
          <w:tab w:leader="none" w:pos="636"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proposal to approve the New Advisory Agreement between the Company and the Existing Adviser, to take effect upon a change of control of the Existing Adviser (the “New Advisory Agreement Proposal”);</w:t>
      </w:r>
    </w:p>
    <w:p>
      <w:pPr>
        <w:spacing w:after="0" w:line="161" w:lineRule="exact"/>
        <w:rPr>
          <w:rFonts w:ascii="Times New Roman" w:cs="Times New Roman" w:eastAsia="Times New Roman" w:hAnsi="Times New Roman"/>
          <w:sz w:val="18"/>
          <w:szCs w:val="18"/>
          <w:color w:val="auto"/>
        </w:rPr>
      </w:pPr>
    </w:p>
    <w:p>
      <w:pPr>
        <w:ind w:firstLine="464"/>
        <w:spacing w:after="0" w:line="282" w:lineRule="auto"/>
        <w:tabs>
          <w:tab w:leader="none" w:pos="636"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proposal to elect six director nominees named in the TICC Proxy Statement to serve as members of the Board for the terms specified in the TICC Proxy Statement; and</w:t>
      </w:r>
    </w:p>
    <w:p>
      <w:pPr>
        <w:spacing w:after="0" w:line="161" w:lineRule="exact"/>
        <w:rPr>
          <w:rFonts w:ascii="Times New Roman" w:cs="Times New Roman" w:eastAsia="Times New Roman" w:hAnsi="Times New Roman"/>
          <w:sz w:val="18"/>
          <w:szCs w:val="18"/>
          <w:color w:val="auto"/>
        </w:rPr>
      </w:pPr>
    </w:p>
    <w:p>
      <w:pPr>
        <w:ind w:right="860" w:firstLine="464"/>
        <w:spacing w:after="0" w:line="282" w:lineRule="auto"/>
        <w:tabs>
          <w:tab w:leader="none" w:pos="636"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proposal to approve the adjournment of the Special Meeting, if necessary or appropriate, to solicit additional proxies (the “Adjournment Proposal”).</w:t>
      </w:r>
    </w:p>
    <w:p>
      <w:pPr>
        <w:sectPr>
          <w:pgSz w:w="11900" w:h="16838" w:orient="portrait"/>
          <w:cols w:equalWidth="0" w:num="1">
            <w:col w:w="11400"/>
          </w:cols>
          <w:pgMar w:left="240" w:top="266" w:right="259" w:bottom="1440" w:gutter="0" w:footer="0" w:header="0"/>
        </w:sectPr>
      </w:pPr>
    </w:p>
    <w:bookmarkStart w:id="3" w:name="page4"/>
    <w:bookmarkEnd w:id="3"/>
    <w:p>
      <w:pPr>
        <w:ind w:left="46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TSLX URGES YOU TO VOTE THE GOLD PROXY CARD (1) “AGAINST” THE NEW ADVISORY AGREEMENT PROPOSAL,</w:t>
      </w:r>
    </w:p>
    <w:p>
      <w:pPr>
        <w:spacing w:after="0" w:line="31" w:lineRule="exact"/>
        <w:rPr>
          <w:sz w:val="20"/>
          <w:szCs w:val="20"/>
          <w:color w:val="auto"/>
        </w:rPr>
      </w:pPr>
    </w:p>
    <w:p>
      <w:pPr>
        <w:ind w:right="340" w:firstLine="8"/>
        <w:spacing w:after="0" w:line="261" w:lineRule="auto"/>
        <w:tabs>
          <w:tab w:leader="none" w:pos="255"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“AGAINST” EACH OF THE DIRECTOR NOMINEES DESCRIBED IN PROPOSAL NO. 2 AND (3) “AGAINST” THE ADJOURNMENT PROPOSAL.</w:t>
      </w:r>
    </w:p>
    <w:p>
      <w:pPr>
        <w:spacing w:after="0" w:line="180" w:lineRule="exact"/>
        <w:rPr>
          <w:sz w:val="20"/>
          <w:szCs w:val="20"/>
          <w:color w:val="auto"/>
        </w:rPr>
      </w:pPr>
    </w:p>
    <w:p>
      <w:pPr>
        <w:ind w:right="280" w:firstLine="456"/>
        <w:spacing w:after="0" w:line="261" w:lineRule="auto"/>
        <w:rPr>
          <w:sz w:val="20"/>
          <w:szCs w:val="20"/>
          <w:color w:val="auto"/>
        </w:rPr>
      </w:pPr>
      <w:r>
        <w:rPr>
          <w:rFonts w:ascii="Times New Roman" w:cs="Times New Roman" w:eastAsia="Times New Roman" w:hAnsi="Times New Roman"/>
          <w:sz w:val="18"/>
          <w:szCs w:val="18"/>
          <w:color w:val="auto"/>
        </w:rPr>
        <w:t>TSLX is a specialty finance company focused on providing flexible, fully committed financing solutions to middle market companies principally located in the United States. We partner with companies across a variety of industries and excel at providing creative solutions to companies with complex business models that may have limited access to capital. Similar to TICC, we are a business development company and are externally managed by TSL Advisers, LLC, an SEC-registered investment adviser.</w:t>
      </w:r>
    </w:p>
    <w:p>
      <w:pPr>
        <w:spacing w:after="0" w:line="180" w:lineRule="exact"/>
        <w:rPr>
          <w:sz w:val="20"/>
          <w:szCs w:val="20"/>
          <w:color w:val="auto"/>
        </w:rPr>
      </w:pPr>
    </w:p>
    <w:p>
      <w:pPr>
        <w:ind w:right="180" w:firstLine="456"/>
        <w:spacing w:after="0" w:line="276" w:lineRule="auto"/>
        <w:rPr>
          <w:sz w:val="20"/>
          <w:szCs w:val="20"/>
          <w:color w:val="auto"/>
        </w:rPr>
      </w:pPr>
      <w:r>
        <w:rPr>
          <w:rFonts w:ascii="Times New Roman" w:cs="Times New Roman" w:eastAsia="Times New Roman" w:hAnsi="Times New Roman"/>
          <w:sz w:val="17"/>
          <w:szCs w:val="17"/>
          <w:color w:val="auto"/>
        </w:rPr>
        <w:t xml:space="preserve">For additional information concerning TSLX and the other participants in this proxy solicitation, please refer to the information set forth under the heading “Additional Participant Information.” This Proxy Statement and the </w:t>
      </w:r>
      <w:r>
        <w:rPr>
          <w:rFonts w:ascii="Times New Roman" w:cs="Times New Roman" w:eastAsia="Times New Roman" w:hAnsi="Times New Roman"/>
          <w:sz w:val="17"/>
          <w:szCs w:val="17"/>
          <w:b w:val="1"/>
          <w:bCs w:val="1"/>
          <w:color w:val="auto"/>
        </w:rPr>
        <w:t>GOLD</w:t>
      </w:r>
      <w:r>
        <w:rPr>
          <w:rFonts w:ascii="Times New Roman" w:cs="Times New Roman" w:eastAsia="Times New Roman" w:hAnsi="Times New Roman"/>
          <w:sz w:val="17"/>
          <w:szCs w:val="17"/>
          <w:color w:val="auto"/>
        </w:rPr>
        <w:t xml:space="preserve"> proxy card are first being furnished to TICC’s stockholders on or about</w:t>
      </w:r>
    </w:p>
    <w:p>
      <w:pPr>
        <w:spacing w:after="0" w:line="1" w:lineRule="exact"/>
        <w:rPr>
          <w:sz w:val="20"/>
          <w:szCs w:val="20"/>
          <w:color w:val="auto"/>
        </w:rPr>
      </w:pPr>
    </w:p>
    <w:p>
      <w:pPr>
        <w:ind w:left="960" w:hanging="952"/>
        <w:spacing w:after="0"/>
        <w:tabs>
          <w:tab w:leader="none" w:pos="9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2015.</w:t>
      </w:r>
    </w:p>
    <w:p>
      <w:pPr>
        <w:spacing w:after="0" w:line="207" w:lineRule="exact"/>
        <w:rPr>
          <w:sz w:val="20"/>
          <w:szCs w:val="20"/>
          <w:color w:val="auto"/>
        </w:rPr>
      </w:pPr>
    </w:p>
    <w:p>
      <w:pPr>
        <w:ind w:right="240" w:firstLine="456"/>
        <w:spacing w:after="0" w:line="261" w:lineRule="auto"/>
        <w:rPr>
          <w:sz w:val="20"/>
          <w:szCs w:val="20"/>
          <w:color w:val="auto"/>
        </w:rPr>
      </w:pPr>
      <w:r>
        <w:rPr>
          <w:rFonts w:ascii="Times New Roman" w:cs="Times New Roman" w:eastAsia="Times New Roman" w:hAnsi="Times New Roman"/>
          <w:sz w:val="18"/>
          <w:szCs w:val="18"/>
          <w:color w:val="auto"/>
        </w:rPr>
        <w:t>The Company has set the close of business on August 31, 2015 as the record date for determining stockholders entitled to notice of and to vote at the Special Meeting (the “Record Date”). The principal executive offices of TICC are located at 8 Sound Shore Drive, Suite 255, Greenwich, Connecticut</w:t>
      </w:r>
    </w:p>
    <w:p>
      <w:pPr>
        <w:spacing w:after="0"/>
        <w:rPr>
          <w:sz w:val="20"/>
          <w:szCs w:val="20"/>
          <w:color w:val="auto"/>
        </w:rPr>
      </w:pPr>
      <w:r>
        <w:rPr>
          <w:rFonts w:ascii="Times New Roman" w:cs="Times New Roman" w:eastAsia="Times New Roman" w:hAnsi="Times New Roman"/>
          <w:sz w:val="18"/>
          <w:szCs w:val="18"/>
          <w:color w:val="auto"/>
        </w:rPr>
        <w:t>06830. Stockholders of record on the Record Date will be entitled to vote at the Special Meeting. As of the Record Date, there were 59,987,986 Shares</w:t>
      </w:r>
    </w:p>
    <w:p>
      <w:pPr>
        <w:spacing w:after="0" w:line="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outstanding and entitled to vote at the Special Meeting. As of [ ], 2015, the approximate date on which TSLX expects to mail this Proxy Statement to the stockholders, TSLX is the beneficial owner of an aggregate of 1,633,660 Shares, which represents approximately 3.0% of the Shares outstanding. Of the Shares beneficially owned by TSLX, all such Shares may be voted by TSLX at the Special Meeting.</w:t>
      </w:r>
    </w:p>
    <w:p>
      <w:pPr>
        <w:spacing w:after="0" w:line="186" w:lineRule="exact"/>
        <w:rPr>
          <w:sz w:val="20"/>
          <w:szCs w:val="20"/>
          <w:color w:val="auto"/>
        </w:rPr>
      </w:pPr>
    </w:p>
    <w:p>
      <w:pPr>
        <w:ind w:right="60" w:firstLine="456"/>
        <w:spacing w:after="0" w:line="258" w:lineRule="auto"/>
        <w:rPr>
          <w:sz w:val="20"/>
          <w:szCs w:val="20"/>
          <w:color w:val="auto"/>
        </w:rPr>
      </w:pPr>
      <w:r>
        <w:rPr>
          <w:rFonts w:ascii="Times New Roman" w:cs="Times New Roman" w:eastAsia="Times New Roman" w:hAnsi="Times New Roman"/>
          <w:sz w:val="18"/>
          <w:szCs w:val="18"/>
          <w:color w:val="auto"/>
        </w:rPr>
        <w:t>According to the TICC Proxy Statement, the approval of the New Advisory Agreement will require the affirmative vote of “a majority of outstanding voting securities” entitled to vote at the Special Meeting, as defined under the 1940 Act. For purposes of approval of the New Advisory Agreement, “a majority of outstanding shares of common stock” is the lesser of: (i) 67% or more of the shares of common stock present at the Special Meeting if the holders of more than 50% of the outstanding common stock are present or represented by proxy; or (ii) more than 50% of TICC’s outstanding shares of common stock as of the Record Date.</w:t>
      </w:r>
    </w:p>
    <w:p>
      <w:pPr>
        <w:spacing w:after="0" w:line="184"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 xml:space="preserve">THIS SOLICITATION IS BEING MADE BY TSLX AND NOT ON BEHALF OF THE BOARD OR MANAGEMENT OF TICC. TSLX IS NOT AWARE OF ANY OTHER MATTERS TO BE BROUGHT BEFORE THE SPECIAL MEETING. SHOULD OTHER MATTERS, WHICH TSLX IS NOT AWARE OF A REASONABLE TIME BEFORE THIS SOLICITATION, BE BROUGHT BEFORE THE SPECIAL MEETING, THE PERSONS NAMED AS PROXIES IN THE ENCLOSED </w:t>
      </w:r>
      <w:r>
        <w:rPr>
          <w:rFonts w:ascii="Times New Roman" w:cs="Times New Roman" w:eastAsia="Times New Roman" w:hAnsi="Times New Roman"/>
          <w:sz w:val="18"/>
          <w:szCs w:val="18"/>
          <w:b w:val="1"/>
          <w:bCs w:val="1"/>
          <w:color w:val="auto"/>
        </w:rPr>
        <w:t>GOLD</w:t>
      </w:r>
      <w:r>
        <w:rPr>
          <w:rFonts w:ascii="Times New Roman" w:cs="Times New Roman" w:eastAsia="Times New Roman" w:hAnsi="Times New Roman"/>
          <w:sz w:val="18"/>
          <w:szCs w:val="18"/>
          <w:color w:val="auto"/>
        </w:rPr>
        <w:t xml:space="preserve"> PROXY CARD WILL VOTE ON SUCH MATTERS IN THEIR DISCRETION.</w:t>
      </w:r>
    </w:p>
    <w:p>
      <w:pPr>
        <w:spacing w:after="0" w:line="176" w:lineRule="exact"/>
        <w:rPr>
          <w:sz w:val="20"/>
          <w:szCs w:val="20"/>
          <w:color w:val="auto"/>
        </w:rPr>
      </w:pPr>
    </w:p>
    <w:p>
      <w:pPr>
        <w:ind w:right="200"/>
        <w:spacing w:after="0" w:line="268" w:lineRule="auto"/>
        <w:rPr>
          <w:sz w:val="20"/>
          <w:szCs w:val="20"/>
          <w:color w:val="auto"/>
        </w:rPr>
      </w:pPr>
      <w:r>
        <w:rPr>
          <w:rFonts w:ascii="Times New Roman" w:cs="Times New Roman" w:eastAsia="Times New Roman" w:hAnsi="Times New Roman"/>
          <w:sz w:val="18"/>
          <w:szCs w:val="18"/>
          <w:color w:val="auto"/>
        </w:rPr>
        <w:t xml:space="preserve">TSLX URGES YOU TO SIGN, DATE AND RETURN THE </w:t>
      </w:r>
      <w:r>
        <w:rPr>
          <w:rFonts w:ascii="Times New Roman" w:cs="Times New Roman" w:eastAsia="Times New Roman" w:hAnsi="Times New Roman"/>
          <w:sz w:val="18"/>
          <w:szCs w:val="18"/>
          <w:b w:val="1"/>
          <w:bCs w:val="1"/>
          <w:color w:val="auto"/>
        </w:rPr>
        <w:t>GOLD</w:t>
      </w:r>
      <w:r>
        <w:rPr>
          <w:rFonts w:ascii="Times New Roman" w:cs="Times New Roman" w:eastAsia="Times New Roman" w:hAnsi="Times New Roman"/>
          <w:sz w:val="18"/>
          <w:szCs w:val="18"/>
          <w:color w:val="auto"/>
        </w:rPr>
        <w:t xml:space="preserve"> PROXY CARD TO VOTE (1) “AGAINST” THE NEW ADVISORY AGREEMENT PROPOSAL, (2) “AGAINST” EACH OF THE DIRECTOR NOMINEES DESCRIBED IN PROPOSAL NO. 2 AND (3) “AGAINST” THE ADJOURNMENT PROPOSAL.</w:t>
      </w:r>
    </w:p>
    <w:p>
      <w:pPr>
        <w:spacing w:after="0" w:line="175" w:lineRule="exact"/>
        <w:rPr>
          <w:sz w:val="20"/>
          <w:szCs w:val="20"/>
          <w:color w:val="auto"/>
        </w:rPr>
      </w:pPr>
    </w:p>
    <w:p>
      <w:pPr>
        <w:ind w:right="380"/>
        <w:spacing w:after="0" w:line="258" w:lineRule="auto"/>
        <w:rPr>
          <w:sz w:val="20"/>
          <w:szCs w:val="20"/>
          <w:color w:val="auto"/>
        </w:rPr>
      </w:pPr>
      <w:r>
        <w:rPr>
          <w:rFonts w:ascii="Times New Roman" w:cs="Times New Roman" w:eastAsia="Times New Roman" w:hAnsi="Times New Roman"/>
          <w:sz w:val="18"/>
          <w:szCs w:val="18"/>
          <w:color w:val="auto"/>
        </w:rPr>
        <w:t xml:space="preserve">IF YOU HAVE ALREADY SENT A PROXY CARD FURNISHED BY TICC OR ANY OTHER PERSON, YOU MAY REVOKE THAT PROXY BY SIGNING, DATING AND RETURNING THE ENCLOSED </w:t>
      </w:r>
      <w:r>
        <w:rPr>
          <w:rFonts w:ascii="Times New Roman" w:cs="Times New Roman" w:eastAsia="Times New Roman" w:hAnsi="Times New Roman"/>
          <w:sz w:val="18"/>
          <w:szCs w:val="18"/>
          <w:b w:val="1"/>
          <w:bCs w:val="1"/>
          <w:color w:val="auto"/>
        </w:rPr>
        <w:t>GOLD</w:t>
      </w:r>
      <w:r>
        <w:rPr>
          <w:rFonts w:ascii="Times New Roman" w:cs="Times New Roman" w:eastAsia="Times New Roman" w:hAnsi="Times New Roman"/>
          <w:sz w:val="18"/>
          <w:szCs w:val="18"/>
          <w:color w:val="auto"/>
        </w:rPr>
        <w:t xml:space="preserve"> PROXY CARD. THE LATEST DATED PROXY IS THE ONLY ONE THAT COUNTS. ANY PROXY MAY BE REVOKED PRIOR TO 9:00 A.M., EASTERN TIME, ON OCTOBER 26, 2015 BY DELIVERING A WRITTEN NOTICE OF REVOCATION OR A LATER DATED PROXY FOR THE SPECIAL MEETING TO TSLX, C/O MACKENZIE PARTNERS, WHICH IS ASSISTING IN THIS SOLICITATION, OR TO TICC, C/O COMPUTERSHARE, OR BY VOTING IN PERSON AT THE SPECIAL MEETING.</w:t>
      </w:r>
    </w:p>
    <w:p>
      <w:pPr>
        <w:sectPr>
          <w:pgSz w:w="11900" w:h="16838" w:orient="portrait"/>
          <w:cols w:equalWidth="0" w:num="1">
            <w:col w:w="11420"/>
          </w:cols>
          <w:pgMar w:left="240" w:top="266" w:right="239" w:bottom="1440" w:gutter="0" w:footer="0" w:header="0"/>
        </w:sectPr>
      </w:pPr>
    </w:p>
    <w:bookmarkStart w:id="4" w:name="page5"/>
    <w:bookmarkEnd w:id="4"/>
    <w:p>
      <w:pPr>
        <w:jc w:val="center"/>
        <w:ind w:left="280" w:right="80"/>
        <w:spacing w:after="0" w:line="286"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IMPORTANT NOTICE REGARDING AVAILABILITY OF PROXY MATERIALS FOR THE SPECIAL MEETING OF STOCKHOLDERS TO BE HELD ON OCTOBER 27, 2015</w:t>
      </w:r>
    </w:p>
    <w:p>
      <w:pPr>
        <w:spacing w:after="0" w:line="155" w:lineRule="exact"/>
        <w:rPr>
          <w:sz w:val="20"/>
          <w:szCs w:val="20"/>
          <w:color w:val="auto"/>
        </w:rPr>
      </w:pPr>
    </w:p>
    <w:p>
      <w:pPr>
        <w:ind w:left="3800"/>
        <w:spacing w:after="0"/>
        <w:tabs>
          <w:tab w:leader="none" w:pos="7560" w:val="left"/>
        </w:tabs>
        <w:rPr>
          <w:sz w:val="20"/>
          <w:szCs w:val="20"/>
          <w:color w:val="auto"/>
        </w:rPr>
      </w:pPr>
      <w:r>
        <w:rPr>
          <w:rFonts w:ascii="Times New Roman" w:cs="Times New Roman" w:eastAsia="Times New Roman" w:hAnsi="Times New Roman"/>
          <w:sz w:val="18"/>
          <w:szCs w:val="18"/>
          <w:b w:val="1"/>
          <w:bCs w:val="1"/>
          <w:color w:val="auto"/>
        </w:rPr>
        <w:t>The proxy materials are available at [</w:t>
      </w:r>
      <w:r>
        <w:rPr>
          <w:sz w:val="20"/>
          <w:szCs w:val="20"/>
          <w:color w:val="auto"/>
        </w:rPr>
        <w:tab/>
      </w:r>
      <w:r>
        <w:rPr>
          <w:rFonts w:ascii="Times New Roman" w:cs="Times New Roman" w:eastAsia="Times New Roman" w:hAnsi="Times New Roman"/>
          <w:sz w:val="18"/>
          <w:szCs w:val="18"/>
          <w:b w:val="1"/>
          <w:bCs w:val="1"/>
          <w:color w:val="auto"/>
        </w:rPr>
        <w:t>]</w:t>
      </w:r>
    </w:p>
    <w:p>
      <w:pPr>
        <w:spacing w:after="0" w:line="200" w:lineRule="exact"/>
        <w:rPr>
          <w:sz w:val="20"/>
          <w:szCs w:val="20"/>
          <w:color w:val="auto"/>
        </w:rPr>
      </w:pPr>
    </w:p>
    <w:p>
      <w:pPr>
        <w:spacing w:after="0" w:line="24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IMPORTANT</w:t>
      </w:r>
    </w:p>
    <w:p>
      <w:pPr>
        <w:spacing w:after="0" w:line="225" w:lineRule="exact"/>
        <w:rPr>
          <w:sz w:val="20"/>
          <w:szCs w:val="20"/>
          <w:color w:val="auto"/>
        </w:rPr>
      </w:pPr>
    </w:p>
    <w:p>
      <w:pPr>
        <w:ind w:right="60" w:firstLine="456"/>
        <w:spacing w:after="0" w:line="286" w:lineRule="auto"/>
        <w:rPr>
          <w:sz w:val="20"/>
          <w:szCs w:val="20"/>
          <w:color w:val="auto"/>
        </w:rPr>
      </w:pPr>
      <w:r>
        <w:rPr>
          <w:rFonts w:ascii="Times New Roman" w:cs="Times New Roman" w:eastAsia="Times New Roman" w:hAnsi="Times New Roman"/>
          <w:sz w:val="18"/>
          <w:szCs w:val="18"/>
          <w:b w:val="1"/>
          <w:bCs w:val="1"/>
          <w:color w:val="auto"/>
        </w:rPr>
        <w:t>Your vote is important, no matter how many or how few Shares you own. TSLX urges you to sign, date, and return the enclosed GOLD proxy card today to vote AGAINST Proposals 1, 2 and 3.</w:t>
      </w:r>
    </w:p>
    <w:p>
      <w:pPr>
        <w:spacing w:after="0" w:line="155" w:lineRule="exact"/>
        <w:rPr>
          <w:sz w:val="20"/>
          <w:szCs w:val="20"/>
          <w:color w:val="auto"/>
        </w:rPr>
      </w:pPr>
    </w:p>
    <w:p>
      <w:pPr>
        <w:ind w:right="60" w:firstLine="456"/>
        <w:spacing w:after="0" w:line="268" w:lineRule="auto"/>
        <w:rPr>
          <w:sz w:val="20"/>
          <w:szCs w:val="20"/>
          <w:color w:val="auto"/>
        </w:rPr>
      </w:pPr>
      <w:r>
        <w:rPr>
          <w:rFonts w:ascii="Times New Roman" w:cs="Times New Roman" w:eastAsia="Times New Roman" w:hAnsi="Times New Roman"/>
          <w:sz w:val="18"/>
          <w:szCs w:val="18"/>
          <w:color w:val="auto"/>
        </w:rPr>
        <w:t xml:space="preserve">TSLX believes that the New Advisory Agreement is NOT in the best interest of the Company’s stockholders. A vote </w:t>
      </w:r>
      <w:r>
        <w:rPr>
          <w:rFonts w:ascii="Times New Roman" w:cs="Times New Roman" w:eastAsia="Times New Roman" w:hAnsi="Times New Roman"/>
          <w:sz w:val="18"/>
          <w:szCs w:val="18"/>
          <w:b w:val="1"/>
          <w:bCs w:val="1"/>
          <w:color w:val="auto"/>
        </w:rPr>
        <w:t>AGAINST</w:t>
      </w:r>
      <w:r>
        <w:rPr>
          <w:rFonts w:ascii="Times New Roman" w:cs="Times New Roman" w:eastAsia="Times New Roman" w:hAnsi="Times New Roman"/>
          <w:sz w:val="18"/>
          <w:szCs w:val="18"/>
          <w:color w:val="auto"/>
        </w:rPr>
        <w:t xml:space="preserve"> the proposals to be considered at the Special Meeting will enable you – as the owners of TICC – to send a message to the Board that you are committed to maximizing the value of your Shares and that you will not approve a proposed transaction that does not provide you with the best opportunity to do so.</w:t>
      </w:r>
    </w:p>
    <w:p>
      <w:pPr>
        <w:spacing w:after="0" w:line="76" w:lineRule="exact"/>
        <w:rPr>
          <w:sz w:val="20"/>
          <w:szCs w:val="20"/>
          <w:color w:val="auto"/>
        </w:rPr>
      </w:pPr>
    </w:p>
    <w:p>
      <w:pPr>
        <w:ind w:left="900" w:right="440" w:hanging="325"/>
        <w:spacing w:after="0" w:line="286" w:lineRule="auto"/>
        <w:tabs>
          <w:tab w:leader="none" w:pos="9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your Shares are registered in your own name, please sign and date the enclosed </w:t>
      </w:r>
      <w:r>
        <w:rPr>
          <w:rFonts w:ascii="Times New Roman" w:cs="Times New Roman" w:eastAsia="Times New Roman" w:hAnsi="Times New Roman"/>
          <w:sz w:val="18"/>
          <w:szCs w:val="18"/>
          <w:b w:val="1"/>
          <w:bCs w:val="1"/>
          <w:color w:val="auto"/>
        </w:rPr>
        <w:t>GOLD</w:t>
      </w:r>
      <w:r>
        <w:rPr>
          <w:rFonts w:ascii="Times New Roman" w:cs="Times New Roman" w:eastAsia="Times New Roman" w:hAnsi="Times New Roman"/>
          <w:sz w:val="18"/>
          <w:szCs w:val="18"/>
          <w:color w:val="auto"/>
        </w:rPr>
        <w:t xml:space="preserve"> proxy card and return it to TSLX, c/o MacKenzie Partners, in the enclosed envelope today.</w:t>
      </w:r>
    </w:p>
    <w:p>
      <w:pPr>
        <w:spacing w:after="0" w:line="64" w:lineRule="exact"/>
        <w:rPr>
          <w:rFonts w:ascii="Times New Roman" w:cs="Times New Roman" w:eastAsia="Times New Roman" w:hAnsi="Times New Roman"/>
          <w:sz w:val="18"/>
          <w:szCs w:val="18"/>
          <w:color w:val="auto"/>
        </w:rPr>
      </w:pPr>
    </w:p>
    <w:p>
      <w:pPr>
        <w:ind w:left="900" w:hanging="325"/>
        <w:spacing w:after="0" w:line="266" w:lineRule="auto"/>
        <w:tabs>
          <w:tab w:leader="none" w:pos="9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your Shares are held in a brokerage account or bank, you are considered the beneficial owner of the Shares, and these proxy materials, together with a </w:t>
      </w:r>
      <w:r>
        <w:rPr>
          <w:rFonts w:ascii="Times New Roman" w:cs="Times New Roman" w:eastAsia="Times New Roman" w:hAnsi="Times New Roman"/>
          <w:sz w:val="18"/>
          <w:szCs w:val="18"/>
          <w:b w:val="1"/>
          <w:bCs w:val="1"/>
          <w:color w:val="auto"/>
        </w:rPr>
        <w:t>GOLD</w:t>
      </w:r>
      <w:r>
        <w:rPr>
          <w:rFonts w:ascii="Times New Roman" w:cs="Times New Roman" w:eastAsia="Times New Roman" w:hAnsi="Times New Roman"/>
          <w:sz w:val="18"/>
          <w:szCs w:val="18"/>
          <w:color w:val="auto"/>
        </w:rPr>
        <w:t xml:space="preserve"> voting form, are being forwarded to you by your broker or bank. As a beneficial owner, you must instruct your broker, trustee or other representative how to vote. Your broker cannot vote your Shares on your behalf without your instructions.</w:t>
      </w:r>
    </w:p>
    <w:p>
      <w:pPr>
        <w:spacing w:after="0" w:line="81" w:lineRule="exact"/>
        <w:rPr>
          <w:rFonts w:ascii="Times New Roman" w:cs="Times New Roman" w:eastAsia="Times New Roman" w:hAnsi="Times New Roman"/>
          <w:sz w:val="18"/>
          <w:szCs w:val="18"/>
          <w:color w:val="auto"/>
        </w:rPr>
      </w:pPr>
    </w:p>
    <w:p>
      <w:pPr>
        <w:ind w:left="900" w:right="260" w:hanging="325"/>
        <w:spacing w:after="0" w:line="313" w:lineRule="auto"/>
        <w:tabs>
          <w:tab w:leader="none" w:pos="90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Depending upon your broker or custodian, you may be able to vote either by toll-free telephone or by the Internet. Please refer to the enclosed voting form for instructions on how to vote electronically. You may also vote by signing, dating and returning the enclosed voting form.</w:t>
      </w:r>
    </w:p>
    <w:p>
      <w:pPr>
        <w:spacing w:after="0" w:line="24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If you have any questions regarding your proxy,</w:t>
      </w:r>
    </w:p>
    <w:p>
      <w:pPr>
        <w:spacing w:after="0" w:line="2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or need assistance in voting your Shares by telephone or Internet, please call: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158115</wp:posOffset>
            </wp:positionV>
            <wp:extent cx="7276465" cy="13335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76465" cy="13335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i w:val="1"/>
          <w:iCs w:val="1"/>
          <w:color w:val="auto"/>
        </w:rPr>
        <w:t>105 Madison Avenue</w:t>
      </w:r>
    </w:p>
    <w:p>
      <w:pPr>
        <w:spacing w:after="0" w:line="2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i w:val="1"/>
          <w:iCs w:val="1"/>
          <w:color w:val="auto"/>
        </w:rPr>
        <w:t>New York, New York 10016</w:t>
      </w:r>
    </w:p>
    <w:p>
      <w:pPr>
        <w:spacing w:after="0" w:line="9" w:lineRule="exact"/>
        <w:rPr>
          <w:sz w:val="20"/>
          <w:szCs w:val="20"/>
          <w:color w:val="auto"/>
        </w:rPr>
      </w:pPr>
    </w:p>
    <w:p>
      <w:pPr>
        <w:jc w:val="both"/>
        <w:ind w:left="4620" w:right="4540" w:firstLine="30"/>
        <w:spacing w:after="0" w:line="250" w:lineRule="auto"/>
        <w:tabs>
          <w:tab w:leader="none" w:pos="5078" w:val="left"/>
        </w:tabs>
        <w:numPr>
          <w:ilvl w:val="0"/>
          <w:numId w:val="10"/>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929-5500 (Call Collect) TPG@mackenziepartners.com</w:t>
      </w:r>
    </w:p>
    <w:p>
      <w:pPr>
        <w:ind w:left="5660"/>
        <w:spacing w:after="0"/>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or</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i w:val="1"/>
          <w:iCs w:val="1"/>
          <w:color w:val="auto"/>
        </w:rPr>
        <w:t>CALL TOLL FREE (800) 322-2885</w:t>
      </w:r>
    </w:p>
    <w:p>
      <w:pPr>
        <w:sectPr>
          <w:pgSz w:w="11900" w:h="16838" w:orient="portrait"/>
          <w:cols w:equalWidth="0" w:num="1">
            <w:col w:w="11380"/>
          </w:cols>
          <w:pgMar w:left="240" w:top="266" w:right="279" w:bottom="1440" w:gutter="0" w:footer="0" w:header="0"/>
        </w:sectPr>
      </w:pPr>
    </w:p>
    <w:bookmarkStart w:id="5" w:name="page6"/>
    <w:bookmarkEnd w:id="5"/>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BACKGROUND OF THE SOLICITATION</w:t>
      </w:r>
    </w:p>
    <w:p>
      <w:pPr>
        <w:spacing w:after="0" w:line="229" w:lineRule="exact"/>
        <w:rPr>
          <w:sz w:val="20"/>
          <w:szCs w:val="20"/>
          <w:color w:val="auto"/>
        </w:rPr>
      </w:pPr>
    </w:p>
    <w:p>
      <w:pPr>
        <w:jc w:val="both"/>
        <w:ind w:firstLine="456"/>
        <w:spacing w:after="0" w:line="261" w:lineRule="auto"/>
        <w:rPr>
          <w:sz w:val="20"/>
          <w:szCs w:val="20"/>
          <w:color w:val="auto"/>
        </w:rPr>
      </w:pPr>
      <w:r>
        <w:rPr>
          <w:rFonts w:ascii="Times New Roman" w:cs="Times New Roman" w:eastAsia="Times New Roman" w:hAnsi="Times New Roman"/>
          <w:sz w:val="18"/>
          <w:szCs w:val="18"/>
          <w:color w:val="auto"/>
        </w:rPr>
        <w:t>As part of the continuous evaluation and planning of its business, TSLX regularly considers a variety of strategic options, including acquisitions. In the course of this ongoing evaluation process, TSLX recognized the opportunity to leverage its expertise in sourcing, underwriting and asset management across credit disciplines to the advantage of both TSLX and target stockholders through mergers or other combinations and, in this respect, has considered from time to time an acquisition of various participants in its industry, including TICC.</w:t>
      </w:r>
    </w:p>
    <w:p>
      <w:pPr>
        <w:spacing w:after="0" w:line="180" w:lineRule="exact"/>
        <w:rPr>
          <w:sz w:val="20"/>
          <w:szCs w:val="20"/>
          <w:color w:val="auto"/>
        </w:rPr>
      </w:pPr>
    </w:p>
    <w:p>
      <w:pPr>
        <w:ind w:right="20" w:firstLine="456"/>
        <w:spacing w:after="0" w:line="255" w:lineRule="auto"/>
        <w:rPr>
          <w:sz w:val="20"/>
          <w:szCs w:val="20"/>
          <w:color w:val="auto"/>
        </w:rPr>
      </w:pPr>
      <w:r>
        <w:rPr>
          <w:rFonts w:ascii="Times New Roman" w:cs="Times New Roman" w:eastAsia="Times New Roman" w:hAnsi="Times New Roman"/>
          <w:sz w:val="18"/>
          <w:szCs w:val="18"/>
          <w:color w:val="auto"/>
        </w:rPr>
        <w:t>On August 4, 2015, TICC issued a press release announcing that members of the Existing Adviser had entered into an agreement with BSP, pursuant to which an affiliate of BSP would acquire the Existing Adviser and enter into the New Advisory Agreement on the same terms as the Existing Advisory Agreement, subject to approval by TICC’s stockholders at the Special Meeting. In connection with the New Advisory Agreement, BSP also proposed to replace the current members of the Existing Adviser’s investment committee, to expand the size of the TICC Board to accommodate the addition of four new non-interested directors selected by BSP for election at the Special Meeting, and to replace the two existing interested directors on the TICC Board with Thomas Gahan, Founder and CEO of BSP, and Richard Byrne, President of BSP. In response to the announcement, shares of TICC stock trading on the Nasdaq Stock Market closed at $6.46 on August 4, 2015, up 2.9% over the prior day’s close.</w:t>
      </w:r>
    </w:p>
    <w:p>
      <w:pPr>
        <w:spacing w:after="0" w:line="189" w:lineRule="exact"/>
        <w:rPr>
          <w:sz w:val="20"/>
          <w:szCs w:val="20"/>
          <w:color w:val="auto"/>
        </w:rPr>
      </w:pPr>
    </w:p>
    <w:p>
      <w:pPr>
        <w:ind w:right="20" w:firstLine="456"/>
        <w:spacing w:after="0" w:line="258" w:lineRule="auto"/>
        <w:rPr>
          <w:sz w:val="20"/>
          <w:szCs w:val="20"/>
          <w:color w:val="auto"/>
        </w:rPr>
      </w:pPr>
      <w:r>
        <w:rPr>
          <w:rFonts w:ascii="Times New Roman" w:cs="Times New Roman" w:eastAsia="Times New Roman" w:hAnsi="Times New Roman"/>
          <w:sz w:val="18"/>
          <w:szCs w:val="18"/>
          <w:color w:val="auto"/>
        </w:rPr>
        <w:t>On August 11, 2015, according to a NexPoint press release issued on August 19, NexPoint proposed to the TICC Board that it be selected as the investment adviser of TICC instead of the BSP affiliate (the “First NexPoint Proposal”). According to the TICC Proxy Statement, following receipt of the First NexPoint Proposal, the TICC Board formed a special committee consisting of TICC’s three non-interested directors (the “Special Committee”) in order to evaluate the First NexPoint Proposal. On August 19, 2015, NexPoint publicly announced in a press release that it had tendered the First NexPoint Proposal to the TICC Board.</w:t>
      </w:r>
    </w:p>
    <w:p>
      <w:pPr>
        <w:spacing w:after="0" w:line="18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On September 1, 2015, NexPoint submitted a revised proposal (the “Second NexPoint Proposal”) to the TICC Board.</w:t>
      </w:r>
    </w:p>
    <w:p>
      <w:pPr>
        <w:spacing w:after="0" w:line="225" w:lineRule="exact"/>
        <w:rPr>
          <w:sz w:val="20"/>
          <w:szCs w:val="20"/>
          <w:color w:val="auto"/>
        </w:rPr>
      </w:pPr>
    </w:p>
    <w:p>
      <w:pPr>
        <w:ind w:right="60" w:firstLine="456"/>
        <w:spacing w:after="0" w:line="261" w:lineRule="auto"/>
        <w:rPr>
          <w:sz w:val="20"/>
          <w:szCs w:val="20"/>
          <w:color w:val="auto"/>
        </w:rPr>
      </w:pPr>
      <w:r>
        <w:rPr>
          <w:rFonts w:ascii="Times New Roman" w:cs="Times New Roman" w:eastAsia="Times New Roman" w:hAnsi="Times New Roman"/>
          <w:sz w:val="18"/>
          <w:szCs w:val="18"/>
          <w:color w:val="auto"/>
        </w:rPr>
        <w:t>According to the TICC Proxy Statement, after consideration of the First NexPoint Proposal and the Second NexPoint Proposal, the Special Committee determined to continue to support the BSP Transaction and directed TICC’s management to renegotiate the terms of the New Advisory Agreement with BSP in light of NexPoint’s proposals. As a result of these discussions, BSP agreed to revise the New Advisory Agreement to provide for lower fees and other commitments. The TICC Board subsequently determined to approve and recommend to TICC stockholders the New Advisory Agreement.</w:t>
      </w:r>
    </w:p>
    <w:p>
      <w:pPr>
        <w:spacing w:after="0" w:line="180" w:lineRule="exact"/>
        <w:rPr>
          <w:sz w:val="20"/>
          <w:szCs w:val="20"/>
          <w:color w:val="auto"/>
        </w:rPr>
      </w:pPr>
    </w:p>
    <w:p>
      <w:pPr>
        <w:ind w:right="40" w:firstLine="456"/>
        <w:spacing w:after="0" w:line="282" w:lineRule="auto"/>
        <w:rPr>
          <w:sz w:val="20"/>
          <w:szCs w:val="20"/>
          <w:color w:val="auto"/>
        </w:rPr>
      </w:pPr>
      <w:r>
        <w:rPr>
          <w:rFonts w:ascii="Times New Roman" w:cs="Times New Roman" w:eastAsia="Times New Roman" w:hAnsi="Times New Roman"/>
          <w:sz w:val="18"/>
          <w:szCs w:val="18"/>
          <w:color w:val="auto"/>
        </w:rPr>
        <w:t>On September 3, 2015, TICC filed a definitive proxy statement on Schedule 14A in respect of the Special Meeting, in which it announced that the date of the Special Meeting would be October 27, 2015.</w:t>
      </w:r>
    </w:p>
    <w:p>
      <w:pPr>
        <w:spacing w:after="0" w:line="162" w:lineRule="exact"/>
        <w:rPr>
          <w:sz w:val="20"/>
          <w:szCs w:val="20"/>
          <w:color w:val="auto"/>
        </w:rPr>
      </w:pPr>
    </w:p>
    <w:p>
      <w:pPr>
        <w:ind w:firstLine="456"/>
        <w:spacing w:after="0" w:line="258" w:lineRule="auto"/>
        <w:rPr>
          <w:sz w:val="20"/>
          <w:szCs w:val="20"/>
          <w:color w:val="auto"/>
        </w:rPr>
      </w:pPr>
      <w:r>
        <w:rPr>
          <w:rFonts w:ascii="Times New Roman" w:cs="Times New Roman" w:eastAsia="Times New Roman" w:hAnsi="Times New Roman"/>
          <w:sz w:val="18"/>
          <w:szCs w:val="18"/>
          <w:color w:val="auto"/>
        </w:rPr>
        <w:t>On September 10, 2015, Joshua Easterly, Co-Chief Executive Officer and Chairman of the Board of Directors of TSLX, called Steven Novak, Chairman of the Special Committee, to convey TSLX’s interest in acquiring TICC. Following the call, Mr. Easterly delivered to Mr. Novak, on behalf of the Special Committee, a letter setting forth a proposal for TSLX to acquire TICC in an all-stock transaction that would result in TICC stockholders receiving a number of shares of TSLX common stock that results in TICC stockholders receiving $7.50 in value per share as of the signing date of a definitive agreement (the “TSLX Proposal”). The text of the letter from Mr. Easterly and his Co-Chief Executive Officer, Michael Fishman, is as follows:</w:t>
      </w:r>
    </w:p>
    <w:p>
      <w:pPr>
        <w:spacing w:after="0" w:line="11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380"/>
          </w:cols>
          <w:pgMar w:left="240" w:top="266" w:right="279" w:bottom="1440" w:gutter="0" w:footer="0" w:header="0"/>
        </w:sectPr>
      </w:pPr>
    </w:p>
    <w:bookmarkStart w:id="6" w:name="page7"/>
    <w:bookmarkEnd w:id="6"/>
    <w:p>
      <w:pPr>
        <w:ind w:left="46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August 10, 2015</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Special Committee of the Board of Directors</w:t>
      </w:r>
    </w:p>
    <w:p>
      <w:pPr>
        <w:spacing w:after="0" w:line="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TICC Capital Corp.</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8 Sound Shore Drive, Suite 255</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Greenwich, CT 06830</w:t>
      </w:r>
    </w:p>
    <w:p>
      <w:pPr>
        <w:spacing w:after="0" w:line="20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Attention: Mr. Steven P. Novak, Chairman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Dear Steve:</w:t>
      </w:r>
    </w:p>
    <w:p>
      <w:pPr>
        <w:spacing w:after="0" w:line="117" w:lineRule="exact"/>
        <w:rPr>
          <w:sz w:val="20"/>
          <w:szCs w:val="20"/>
          <w:color w:val="auto"/>
        </w:rPr>
      </w:pPr>
    </w:p>
    <w:p>
      <w:pPr>
        <w:ind w:right="120" w:firstLine="438"/>
        <w:spacing w:after="0" w:line="261" w:lineRule="auto"/>
        <w:rPr>
          <w:sz w:val="20"/>
          <w:szCs w:val="20"/>
          <w:color w:val="auto"/>
        </w:rPr>
      </w:pPr>
      <w:r>
        <w:rPr>
          <w:rFonts w:ascii="Times New Roman" w:cs="Times New Roman" w:eastAsia="Times New Roman" w:hAnsi="Times New Roman"/>
          <w:sz w:val="18"/>
          <w:szCs w:val="18"/>
          <w:color w:val="auto"/>
        </w:rPr>
        <w:t>Thank you for the opportunity to speak with you earlier today. As we discussed, we at TPG Specialty Lending, Inc. (“TSLX”) have watched the recent events regarding the future of TICC Capital Corp. (“TICC”) with significant interest. After a great deal of consideration and analysis, we feel strongly that a combination of our two businesses would be in our mutual interests as it will deliver an immediate and substantial premium to your stockholders while offering a clear path to long-term value creation for stockholders of both organizations.</w:t>
      </w:r>
    </w:p>
    <w:p>
      <w:pPr>
        <w:spacing w:after="0" w:line="180" w:lineRule="exact"/>
        <w:rPr>
          <w:sz w:val="20"/>
          <w:szCs w:val="20"/>
          <w:color w:val="auto"/>
        </w:rPr>
      </w:pPr>
    </w:p>
    <w:p>
      <w:pPr>
        <w:ind w:firstLine="438"/>
        <w:spacing w:after="0" w:line="258" w:lineRule="auto"/>
        <w:rPr>
          <w:sz w:val="20"/>
          <w:szCs w:val="20"/>
          <w:color w:val="auto"/>
        </w:rPr>
      </w:pPr>
      <w:r>
        <w:rPr>
          <w:rFonts w:ascii="Times New Roman" w:cs="Times New Roman" w:eastAsia="Times New Roman" w:hAnsi="Times New Roman"/>
          <w:sz w:val="18"/>
          <w:szCs w:val="18"/>
          <w:color w:val="auto"/>
        </w:rPr>
        <w:t>We are therefore pleased to propose a transaction in which TICC would merge with a wholly owned subsidiary of TSLX, and each outstanding share of TICC common stock would be converted into the right to receive a number of shares of TSLX common stock that results in TICC stockholders receiving $7.50 in value per share as of the signing date of a definitive agreement, representing a 20% premium to the undisturbed trading price of TICC’s common stock as of August 3, 2015. Alternatively, we would also be open to discussing with you a transaction in which TICC stockholders receive a combination of cash and shares of TSLX common stock for their TICC stock.</w:t>
      </w:r>
    </w:p>
    <w:p>
      <w:pPr>
        <w:spacing w:after="0" w:line="184" w:lineRule="exact"/>
        <w:rPr>
          <w:sz w:val="20"/>
          <w:szCs w:val="20"/>
          <w:color w:val="auto"/>
        </w:rPr>
      </w:pPr>
    </w:p>
    <w:p>
      <w:pPr>
        <w:ind w:right="60" w:firstLine="438"/>
        <w:spacing w:after="0" w:line="261" w:lineRule="auto"/>
        <w:rPr>
          <w:sz w:val="20"/>
          <w:szCs w:val="20"/>
          <w:color w:val="auto"/>
        </w:rPr>
      </w:pPr>
      <w:r>
        <w:rPr>
          <w:rFonts w:ascii="Times New Roman" w:cs="Times New Roman" w:eastAsia="Times New Roman" w:hAnsi="Times New Roman"/>
          <w:sz w:val="18"/>
          <w:szCs w:val="18"/>
          <w:color w:val="auto"/>
        </w:rPr>
        <w:t>We are aware of TICC’s recent decision to enter into a new investment advisory agreement with TICC Management, LLC in connection with the acquisition of TICC Management, LLC by an affiliate of Benefit Street Partners L.L.C. (“Benefit Street Partners”). We feel strongly, and believe your stockholders will as well, that our alternative offer is far superior to a proposal to replace the existing investment advisory agreement given the immediate and highly compelling value it provides to TICC stockholders.</w:t>
      </w:r>
    </w:p>
    <w:p>
      <w:pPr>
        <w:spacing w:after="0" w:line="180" w:lineRule="exact"/>
        <w:rPr>
          <w:sz w:val="20"/>
          <w:szCs w:val="20"/>
          <w:color w:val="auto"/>
        </w:rPr>
      </w:pPr>
    </w:p>
    <w:p>
      <w:pPr>
        <w:ind w:right="40" w:firstLine="438"/>
        <w:spacing w:after="0" w:line="261" w:lineRule="auto"/>
        <w:rPr>
          <w:sz w:val="20"/>
          <w:szCs w:val="20"/>
          <w:color w:val="auto"/>
        </w:rPr>
      </w:pPr>
      <w:r>
        <w:rPr>
          <w:rFonts w:ascii="Times New Roman" w:cs="Times New Roman" w:eastAsia="Times New Roman" w:hAnsi="Times New Roman"/>
          <w:sz w:val="18"/>
          <w:szCs w:val="18"/>
          <w:color w:val="auto"/>
        </w:rPr>
        <w:t>TSLX is a specialty finance company focused on providing flexible, fully committed financing solutions to middle market companies principally located in the United States. We partner with companies across a variety of industries and excel at providing creative solutions to companies with complex business models that may have limited access to capital. Similar to TICC, we are a business development company and are externally managed by TSL Advisers, LLC, an SEC-registered investment adviser.</w:t>
      </w:r>
    </w:p>
    <w:p>
      <w:pPr>
        <w:spacing w:after="0" w:line="180" w:lineRule="exact"/>
        <w:rPr>
          <w:sz w:val="20"/>
          <w:szCs w:val="20"/>
          <w:color w:val="auto"/>
        </w:rPr>
      </w:pPr>
    </w:p>
    <w:p>
      <w:pPr>
        <w:ind w:right="160" w:firstLine="438"/>
        <w:spacing w:after="0" w:line="266" w:lineRule="auto"/>
        <w:rPr>
          <w:sz w:val="20"/>
          <w:szCs w:val="20"/>
          <w:color w:val="auto"/>
        </w:rPr>
      </w:pPr>
      <w:r>
        <w:rPr>
          <w:rFonts w:ascii="Times New Roman" w:cs="Times New Roman" w:eastAsia="Times New Roman" w:hAnsi="Times New Roman"/>
          <w:sz w:val="18"/>
          <w:szCs w:val="18"/>
          <w:color w:val="auto"/>
        </w:rPr>
        <w:t>As detailed in the attached appendix, our business is strongly differentiated by our ability to leverage the deep investment, sector, and operating resources of TPG Special Situations Partners (“TSSP”), the dedicated special situations and credit platform of TPG, with over $12 billion of assets under management, and the broader TPG platform, a global private investment firm with over $74 billion of assets under management.</w:t>
      </w:r>
    </w:p>
    <w:p>
      <w:pPr>
        <w:spacing w:after="0" w:line="176" w:lineRule="exact"/>
        <w:rPr>
          <w:sz w:val="20"/>
          <w:szCs w:val="20"/>
          <w:color w:val="auto"/>
        </w:rPr>
      </w:pPr>
    </w:p>
    <w:p>
      <w:pPr>
        <w:ind w:right="80" w:firstLine="438"/>
        <w:spacing w:after="0" w:line="266" w:lineRule="auto"/>
        <w:rPr>
          <w:sz w:val="20"/>
          <w:szCs w:val="20"/>
          <w:color w:val="auto"/>
        </w:rPr>
      </w:pPr>
      <w:r>
        <w:rPr>
          <w:rFonts w:ascii="Times New Roman" w:cs="Times New Roman" w:eastAsia="Times New Roman" w:hAnsi="Times New Roman"/>
          <w:sz w:val="18"/>
          <w:szCs w:val="18"/>
          <w:color w:val="auto"/>
        </w:rPr>
        <w:t>We have the expertise and experience to be an excellent steward of TICC’s portfolio. Though we intend to rotate TICC’s assets into higher value added investments focused on illiquid private credit, we have a deep understanding of liquid credit investments and CLO equity investments. TSSP manages investment vehicles that hold over $2.0 billion of similar assets and manages four active CLOs.</w:t>
      </w:r>
    </w:p>
    <w:p>
      <w:pPr>
        <w:spacing w:after="0" w:line="109"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940"/>
          </w:cols>
          <w:pgMar w:left="700" w:top="270" w:right="259" w:bottom="1440" w:gutter="0" w:footer="0" w:header="0"/>
        </w:sectPr>
      </w:pPr>
    </w:p>
    <w:bookmarkStart w:id="7" w:name="page8"/>
    <w:bookmarkEnd w:id="7"/>
    <w:p>
      <w:pPr>
        <w:ind w:left="452" w:right="200" w:firstLine="438"/>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Further, among business development companies, TSLX has one of the largest proportions of institutional stockholders. We strive for transparency with investors and have a proven track record of returns to our stockholders. Last year, we generated total returns of 14.7% compared to the sector average of -7.5%.</w:t>
      </w:r>
      <w:r>
        <w:rPr>
          <w:rFonts w:ascii="Times New Roman" w:cs="Times New Roman" w:eastAsia="Times New Roman" w:hAnsi="Times New Roman"/>
          <w:sz w:val="15"/>
          <w:szCs w:val="15"/>
          <w:color w:val="auto"/>
        </w:rPr>
        <w:t>1</w:t>
      </w:r>
      <w:r>
        <w:rPr>
          <w:rFonts w:ascii="Times New Roman" w:cs="Times New Roman" w:eastAsia="Times New Roman" w:hAnsi="Times New Roman"/>
          <w:sz w:val="18"/>
          <w:szCs w:val="18"/>
          <w:color w:val="auto"/>
        </w:rPr>
        <w:t xml:space="preserve"> We have over-earned our dividend on a net investment income per share basis every year since our inception, while growing net asset value per share from $14.06 after organizational costs to $15.84 as of June 30, 2015. As of June 30, 2015, our portfolio had a fair value of approximately $1,398 million invested across 40 portfolio companies.</w:t>
      </w:r>
    </w:p>
    <w:p>
      <w:pPr>
        <w:spacing w:after="0" w:line="184" w:lineRule="exact"/>
        <w:rPr>
          <w:sz w:val="20"/>
          <w:szCs w:val="20"/>
          <w:color w:val="auto"/>
        </w:rPr>
      </w:pPr>
    </w:p>
    <w:p>
      <w:pPr>
        <w:jc w:val="center"/>
        <w:ind w:right="-31"/>
        <w:spacing w:after="0"/>
        <w:rPr>
          <w:sz w:val="20"/>
          <w:szCs w:val="20"/>
          <w:color w:val="auto"/>
        </w:rPr>
      </w:pPr>
      <w:r>
        <w:rPr>
          <w:rFonts w:ascii="Times New Roman" w:cs="Times New Roman" w:eastAsia="Times New Roman" w:hAnsi="Times New Roman"/>
          <w:sz w:val="18"/>
          <w:szCs w:val="18"/>
          <w:color w:val="auto"/>
        </w:rPr>
        <w:t>A combination with TSLX offers clear advantages to the existing proposals to replace TICC’s current investment advisory agreement:</w:t>
      </w:r>
    </w:p>
    <w:p>
      <w:pPr>
        <w:spacing w:after="0" w:line="131" w:lineRule="exact"/>
        <w:rPr>
          <w:sz w:val="20"/>
          <w:szCs w:val="20"/>
          <w:color w:val="auto"/>
        </w:rPr>
      </w:pPr>
    </w:p>
    <w:p>
      <w:pPr>
        <w:ind w:left="1112" w:right="120" w:hanging="315"/>
        <w:spacing w:after="0" w:line="282" w:lineRule="auto"/>
        <w:tabs>
          <w:tab w:leader="none" w:pos="1112"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First, TICC stockholders would be able to exchange their shares at a 20% premium to the undisturbed trading price of TICC’s common stock as of August 3, 2015.</w:t>
      </w:r>
    </w:p>
    <w:p>
      <w:pPr>
        <w:spacing w:after="0" w:line="67" w:lineRule="exact"/>
        <w:rPr>
          <w:rFonts w:ascii="Times New Roman" w:cs="Times New Roman" w:eastAsia="Times New Roman" w:hAnsi="Times New Roman"/>
          <w:sz w:val="18"/>
          <w:szCs w:val="18"/>
          <w:color w:val="auto"/>
        </w:rPr>
      </w:pPr>
    </w:p>
    <w:p>
      <w:pPr>
        <w:ind w:left="1112" w:right="540" w:hanging="315"/>
        <w:spacing w:after="0" w:line="282" w:lineRule="auto"/>
        <w:tabs>
          <w:tab w:leader="none" w:pos="1112"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Second, after giving effect to our proposed transaction, TICC stockholders would enjoy the benefits under TSLX’s investment advisory agreement of a highly competitive management fee of 1.5% and an adviser incentive fee of 17.5% over a 6% hurdle rate.</w:t>
      </w:r>
    </w:p>
    <w:p>
      <w:pPr>
        <w:spacing w:after="0" w:line="67" w:lineRule="exact"/>
        <w:rPr>
          <w:rFonts w:ascii="Times New Roman" w:cs="Times New Roman" w:eastAsia="Times New Roman" w:hAnsi="Times New Roman"/>
          <w:sz w:val="18"/>
          <w:szCs w:val="18"/>
          <w:color w:val="auto"/>
        </w:rPr>
      </w:pPr>
    </w:p>
    <w:p>
      <w:pPr>
        <w:ind w:left="1112" w:right="60" w:hanging="315"/>
        <w:spacing w:after="0" w:line="258" w:lineRule="auto"/>
        <w:tabs>
          <w:tab w:leader="none" w:pos="1112"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Third, TSLX has a proven track record of delivering superior returns to stockholders and of stable dividends. Not only has TSLX over-earned its dividend on net investment income every year since inception, but its dividend has been stable since TSLX went public in March 2014. Our stock-for-stock proposal provides TICC stockholders with the option to participate in this demonstrated long-term growth and to invest in less accessible illiquid assets that have superior risk return, while benefiting from a market-leading cost structure that drives return on equity for stockholders.</w:t>
      </w:r>
    </w:p>
    <w:p>
      <w:pPr>
        <w:spacing w:after="0" w:line="89" w:lineRule="exact"/>
        <w:rPr>
          <w:rFonts w:ascii="Times New Roman" w:cs="Times New Roman" w:eastAsia="Times New Roman" w:hAnsi="Times New Roman"/>
          <w:sz w:val="18"/>
          <w:szCs w:val="18"/>
          <w:color w:val="auto"/>
        </w:rPr>
      </w:pPr>
    </w:p>
    <w:p>
      <w:pPr>
        <w:ind w:left="1112" w:hanging="315"/>
        <w:spacing w:after="0" w:line="266" w:lineRule="auto"/>
        <w:tabs>
          <w:tab w:leader="none" w:pos="1112"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Fourth, as a result of our proposed transaction, TICC stockholders would benefit from increased liquidity, by owning shares in a combined company having a pro forma market capitalization potentially in excess of $1.3 billion, as compared to TICC’s current market capitalization of approximately $415 million.</w:t>
      </w:r>
    </w:p>
    <w:p>
      <w:pPr>
        <w:spacing w:after="0" w:line="176" w:lineRule="exact"/>
        <w:rPr>
          <w:sz w:val="20"/>
          <w:szCs w:val="20"/>
          <w:color w:val="auto"/>
        </w:rPr>
      </w:pPr>
    </w:p>
    <w:p>
      <w:pPr>
        <w:ind w:left="452" w:right="120" w:firstLine="438"/>
        <w:spacing w:after="0" w:line="266" w:lineRule="auto"/>
        <w:rPr>
          <w:sz w:val="20"/>
          <w:szCs w:val="20"/>
          <w:color w:val="auto"/>
        </w:rPr>
      </w:pPr>
      <w:r>
        <w:rPr>
          <w:rFonts w:ascii="Times New Roman" w:cs="Times New Roman" w:eastAsia="Times New Roman" w:hAnsi="Times New Roman"/>
          <w:sz w:val="18"/>
          <w:szCs w:val="18"/>
          <w:color w:val="auto"/>
        </w:rPr>
        <w:t>In sum, any proposal focused solely on replacing TICC’s current investment advisory agreement cannot deliver the significant and tangible benefits of the substantial and immediate up-front premium we are offering, nor the increased liquidity and opportunity for long-term growth provided by our proposal.</w:t>
      </w:r>
    </w:p>
    <w:p>
      <w:pPr>
        <w:spacing w:after="0" w:line="176" w:lineRule="exact"/>
        <w:rPr>
          <w:sz w:val="20"/>
          <w:szCs w:val="20"/>
          <w:color w:val="auto"/>
        </w:rPr>
      </w:pPr>
    </w:p>
    <w:p>
      <w:pPr>
        <w:ind w:left="452" w:right="60" w:firstLine="438"/>
        <w:spacing w:after="0" w:line="261" w:lineRule="auto"/>
        <w:rPr>
          <w:sz w:val="20"/>
          <w:szCs w:val="20"/>
          <w:color w:val="auto"/>
        </w:rPr>
      </w:pPr>
      <w:r>
        <w:rPr>
          <w:rFonts w:ascii="Times New Roman" w:cs="Times New Roman" w:eastAsia="Times New Roman" w:hAnsi="Times New Roman"/>
          <w:sz w:val="18"/>
          <w:szCs w:val="18"/>
          <w:color w:val="auto"/>
        </w:rPr>
        <w:t>TSLX has a keen interest in value being delivered to TICC stockholders, as we currently own approximately 3% of TICC’s outstanding common stock. These shares are eligible to vote at the special meeting of stockholders to be held on October 27, 2015 to approve the new investment advisory agreement. More generally, we are committed to fostering a culture of robust corporate governance. We seek transparency and to put stockholders first, as evidenced by, among other things, our selective capital raising efforts and continuous stock repurchase programs.</w:t>
      </w:r>
    </w:p>
    <w:p>
      <w:pPr>
        <w:spacing w:after="0" w:line="180" w:lineRule="exact"/>
        <w:rPr>
          <w:sz w:val="20"/>
          <w:szCs w:val="20"/>
          <w:color w:val="auto"/>
        </w:rPr>
      </w:pPr>
    </w:p>
    <w:p>
      <w:pPr>
        <w:ind w:left="452" w:right="220" w:firstLine="438"/>
        <w:spacing w:after="0" w:line="256" w:lineRule="auto"/>
        <w:rPr>
          <w:sz w:val="20"/>
          <w:szCs w:val="20"/>
          <w:color w:val="auto"/>
        </w:rPr>
      </w:pPr>
      <w:r>
        <w:rPr>
          <w:rFonts w:ascii="Times New Roman" w:cs="Times New Roman" w:eastAsia="Times New Roman" w:hAnsi="Times New Roman"/>
          <w:sz w:val="18"/>
          <w:szCs w:val="18"/>
          <w:color w:val="auto"/>
        </w:rPr>
        <w:t>While we believe that our proposal is a full and fair one, we note that it is based solely on publicly available information and our knowledge of the industry. We would welcome the opportunity to gain a deeper understanding of TICC and the resulting benefits of a combination with TSLX by conducting confirmatory due diligence of a customary nature. In connection with our proposal, we have retained Goldman, Sachs &amp; Co. as our financial advisor and Cleary Gottlieb Steen &amp; Hamilton LLP as our legal advisor. We and our advisors are prepared to get started immediately on confirmatory due diligence and the negotiation of appropriate definitive agreements, and believe that, with your cooperation and assistance, we can complete the process very promptly.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79375</wp:posOffset>
            </wp:positionV>
            <wp:extent cx="72898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41" w:lineRule="exact"/>
        <w:rPr>
          <w:sz w:val="20"/>
          <w:szCs w:val="20"/>
          <w:color w:val="auto"/>
        </w:rPr>
      </w:pPr>
    </w:p>
    <w:p>
      <w:pPr>
        <w:ind w:left="212" w:right="100" w:hanging="212"/>
        <w:spacing w:after="0" w:line="282" w:lineRule="auto"/>
        <w:tabs>
          <w:tab w:leader="none" w:pos="212" w:val="left"/>
        </w:tabs>
        <w:numPr>
          <w:ilvl w:val="0"/>
          <w:numId w:val="12"/>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Sector average calculated as the average 2014 total share price return of ARCC, ACAS, PSEC, AINV, MAIN, FSC, SLRC, GBDC, HTGC, PNNT, MCC, TCAP, NMFC, BKCC, and TCRD.</w:t>
      </w:r>
    </w:p>
    <w:p>
      <w:pPr>
        <w:spacing w:after="0" w:line="94"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412"/>
          </w:cols>
          <w:pgMar w:left="248" w:top="270" w:right="239" w:bottom="1440" w:gutter="0" w:footer="0" w:header="0"/>
        </w:sectPr>
      </w:pPr>
    </w:p>
    <w:bookmarkStart w:id="8" w:name="page9"/>
    <w:bookmarkEnd w:id="8"/>
    <w:p>
      <w:pPr>
        <w:jc w:val="both"/>
        <w:ind w:firstLine="438"/>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Given the premium our proposal offers for TICC’s shares, we trust that the Special Committee will give it careful consideration. We look forward to hearing from you promptly, and stand ready and willing to promptly engage in discussions and address any questions or concerns you may have. We also reserve the right to publicly disclose this letter and to take other steps in furtherance of our proposal.</w:t>
      </w:r>
    </w:p>
    <w:p>
      <w:pPr>
        <w:spacing w:after="0" w:line="176" w:lineRule="exact"/>
        <w:rPr>
          <w:sz w:val="20"/>
          <w:szCs w:val="20"/>
          <w:color w:val="auto"/>
        </w:rPr>
      </w:pPr>
    </w:p>
    <w:p>
      <w:pPr>
        <w:ind w:right="220" w:firstLine="438"/>
        <w:spacing w:after="0" w:line="266" w:lineRule="auto"/>
        <w:rPr>
          <w:sz w:val="20"/>
          <w:szCs w:val="20"/>
          <w:color w:val="auto"/>
        </w:rPr>
      </w:pPr>
      <w:r>
        <w:rPr>
          <w:rFonts w:ascii="Times New Roman" w:cs="Times New Roman" w:eastAsia="Times New Roman" w:hAnsi="Times New Roman"/>
          <w:sz w:val="18"/>
          <w:szCs w:val="18"/>
          <w:color w:val="auto"/>
        </w:rPr>
        <w:t>As we are sure you can appreciate, our proposal is also subject, among other things, to the negotiation and execution of mutually acceptable definitive agreements. Accordingly, this letter does not constitute or create any commitment, undertaking or other binding obligation or limitation on the part of any person in any respect. Only those obligations set forth in definitive agreements will be binding upon the parties.</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We hope you will be as excited as we are about this transaction, and we look forward to discussing it with you.</w:t>
      </w:r>
    </w:p>
    <w:p>
      <w:pPr>
        <w:sectPr>
          <w:pgSz w:w="11900" w:h="16838" w:orient="portrait"/>
          <w:cols w:equalWidth="0" w:num="1">
            <w:col w:w="10940"/>
          </w:cols>
          <w:pgMar w:left="700" w:top="270" w:right="259" w:bottom="1440" w:gutter="0" w:footer="0" w:header="0"/>
        </w:sectPr>
      </w:pP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Very truly yours,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Joshua Easterly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Joshua Easterly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Chairman, Board of Directors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Co-Chief Executive Officer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43"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/s/ Michael Fishman</w:t>
      </w:r>
    </w:p>
    <w:p>
      <w:pPr>
        <w:spacing w:after="0" w:line="2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Michael Fishman</w:t>
      </w:r>
    </w:p>
    <w:p>
      <w:pPr>
        <w:spacing w:after="0" w:line="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Co-Chief Executive Officer</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Appendix A</w:t>
      </w:r>
    </w:p>
    <w:p>
      <w:pPr>
        <w:spacing w:after="0" w:line="200" w:lineRule="exact"/>
        <w:rPr>
          <w:sz w:val="20"/>
          <w:szCs w:val="20"/>
          <w:color w:val="auto"/>
        </w:rPr>
      </w:pPr>
    </w:p>
    <w:p>
      <w:pPr>
        <w:sectPr>
          <w:pgSz w:w="11900" w:h="16838" w:orient="portrait"/>
          <w:cols w:equalWidth="0" w:num="2">
            <w:col w:w="4100" w:space="720"/>
            <w:col w:w="6120"/>
          </w:cols>
          <w:pgMar w:left="700" w:top="270" w:right="259" w:bottom="1440" w:gutter="0" w:footer="0" w:header="0"/>
          <w:type w:val="continuous"/>
        </w:sectPr>
      </w:pPr>
    </w:p>
    <w:p>
      <w:pPr>
        <w:spacing w:after="0" w:line="25" w:lineRule="exact"/>
        <w:rPr>
          <w:sz w:val="20"/>
          <w:szCs w:val="20"/>
          <w:color w:val="auto"/>
        </w:rPr>
      </w:pPr>
    </w:p>
    <w:p>
      <w:pPr>
        <w:ind w:left="460" w:right="80" w:firstLine="420"/>
        <w:spacing w:after="0" w:line="258" w:lineRule="auto"/>
        <w:rPr>
          <w:sz w:val="20"/>
          <w:szCs w:val="20"/>
          <w:color w:val="auto"/>
        </w:rPr>
      </w:pPr>
      <w:r>
        <w:rPr>
          <w:rFonts w:ascii="Times New Roman" w:cs="Times New Roman" w:eastAsia="Times New Roman" w:hAnsi="Times New Roman"/>
          <w:sz w:val="18"/>
          <w:szCs w:val="18"/>
          <w:color w:val="auto"/>
        </w:rPr>
        <w:t>TPG Special Situations Partners (“TSSP”) is a multi-asset class credit and special situations investment platform, managing over $12 billion in assets as of June 30, 2015 across middle market direct loan origination, syndicated leveraged loan, special situations and distressed investment strategies. As of July 31, 2015, TSSP had 133 professionals operating from offices in San Francisco, New York, London, Dallas, and Fort Worth. TSSP was formed in 2009 as the dedicated credit and special situations platform of TPG Capital (“TPG”) and currently encompasses:</w:t>
      </w:r>
    </w:p>
    <w:p>
      <w:pPr>
        <w:spacing w:after="0" w:line="89" w:lineRule="exact"/>
        <w:rPr>
          <w:sz w:val="20"/>
          <w:szCs w:val="20"/>
          <w:color w:val="auto"/>
        </w:rPr>
      </w:pPr>
    </w:p>
    <w:p>
      <w:pPr>
        <w:ind w:left="1240" w:right="180" w:hanging="328"/>
        <w:spacing w:after="0" w:line="282" w:lineRule="auto"/>
        <w:tabs>
          <w:tab w:leader="none" w:pos="12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TPG Specialty Lending (“TSLX”), a NYSE-listed business development company focused primarily on directly originating loans to U.S.-domiciled middle market companies;</w:t>
      </w:r>
    </w:p>
    <w:p>
      <w:pPr>
        <w:spacing w:after="0" w:line="67" w:lineRule="exact"/>
        <w:rPr>
          <w:rFonts w:ascii="Times New Roman" w:cs="Times New Roman" w:eastAsia="Times New Roman" w:hAnsi="Times New Roman"/>
          <w:sz w:val="18"/>
          <w:szCs w:val="18"/>
          <w:color w:val="auto"/>
        </w:rPr>
      </w:pPr>
    </w:p>
    <w:p>
      <w:pPr>
        <w:ind w:left="1240" w:right="140" w:hanging="328"/>
        <w:spacing w:after="0" w:line="282" w:lineRule="auto"/>
        <w:tabs>
          <w:tab w:leader="none" w:pos="12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TPG Institutional Credit Partners (“TICP”), which is a public-side credit investment platform focused on investment opportunities in broadly syndicated leveraged loan markets;</w:t>
      </w:r>
    </w:p>
    <w:p>
      <w:pPr>
        <w:spacing w:after="0" w:line="67" w:lineRule="exact"/>
        <w:rPr>
          <w:rFonts w:ascii="Times New Roman" w:cs="Times New Roman" w:eastAsia="Times New Roman" w:hAnsi="Times New Roman"/>
          <w:sz w:val="18"/>
          <w:szCs w:val="18"/>
          <w:color w:val="auto"/>
        </w:rPr>
      </w:pPr>
    </w:p>
    <w:p>
      <w:pPr>
        <w:ind w:left="1240" w:hanging="328"/>
        <w:spacing w:after="0"/>
        <w:tabs>
          <w:tab w:leader="none" w:pos="12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TPG Specialty Lending Europe, which is aimed at European middle-market loan originations;</w:t>
      </w:r>
    </w:p>
    <w:p>
      <w:pPr>
        <w:spacing w:after="0" w:line="130" w:lineRule="exact"/>
        <w:rPr>
          <w:rFonts w:ascii="Times New Roman" w:cs="Times New Roman" w:eastAsia="Times New Roman" w:hAnsi="Times New Roman"/>
          <w:sz w:val="18"/>
          <w:szCs w:val="18"/>
          <w:color w:val="auto"/>
        </w:rPr>
      </w:pPr>
    </w:p>
    <w:p>
      <w:pPr>
        <w:ind w:left="1240" w:right="200" w:hanging="328"/>
        <w:spacing w:after="0" w:line="282" w:lineRule="auto"/>
        <w:tabs>
          <w:tab w:leader="none" w:pos="12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TPG Opportunities Partners and TPG Adjacent Opportunities Partners, which invest in special situations and distressed investments across the credit cycle; and</w:t>
      </w:r>
    </w:p>
    <w:p>
      <w:pPr>
        <w:spacing w:after="0" w:line="67" w:lineRule="exact"/>
        <w:rPr>
          <w:rFonts w:ascii="Times New Roman" w:cs="Times New Roman" w:eastAsia="Times New Roman" w:hAnsi="Times New Roman"/>
          <w:sz w:val="18"/>
          <w:szCs w:val="18"/>
          <w:color w:val="auto"/>
        </w:rPr>
      </w:pPr>
    </w:p>
    <w:p>
      <w:pPr>
        <w:ind w:left="1240" w:hanging="328"/>
        <w:spacing w:after="0"/>
        <w:tabs>
          <w:tab w:leader="none" w:pos="12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Austin Credit Macro, which is focused on macro credit opportunities.</w:t>
      </w:r>
    </w:p>
    <w:p>
      <w:pPr>
        <w:spacing w:after="0" w:line="117" w:lineRule="exact"/>
        <w:rPr>
          <w:sz w:val="20"/>
          <w:szCs w:val="20"/>
          <w:color w:val="auto"/>
        </w:rPr>
      </w:pPr>
    </w:p>
    <w:p>
      <w:pPr>
        <w:ind w:left="460" w:right="200" w:firstLine="420"/>
        <w:spacing w:after="0" w:line="261" w:lineRule="auto"/>
        <w:rPr>
          <w:sz w:val="20"/>
          <w:szCs w:val="20"/>
          <w:color w:val="auto"/>
        </w:rPr>
      </w:pPr>
      <w:r>
        <w:rPr>
          <w:rFonts w:ascii="Times New Roman" w:cs="Times New Roman" w:eastAsia="Times New Roman" w:hAnsi="Times New Roman"/>
          <w:sz w:val="18"/>
          <w:szCs w:val="18"/>
          <w:color w:val="auto"/>
        </w:rPr>
        <w:t>From inception in July 2011 through June 30, 2015, TSLX has originated more than $3.7 billion aggregate principal amounts of investments and currently manages a portfolio of approximately $1.4 billion at fair value as of June 30, 2015. From inception through June 30, 2015, TSLX has generated 16.4% gross unlevered returns on more than $900 million of realized investments. TICP, which began operations in October 2013, currently manages four CLOs with total CLO assets under management of over $2.0 billion as of June 30, 2015.</w:t>
      </w:r>
    </w:p>
    <w:p>
      <w:pPr>
        <w:spacing w:after="0" w:line="72" w:lineRule="exact"/>
        <w:rPr>
          <w:sz w:val="20"/>
          <w:szCs w:val="20"/>
          <w:color w:val="auto"/>
        </w:rPr>
      </w:pPr>
    </w:p>
    <w:p>
      <w:pPr>
        <w:ind w:left="460" w:firstLine="420"/>
        <w:spacing w:after="0" w:line="261" w:lineRule="auto"/>
        <w:rPr>
          <w:sz w:val="20"/>
          <w:szCs w:val="20"/>
          <w:color w:val="auto"/>
        </w:rPr>
      </w:pPr>
      <w:r>
        <w:rPr>
          <w:rFonts w:ascii="Times New Roman" w:cs="Times New Roman" w:eastAsia="Times New Roman" w:hAnsi="Times New Roman"/>
          <w:sz w:val="18"/>
          <w:szCs w:val="18"/>
          <w:color w:val="auto"/>
        </w:rPr>
        <w:t>TPG is one of the largest alternative asset investment firms globally. Since its founding in 1992, TPG has focused on investing in alternative assets, including private equity, growth equity, venture capital, public equity and real estate and currently manages over $74 billion in assets. Collectively, TSSP and TPG have more than 814 employees operating from 17 offices across North America, South America, Europe, and Asia.</w:t>
      </w:r>
    </w:p>
    <w:p>
      <w:pPr>
        <w:spacing w:after="0" w:line="356"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940"/>
          </w:cols>
          <w:pgMar w:left="700" w:top="270" w:right="259" w:bottom="1440" w:gutter="0" w:footer="0" w:header="0"/>
          <w:type w:val="continuous"/>
        </w:sectPr>
      </w:pPr>
    </w:p>
    <w:bookmarkStart w:id="9" w:name="page10"/>
    <w:bookmarkEnd w:id="9"/>
    <w:p>
      <w:pPr>
        <w:ind w:right="40" w:firstLine="456"/>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On September 12, 2015, Mr. Easterly contacted Mr. Novak via e-mail to request an estimate of when the Special Committee expected to respond to the TSLX Proposal. Mr. Easterly also indicated that the TSLX team was anxious to start a dialogue with the Special Committee that TSLX believed would be very productive for TICC stockholders. Later that day, Mr. Novak responded by indicating that the Special Committee and TICC Board was meeting the next day and that he would be in touch once they concluded how to proceed.</w:t>
      </w:r>
    </w:p>
    <w:p>
      <w:pPr>
        <w:spacing w:after="0" w:line="180" w:lineRule="exact"/>
        <w:rPr>
          <w:sz w:val="20"/>
          <w:szCs w:val="20"/>
          <w:color w:val="auto"/>
        </w:rPr>
      </w:pPr>
    </w:p>
    <w:p>
      <w:pPr>
        <w:ind w:firstLine="456"/>
        <w:spacing w:after="0" w:line="261" w:lineRule="auto"/>
        <w:rPr>
          <w:sz w:val="20"/>
          <w:szCs w:val="20"/>
          <w:color w:val="auto"/>
        </w:rPr>
      </w:pPr>
      <w:r>
        <w:rPr>
          <w:rFonts w:ascii="Times New Roman" w:cs="Times New Roman" w:eastAsia="Times New Roman" w:hAnsi="Times New Roman"/>
          <w:sz w:val="18"/>
          <w:szCs w:val="18"/>
          <w:color w:val="auto"/>
        </w:rPr>
        <w:t>On September 13, 2015, Mr. Novak called Mr. Easterly to acknowledge receipt of Mr. Easterly’s letter and to request certain background information regarding TSLX and its businesses. Later on the same day, Mr. Easterly sent to Mr. Novak the requested background information, noting it was based on information that was publicly available about TSLX. In this e-mail, Mr. Easterly indicated that TSLX would be willing to consider an exchange of non-public information in the context of good faith negotiations of the TSLX Proposal, subject to execution of a non-disclosure agreement.</w:t>
      </w:r>
    </w:p>
    <w:p>
      <w:pPr>
        <w:spacing w:after="0" w:line="11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380"/>
          </w:cols>
          <w:pgMar w:left="240" w:top="270" w:right="279" w:bottom="1440" w:gutter="0" w:footer="0" w:header="0"/>
        </w:sectPr>
      </w:pPr>
    </w:p>
    <w:bookmarkStart w:id="10" w:name="page11"/>
    <w:bookmarkEnd w:id="10"/>
    <w:p>
      <w:pPr>
        <w:ind w:right="180" w:firstLine="456"/>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On September 14, 2015, Mr. Novak sent an e-mail to Mr. Easterly requesting further background information regarding TSLX, to which Mr. Easterly responded later the same day by e-mail, the text of which is as follows:</w:t>
      </w:r>
    </w:p>
    <w:p>
      <w:pPr>
        <w:spacing w:after="0" w:line="16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Dear Steve:</w:t>
      </w:r>
    </w:p>
    <w:p>
      <w:pPr>
        <w:spacing w:after="0" w:line="117" w:lineRule="exact"/>
        <w:rPr>
          <w:sz w:val="20"/>
          <w:szCs w:val="20"/>
          <w:color w:val="auto"/>
        </w:rPr>
      </w:pPr>
    </w:p>
    <w:p>
      <w:pPr>
        <w:ind w:left="460" w:right="180" w:firstLine="438"/>
        <w:spacing w:after="0" w:line="261" w:lineRule="auto"/>
        <w:rPr>
          <w:sz w:val="20"/>
          <w:szCs w:val="20"/>
          <w:color w:val="auto"/>
        </w:rPr>
      </w:pPr>
      <w:r>
        <w:rPr>
          <w:rFonts w:ascii="Times New Roman" w:cs="Times New Roman" w:eastAsia="Times New Roman" w:hAnsi="Times New Roman"/>
          <w:sz w:val="18"/>
          <w:szCs w:val="18"/>
          <w:color w:val="auto"/>
        </w:rPr>
        <w:t>Thanks again for taking the time over the weekend to engage with us on our proposal. We along with our advisers, Goldman Sachs and Cleary Gottlieb, stand ready to engage and provide additional information to the Special Committee in its evaluation of our proposal. To that end, attached is the additional background information that you requested. We hope it is helpful in providing the Committee with a fuller understanding of our company.</w:t>
      </w:r>
    </w:p>
    <w:p>
      <w:pPr>
        <w:spacing w:after="0" w:line="72" w:lineRule="exact"/>
        <w:rPr>
          <w:sz w:val="20"/>
          <w:szCs w:val="20"/>
          <w:color w:val="auto"/>
        </w:rPr>
      </w:pPr>
    </w:p>
    <w:p>
      <w:pPr>
        <w:ind w:left="460" w:firstLine="438"/>
        <w:spacing w:after="0" w:line="258" w:lineRule="auto"/>
        <w:rPr>
          <w:sz w:val="20"/>
          <w:szCs w:val="20"/>
          <w:color w:val="auto"/>
        </w:rPr>
      </w:pPr>
      <w:r>
        <w:rPr>
          <w:rFonts w:ascii="Times New Roman" w:cs="Times New Roman" w:eastAsia="Times New Roman" w:hAnsi="Times New Roman"/>
          <w:sz w:val="18"/>
          <w:szCs w:val="18"/>
          <w:color w:val="auto"/>
        </w:rPr>
        <w:t>As these materials reflect, TSLX is a best-in-class business development company with a proven track record of value creation for its stockholders. Our shares trade at a premium to their peer group, reflecting our market leading performance, balance sheet which includes an investment grade credit rating, strong financial policies and a culture of alignment with our shareholders (e.g., avoid raising capital unless we can clearly articulate a sufficient return for shareholders). An investment in our shares generated a total return of 14.7% compared to the sector average of -7.5% in 2014, with our net asset value per share increasing from $14.06 after organizational costs to $15.84 as of June 30, 2015.</w:t>
      </w:r>
    </w:p>
    <w:p>
      <w:pPr>
        <w:spacing w:after="0" w:line="76" w:lineRule="exact"/>
        <w:rPr>
          <w:sz w:val="20"/>
          <w:szCs w:val="20"/>
          <w:color w:val="auto"/>
        </w:rPr>
      </w:pPr>
    </w:p>
    <w:p>
      <w:pPr>
        <w:ind w:left="460" w:firstLine="438"/>
        <w:spacing w:after="0" w:line="255" w:lineRule="auto"/>
        <w:rPr>
          <w:sz w:val="20"/>
          <w:szCs w:val="20"/>
          <w:color w:val="auto"/>
        </w:rPr>
      </w:pPr>
      <w:r>
        <w:rPr>
          <w:rFonts w:ascii="Times New Roman" w:cs="Times New Roman" w:eastAsia="Times New Roman" w:hAnsi="Times New Roman"/>
          <w:sz w:val="18"/>
          <w:szCs w:val="18"/>
          <w:color w:val="auto"/>
        </w:rPr>
        <w:t>Further, while we operate within the larger TPG Special Situations Partners (“TSSP”) and TPG platforms, we take great pride in the fact that TSLX has achieved its outstanding performance through largely its own proprietary and directly originated deal flow and dedicated team of investment professionals. Since its founding, TSLX has generated over $3.7 billion of gross originations and approximately $2.7 billion of commitments, with over 90% of TSLX’s investments originating from non-intermediated channels. What is clear from this strategy, is that we have been able to provide significantly higher ROEs and shareholder returns than the peer set while taking less risk. This is accomplished by earnings additional economics that are the fruits of our labor, dedicated team and large scale platform of TSSP/TPG. For example, a $1 invested in the peer group at the beginning of 2012 would have produced approximately $1.06, while investing in TSLX would have produced $1.40.</w:t>
      </w:r>
    </w:p>
    <w:p>
      <w:pPr>
        <w:spacing w:after="0" w:line="81" w:lineRule="exact"/>
        <w:rPr>
          <w:sz w:val="20"/>
          <w:szCs w:val="20"/>
          <w:color w:val="auto"/>
        </w:rPr>
      </w:pPr>
    </w:p>
    <w:p>
      <w:pPr>
        <w:jc w:val="both"/>
        <w:ind w:left="460" w:right="160" w:firstLine="438"/>
        <w:spacing w:after="0" w:line="266" w:lineRule="auto"/>
        <w:rPr>
          <w:sz w:val="20"/>
          <w:szCs w:val="20"/>
          <w:color w:val="auto"/>
        </w:rPr>
      </w:pPr>
      <w:r>
        <w:rPr>
          <w:rFonts w:ascii="Times New Roman" w:cs="Times New Roman" w:eastAsia="Times New Roman" w:hAnsi="Times New Roman"/>
          <w:sz w:val="18"/>
          <w:szCs w:val="18"/>
          <w:color w:val="auto"/>
        </w:rPr>
        <w:t>While we stand ready to respond to any requests for further information, we believe the materials we have furnished should provide you with a clear and comprehensive understanding of TSLX. We remain open to the possibility of exchanging non-public information with you as part of a good faith dialogue towards a transaction, subject to entering into a mutually acceptable non-disclosure agreement.</w:t>
      </w:r>
    </w:p>
    <w:p>
      <w:pPr>
        <w:spacing w:after="0" w:line="68" w:lineRule="exact"/>
        <w:rPr>
          <w:sz w:val="20"/>
          <w:szCs w:val="20"/>
          <w:color w:val="auto"/>
        </w:rPr>
      </w:pPr>
    </w:p>
    <w:p>
      <w:pPr>
        <w:ind w:left="460" w:firstLine="438"/>
        <w:spacing w:after="0" w:line="266" w:lineRule="auto"/>
        <w:rPr>
          <w:sz w:val="20"/>
          <w:szCs w:val="20"/>
          <w:color w:val="auto"/>
        </w:rPr>
      </w:pPr>
      <w:r>
        <w:rPr>
          <w:rFonts w:ascii="Times New Roman" w:cs="Times New Roman" w:eastAsia="Times New Roman" w:hAnsi="Times New Roman"/>
          <w:sz w:val="18"/>
          <w:szCs w:val="18"/>
          <w:color w:val="auto"/>
        </w:rPr>
        <w:t>As you can imagine, we are eager to ascertain quickly the Special Committee’s views on our proposal, and whether it is willing to engage in good faith discussions with us. Accordingly, I will call you tomorrow to obtain your feedback. As mentioned previously, we continue to reserve the right to publicly disclose the contents of this and our previous letter and to take other steps in furtherance of our proposal.</w:t>
      </w:r>
    </w:p>
    <w:p>
      <w:pPr>
        <w:spacing w:after="0" w:line="68" w:lineRule="exact"/>
        <w:rPr>
          <w:sz w:val="20"/>
          <w:szCs w:val="20"/>
          <w:color w:val="auto"/>
        </w:rPr>
      </w:pPr>
    </w:p>
    <w:p>
      <w:pPr>
        <w:ind w:left="460" w:right="740" w:firstLine="438"/>
        <w:spacing w:after="0" w:line="282" w:lineRule="auto"/>
        <w:rPr>
          <w:sz w:val="20"/>
          <w:szCs w:val="20"/>
          <w:color w:val="auto"/>
        </w:rPr>
      </w:pPr>
      <w:r>
        <w:rPr>
          <w:rFonts w:ascii="Times New Roman" w:cs="Times New Roman" w:eastAsia="Times New Roman" w:hAnsi="Times New Roman"/>
          <w:sz w:val="18"/>
          <w:szCs w:val="18"/>
          <w:color w:val="auto"/>
        </w:rPr>
        <w:t>We hope you are as excited as we are about this transaction, and we look forward to continuing to discuss it with you. Steve, I sincerely appreciate the time and effort you and the special committee have put into this process.</w:t>
      </w:r>
    </w:p>
    <w:p>
      <w:pPr>
        <w:spacing w:after="0" w:line="54"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117"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Joshua</w:t>
      </w:r>
    </w:p>
    <w:p>
      <w:pPr>
        <w:spacing w:after="0" w:line="225" w:lineRule="exact"/>
        <w:rPr>
          <w:sz w:val="20"/>
          <w:szCs w:val="20"/>
          <w:color w:val="auto"/>
        </w:rPr>
      </w:pPr>
    </w:p>
    <w:p>
      <w:pPr>
        <w:ind w:right="320" w:firstLine="456"/>
        <w:spacing w:after="0" w:line="282" w:lineRule="auto"/>
        <w:rPr>
          <w:sz w:val="20"/>
          <w:szCs w:val="20"/>
          <w:color w:val="auto"/>
        </w:rPr>
      </w:pPr>
      <w:r>
        <w:rPr>
          <w:rFonts w:ascii="Times New Roman" w:cs="Times New Roman" w:eastAsia="Times New Roman" w:hAnsi="Times New Roman"/>
          <w:sz w:val="18"/>
          <w:szCs w:val="18"/>
          <w:color w:val="auto"/>
        </w:rPr>
        <w:t>On September 15, 2015, Mr. Novak called Mr. Easterly to convey that TICC was not interested in pursuing the TSLX Proposal and that the Special Committee would continue to support the BSP Transaction.</w:t>
      </w:r>
    </w:p>
    <w:p>
      <w:pPr>
        <w:spacing w:after="0" w:line="162" w:lineRule="exact"/>
        <w:rPr>
          <w:sz w:val="20"/>
          <w:szCs w:val="20"/>
          <w:color w:val="auto"/>
        </w:rPr>
      </w:pPr>
    </w:p>
    <w:p>
      <w:pPr>
        <w:ind w:right="480" w:firstLine="456"/>
        <w:spacing w:after="0" w:line="282" w:lineRule="auto"/>
        <w:rPr>
          <w:sz w:val="20"/>
          <w:szCs w:val="20"/>
          <w:color w:val="auto"/>
        </w:rPr>
      </w:pPr>
      <w:r>
        <w:rPr>
          <w:rFonts w:ascii="Times New Roman" w:cs="Times New Roman" w:eastAsia="Times New Roman" w:hAnsi="Times New Roman"/>
          <w:sz w:val="18"/>
          <w:szCs w:val="18"/>
          <w:color w:val="auto"/>
        </w:rPr>
        <w:t>Also on September 15, 2015, NexPoint announced in a press release its intention to nominate a competing slate of six directors for election at the Special Meeting and to solicit proxies to vote against the proposals at the Special Meeting.</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400"/>
          </w:cols>
          <w:pgMar w:left="240" w:top="270" w:right="259" w:bottom="1440" w:gutter="0" w:footer="0" w:header="0"/>
        </w:sectPr>
      </w:pPr>
    </w:p>
    <w:bookmarkStart w:id="11" w:name="page12"/>
    <w:bookmarkEnd w:id="11"/>
    <w:p>
      <w:pPr>
        <w:ind w:left="46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On the morning of September 16, 2015, TSLX issued the following press release:</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TPG SPECIALTY LENDING PROPOSES TO ACQUIRE</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TICC CAPITAL CORP. FOR $7.50 PER SHARE</w:t>
      </w:r>
    </w:p>
    <w:p>
      <w:pPr>
        <w:spacing w:after="0" w:line="205" w:lineRule="exact"/>
        <w:rPr>
          <w:sz w:val="20"/>
          <w:szCs w:val="20"/>
          <w:color w:val="auto"/>
        </w:rPr>
      </w:pPr>
    </w:p>
    <w:p>
      <w:pPr>
        <w:jc w:val="center"/>
        <w:ind w:left="1400" w:right="60"/>
        <w:spacing w:after="0" w:line="284" w:lineRule="auto"/>
        <w:rPr>
          <w:sz w:val="20"/>
          <w:szCs w:val="20"/>
          <w:color w:val="auto"/>
        </w:rPr>
      </w:pPr>
      <w:r>
        <w:rPr>
          <w:rFonts w:ascii="Times New Roman" w:cs="Times New Roman" w:eastAsia="Times New Roman" w:hAnsi="Times New Roman"/>
          <w:sz w:val="18"/>
          <w:szCs w:val="18"/>
          <w:i w:val="1"/>
          <w:iCs w:val="1"/>
          <w:color w:val="auto"/>
        </w:rPr>
        <w:t>Proposal Would Deliver Immediate 20% Premium to TICC Capital Stockholders while Providing the Opportunity to Benefit from Long-Term Value Creation Within the Industry’s Leading Platform</w:t>
      </w:r>
    </w:p>
    <w:p>
      <w:pPr>
        <w:spacing w:after="0" w:line="158" w:lineRule="exact"/>
        <w:rPr>
          <w:sz w:val="20"/>
          <w:szCs w:val="20"/>
          <w:color w:val="auto"/>
        </w:rPr>
      </w:pPr>
    </w:p>
    <w:p>
      <w:pPr>
        <w:jc w:val="center"/>
        <w:ind w:left="1140"/>
        <w:spacing w:after="0"/>
        <w:rPr>
          <w:sz w:val="20"/>
          <w:szCs w:val="20"/>
          <w:color w:val="auto"/>
        </w:rPr>
      </w:pPr>
      <w:r>
        <w:rPr>
          <w:rFonts w:ascii="Times New Roman" w:cs="Times New Roman" w:eastAsia="Times New Roman" w:hAnsi="Times New Roman"/>
          <w:sz w:val="18"/>
          <w:szCs w:val="18"/>
          <w:i w:val="1"/>
          <w:iCs w:val="1"/>
          <w:color w:val="auto"/>
        </w:rPr>
        <w:t>Combination Would Be Immediately Accretive to Net Asset Value per Share</w:t>
      </w:r>
    </w:p>
    <w:p>
      <w:pPr>
        <w:spacing w:after="0" w:line="225" w:lineRule="exact"/>
        <w:rPr>
          <w:sz w:val="20"/>
          <w:szCs w:val="20"/>
          <w:color w:val="auto"/>
        </w:rPr>
      </w:pPr>
    </w:p>
    <w:p>
      <w:pPr>
        <w:ind w:left="2420"/>
        <w:spacing w:after="0"/>
        <w:rPr>
          <w:sz w:val="20"/>
          <w:szCs w:val="20"/>
          <w:color w:val="auto"/>
        </w:rPr>
      </w:pPr>
      <w:r>
        <w:rPr>
          <w:rFonts w:ascii="Times New Roman" w:cs="Times New Roman" w:eastAsia="Times New Roman" w:hAnsi="Times New Roman"/>
          <w:sz w:val="18"/>
          <w:szCs w:val="18"/>
          <w:i w:val="1"/>
          <w:iCs w:val="1"/>
          <w:color w:val="auto"/>
        </w:rPr>
        <w:t>Opportunity to Drive Higher Return on Equity and Corresponding Dividends Through Rotation into Assets</w:t>
      </w:r>
    </w:p>
    <w:p>
      <w:pPr>
        <w:spacing w:after="0" w:line="29" w:lineRule="exact"/>
        <w:rPr>
          <w:sz w:val="20"/>
          <w:szCs w:val="20"/>
          <w:color w:val="auto"/>
        </w:rPr>
      </w:pPr>
    </w:p>
    <w:p>
      <w:pPr>
        <w:ind w:left="2660"/>
        <w:spacing w:after="0"/>
        <w:rPr>
          <w:sz w:val="20"/>
          <w:szCs w:val="20"/>
          <w:color w:val="auto"/>
        </w:rPr>
      </w:pPr>
      <w:r>
        <w:rPr>
          <w:rFonts w:ascii="Times New Roman" w:cs="Times New Roman" w:eastAsia="Times New Roman" w:hAnsi="Times New Roman"/>
          <w:sz w:val="18"/>
          <w:szCs w:val="18"/>
          <w:i w:val="1"/>
          <w:iCs w:val="1"/>
          <w:color w:val="auto"/>
        </w:rPr>
        <w:t>With More Attractive Risk-Adjusted Returns or Return Capital to Stockholders and Protect Accretion</w:t>
      </w:r>
    </w:p>
    <w:p>
      <w:pPr>
        <w:spacing w:after="0" w:line="9"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18"/>
          <w:szCs w:val="18"/>
          <w:i w:val="1"/>
          <w:iCs w:val="1"/>
          <w:color w:val="auto"/>
        </w:rPr>
        <w:t>Created in the Transaction</w:t>
      </w:r>
    </w:p>
    <w:p>
      <w:pPr>
        <w:spacing w:after="0" w:line="205" w:lineRule="exact"/>
        <w:rPr>
          <w:sz w:val="20"/>
          <w:szCs w:val="20"/>
          <w:color w:val="auto"/>
        </w:rPr>
      </w:pPr>
    </w:p>
    <w:p>
      <w:pPr>
        <w:jc w:val="center"/>
        <w:ind w:left="1140"/>
        <w:spacing w:after="0"/>
        <w:rPr>
          <w:sz w:val="20"/>
          <w:szCs w:val="20"/>
          <w:color w:val="auto"/>
        </w:rPr>
      </w:pPr>
      <w:r>
        <w:rPr>
          <w:rFonts w:ascii="Times New Roman" w:cs="Times New Roman" w:eastAsia="Times New Roman" w:hAnsi="Times New Roman"/>
          <w:sz w:val="18"/>
          <w:szCs w:val="18"/>
          <w:i w:val="1"/>
          <w:iCs w:val="1"/>
          <w:color w:val="auto"/>
        </w:rPr>
        <w:t>TSLX is Fully Committed to Realizing the Value of This Transaction for All Stockholders and Urges</w:t>
      </w:r>
    </w:p>
    <w:p>
      <w:pPr>
        <w:spacing w:after="0" w:line="29" w:lineRule="exact"/>
        <w:rPr>
          <w:sz w:val="20"/>
          <w:szCs w:val="20"/>
          <w:color w:val="auto"/>
        </w:rPr>
      </w:pPr>
    </w:p>
    <w:p>
      <w:pPr>
        <w:jc w:val="center"/>
        <w:ind w:left="1140"/>
        <w:spacing w:after="0"/>
        <w:rPr>
          <w:sz w:val="20"/>
          <w:szCs w:val="20"/>
          <w:color w:val="auto"/>
        </w:rPr>
      </w:pPr>
      <w:r>
        <w:rPr>
          <w:rFonts w:ascii="Times New Roman" w:cs="Times New Roman" w:eastAsia="Times New Roman" w:hAnsi="Times New Roman"/>
          <w:sz w:val="18"/>
          <w:szCs w:val="18"/>
          <w:i w:val="1"/>
          <w:iCs w:val="1"/>
          <w:color w:val="auto"/>
        </w:rPr>
        <w:t>TICC’s Special Committee to Enter into Constructive Discussions</w:t>
      </w:r>
    </w:p>
    <w:p>
      <w:pPr>
        <w:spacing w:after="0" w:line="205" w:lineRule="exact"/>
        <w:rPr>
          <w:sz w:val="20"/>
          <w:szCs w:val="20"/>
          <w:color w:val="auto"/>
        </w:rPr>
      </w:pPr>
    </w:p>
    <w:p>
      <w:pPr>
        <w:ind w:left="3300"/>
        <w:spacing w:after="0"/>
        <w:rPr>
          <w:sz w:val="20"/>
          <w:szCs w:val="20"/>
          <w:color w:val="auto"/>
        </w:rPr>
      </w:pPr>
      <w:r>
        <w:rPr>
          <w:rFonts w:ascii="Times New Roman" w:cs="Times New Roman" w:eastAsia="Times New Roman" w:hAnsi="Times New Roman"/>
          <w:sz w:val="18"/>
          <w:szCs w:val="18"/>
          <w:i w:val="1"/>
          <w:iCs w:val="1"/>
          <w:color w:val="auto"/>
        </w:rPr>
        <w:t>TSLX Intends to Solicit Stockholder Proxies Against Proposed Advisory Agreement</w:t>
      </w:r>
    </w:p>
    <w:p>
      <w:pPr>
        <w:spacing w:after="0" w:line="227" w:lineRule="exact"/>
        <w:rPr>
          <w:sz w:val="20"/>
          <w:szCs w:val="20"/>
          <w:color w:val="auto"/>
        </w:rPr>
      </w:pPr>
    </w:p>
    <w:p>
      <w:pPr>
        <w:ind w:left="460" w:right="160" w:firstLine="438"/>
        <w:spacing w:after="0" w:line="261" w:lineRule="auto"/>
        <w:rPr>
          <w:sz w:val="20"/>
          <w:szCs w:val="20"/>
          <w:color w:val="auto"/>
        </w:rPr>
      </w:pPr>
      <w:r>
        <w:rPr>
          <w:rFonts w:ascii="Times New Roman" w:cs="Times New Roman" w:eastAsia="Times New Roman" w:hAnsi="Times New Roman"/>
          <w:sz w:val="18"/>
          <w:szCs w:val="18"/>
          <w:color w:val="auto"/>
        </w:rPr>
        <w:t>NEW YORK, September 16, 2015 – TPG Specialty Lending, Inc. (“TSLX”; NYSE: TSLX), a specialty finance company focused on lending to middle-market companies, today announced that it has made a proposal to acquire TICC Capital Corp. (“TICC”; Nasdaq: TICC) in a stock-for-stock transaction. TSLX believes that the proposed transaction would deliver an immediate and substantial premium to TICC stockholders and significant long-term value to stockholders of both companies.</w:t>
      </w:r>
    </w:p>
    <w:p>
      <w:pPr>
        <w:spacing w:after="0" w:line="180" w:lineRule="exact"/>
        <w:rPr>
          <w:sz w:val="20"/>
          <w:szCs w:val="20"/>
          <w:color w:val="auto"/>
        </w:rPr>
      </w:pPr>
    </w:p>
    <w:p>
      <w:pPr>
        <w:ind w:left="460" w:right="120" w:firstLine="438"/>
        <w:spacing w:after="0" w:line="258" w:lineRule="auto"/>
        <w:rPr>
          <w:sz w:val="20"/>
          <w:szCs w:val="20"/>
          <w:color w:val="auto"/>
        </w:rPr>
      </w:pPr>
      <w:r>
        <w:rPr>
          <w:rFonts w:ascii="Times New Roman" w:cs="Times New Roman" w:eastAsia="Times New Roman" w:hAnsi="Times New Roman"/>
          <w:sz w:val="18"/>
          <w:szCs w:val="18"/>
          <w:color w:val="auto"/>
        </w:rPr>
        <w:t>Under the terms of the non-binding proposal delivered to the Special Committee of TICC’s Board of Directors on September 10, 2015, TICC stockholders would receive a number of shares of TSLX common stock that results in TICC stockholders receiving $7.50 in value per share as of the signing date of a definitive agreement, representing approximately a 20% premium to TICC’s closing stock price on September 15, 2015. After giving effect to the proposed transaction, TICC stockholders would have the opportunity to participate in the future value creation of an industry-leading platform.</w:t>
      </w:r>
    </w:p>
    <w:p>
      <w:pPr>
        <w:spacing w:after="0" w:line="184"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In addition to the substantial up-front premium to TICC stockholders, key aspects of the proposal include:</w:t>
      </w:r>
    </w:p>
    <w:p>
      <w:pPr>
        <w:spacing w:after="0" w:line="127" w:lineRule="exact"/>
        <w:rPr>
          <w:sz w:val="20"/>
          <w:szCs w:val="20"/>
          <w:color w:val="auto"/>
        </w:rPr>
      </w:pPr>
    </w:p>
    <w:p>
      <w:pPr>
        <w:ind w:left="1120" w:right="160" w:hanging="315"/>
        <w:spacing w:after="0" w:line="286" w:lineRule="auto"/>
        <w:tabs>
          <w:tab w:leader="none" w:pos="11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ACCRETIVE TO NET ASSET VALUE </w:t>
      </w:r>
      <w:r>
        <w:rPr>
          <w:rFonts w:ascii="Times New Roman" w:cs="Times New Roman" w:eastAsia="Times New Roman" w:hAnsi="Times New Roman"/>
          <w:sz w:val="18"/>
          <w:szCs w:val="18"/>
          <w:color w:val="auto"/>
        </w:rPr>
        <w:t>– The combination would be immediately accretive to net asset value per share and is expected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drive higher return on equity over time.</w:t>
      </w:r>
    </w:p>
    <w:p>
      <w:pPr>
        <w:spacing w:after="0" w:line="60" w:lineRule="exact"/>
        <w:rPr>
          <w:rFonts w:ascii="Times New Roman" w:cs="Times New Roman" w:eastAsia="Times New Roman" w:hAnsi="Times New Roman"/>
          <w:sz w:val="18"/>
          <w:szCs w:val="18"/>
          <w:color w:val="auto"/>
        </w:rPr>
      </w:pPr>
    </w:p>
    <w:p>
      <w:pPr>
        <w:ind w:left="1120" w:right="20" w:hanging="315"/>
        <w:spacing w:after="0" w:line="268" w:lineRule="auto"/>
        <w:tabs>
          <w:tab w:leader="none" w:pos="11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PROVEN TRACK RECORD </w:t>
      </w:r>
      <w:r>
        <w:rPr>
          <w:rFonts w:ascii="Times New Roman" w:cs="Times New Roman" w:eastAsia="Times New Roman" w:hAnsi="Times New Roman"/>
          <w:sz w:val="18"/>
          <w:szCs w:val="18"/>
          <w:color w:val="auto"/>
        </w:rPr>
        <w:t>– TSLX has a proven track record of delivering superior returns and stable dividends to stockholders. In 2014,</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TSLX generated total returns of 14.7% compared to the sector average of -7.5%. TSLX has grown net asset value per share from $14.06 after organizational costs to $15.84 as of June 30, 2015.</w:t>
      </w:r>
    </w:p>
    <w:p>
      <w:pPr>
        <w:spacing w:after="0" w:line="76" w:lineRule="exact"/>
        <w:rPr>
          <w:rFonts w:ascii="Times New Roman" w:cs="Times New Roman" w:eastAsia="Times New Roman" w:hAnsi="Times New Roman"/>
          <w:sz w:val="18"/>
          <w:szCs w:val="18"/>
          <w:color w:val="auto"/>
        </w:rPr>
      </w:pPr>
    </w:p>
    <w:p>
      <w:pPr>
        <w:ind w:left="1120" w:right="80" w:hanging="315"/>
        <w:spacing w:after="0" w:line="268" w:lineRule="auto"/>
        <w:tabs>
          <w:tab w:leader="none" w:pos="11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INCREASED LIQUIDITY </w:t>
      </w:r>
      <w:r>
        <w:rPr>
          <w:rFonts w:ascii="Times New Roman" w:cs="Times New Roman" w:eastAsia="Times New Roman" w:hAnsi="Times New Roman"/>
          <w:sz w:val="18"/>
          <w:szCs w:val="18"/>
          <w:color w:val="auto"/>
        </w:rPr>
        <w:t>– TICC stockholders would benefit from increased liquidity, by owning shares in a combined company having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 forma market capitalization potentially in excess of $1.3 billion, as compared to TICC’s current market capitalization of approximately $380 million.</w:t>
      </w:r>
    </w:p>
    <w:p>
      <w:pPr>
        <w:spacing w:after="0" w:line="76" w:lineRule="exact"/>
        <w:rPr>
          <w:rFonts w:ascii="Times New Roman" w:cs="Times New Roman" w:eastAsia="Times New Roman" w:hAnsi="Times New Roman"/>
          <w:sz w:val="18"/>
          <w:szCs w:val="18"/>
          <w:color w:val="auto"/>
        </w:rPr>
      </w:pPr>
    </w:p>
    <w:p>
      <w:pPr>
        <w:ind w:left="1120" w:hanging="315"/>
        <w:spacing w:after="0" w:line="263" w:lineRule="auto"/>
        <w:tabs>
          <w:tab w:leader="none" w:pos="11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CONSISTENT AND STABLE DIVIDEND </w:t>
      </w:r>
      <w:r>
        <w:rPr>
          <w:rFonts w:ascii="Times New Roman" w:cs="Times New Roman" w:eastAsia="Times New Roman" w:hAnsi="Times New Roman"/>
          <w:sz w:val="18"/>
          <w:szCs w:val="18"/>
          <w:color w:val="auto"/>
        </w:rPr>
        <w:t>– TSLX believes business development companies should maintain consistent dividends that are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well covered by net investment income. TSLX has</w:t>
      </w:r>
    </w:p>
    <w:p>
      <w:pPr>
        <w:ind w:left="11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earned per share net investment income</w:t>
      </w:r>
      <w:r>
        <w:rPr>
          <w:rFonts w:ascii="Times New Roman" w:cs="Times New Roman" w:eastAsia="Times New Roman" w:hAnsi="Times New Roman"/>
          <w:sz w:val="15"/>
          <w:szCs w:val="15"/>
          <w:color w:val="auto"/>
        </w:rPr>
        <w:t>2</w:t>
      </w:r>
      <w:r>
        <w:rPr>
          <w:rFonts w:ascii="Times New Roman" w:cs="Times New Roman" w:eastAsia="Times New Roman" w:hAnsi="Times New Roman"/>
          <w:sz w:val="18"/>
          <w:szCs w:val="18"/>
          <w:color w:val="auto"/>
        </w:rPr>
        <w:t xml:space="preserve"> in excess of its dividend every year since its inception. It 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91440</wp:posOffset>
            </wp:positionV>
            <wp:extent cx="72898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60" w:lineRule="exact"/>
        <w:rPr>
          <w:sz w:val="20"/>
          <w:szCs w:val="20"/>
          <w:color w:val="auto"/>
        </w:rPr>
      </w:pPr>
    </w:p>
    <w:p>
      <w:pPr>
        <w:ind w:left="220" w:hanging="212"/>
        <w:spacing w:after="0"/>
        <w:tabs>
          <w:tab w:leader="none" w:pos="220" w:val="left"/>
        </w:tabs>
        <w:numPr>
          <w:ilvl w:val="0"/>
          <w:numId w:val="15"/>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Includes realized gains in 2012.</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420"/>
          </w:cols>
          <w:pgMar w:left="240" w:top="270" w:right="239" w:bottom="1440" w:gutter="0" w:footer="0" w:header="0"/>
        </w:sectPr>
      </w:pPr>
    </w:p>
    <w:bookmarkStart w:id="12" w:name="page13"/>
    <w:bookmarkEnd w:id="12"/>
    <w:p>
      <w:pPr>
        <w:ind w:left="1140" w:right="50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expected that TSLX will continue its current dividend policy and, to the extent it is successful in rotating the TICC portfolio into higher yielding investments as described below, this policy would result in stockholders enjoying increased dividends.</w:t>
      </w:r>
    </w:p>
    <w:p>
      <w:pPr>
        <w:spacing w:after="0" w:line="63" w:lineRule="exact"/>
        <w:rPr>
          <w:sz w:val="20"/>
          <w:szCs w:val="20"/>
          <w:color w:val="auto"/>
        </w:rPr>
      </w:pPr>
    </w:p>
    <w:p>
      <w:pPr>
        <w:ind w:left="1120" w:right="60" w:hanging="315"/>
        <w:spacing w:after="0" w:line="262" w:lineRule="auto"/>
        <w:tabs>
          <w:tab w:leader="none" w:pos="11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PROVEN ABILITY TO GENERATE RETURN ON EQUITY FOR STOCKHOLDERS </w:t>
      </w:r>
      <w:r>
        <w:rPr>
          <w:rFonts w:ascii="Times New Roman" w:cs="Times New Roman" w:eastAsia="Times New Roman" w:hAnsi="Times New Roman"/>
          <w:sz w:val="18"/>
          <w:szCs w:val="18"/>
          <w:color w:val="auto"/>
        </w:rPr>
        <w:t>– TICC stockholders would benefit from</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TSLX’s ability to generate industry leading return on equity for stockholders. In 2014, TSLX generated approximately a 13% return on equity based on net investment income compared to an industry return of approximately 9% given its ability to originate high risk adjusted return credit opportunities and its competitive cost structure.</w:t>
      </w:r>
    </w:p>
    <w:p>
      <w:pPr>
        <w:spacing w:after="0" w:line="181" w:lineRule="exact"/>
        <w:rPr>
          <w:sz w:val="20"/>
          <w:szCs w:val="20"/>
          <w:color w:val="auto"/>
        </w:rPr>
      </w:pPr>
    </w:p>
    <w:p>
      <w:pPr>
        <w:ind w:firstLine="456"/>
        <w:spacing w:after="0" w:line="261" w:lineRule="auto"/>
        <w:rPr>
          <w:sz w:val="20"/>
          <w:szCs w:val="20"/>
          <w:color w:val="auto"/>
        </w:rPr>
      </w:pPr>
      <w:r>
        <w:rPr>
          <w:rFonts w:ascii="Times New Roman" w:cs="Times New Roman" w:eastAsia="Times New Roman" w:hAnsi="Times New Roman"/>
          <w:sz w:val="18"/>
          <w:szCs w:val="18"/>
          <w:color w:val="auto"/>
        </w:rPr>
        <w:t>TSLX leverages the deep investment, sector, and operating resources of TPG Special Situations Partners (“TSSP”), which with over $12 billion of assets under management, is the dedicated special situations and credit platform of TPG, a global private investment firm with over $74 billion of assets under management. TSSP employs 133 professionals across four offices representing the full complement of sourcing, underwriting and asset management across credit disciplines.</w:t>
      </w:r>
    </w:p>
    <w:p>
      <w:pPr>
        <w:spacing w:after="0" w:line="180" w:lineRule="exact"/>
        <w:rPr>
          <w:sz w:val="20"/>
          <w:szCs w:val="20"/>
          <w:color w:val="auto"/>
        </w:rPr>
      </w:pPr>
    </w:p>
    <w:p>
      <w:pPr>
        <w:ind w:right="280" w:firstLine="456"/>
        <w:spacing w:after="0" w:line="266" w:lineRule="auto"/>
        <w:rPr>
          <w:sz w:val="20"/>
          <w:szCs w:val="20"/>
          <w:color w:val="auto"/>
        </w:rPr>
      </w:pPr>
      <w:r>
        <w:rPr>
          <w:rFonts w:ascii="Times New Roman" w:cs="Times New Roman" w:eastAsia="Times New Roman" w:hAnsi="Times New Roman"/>
          <w:sz w:val="18"/>
          <w:szCs w:val="18"/>
          <w:color w:val="auto"/>
        </w:rPr>
        <w:t>TSLX expects to leverage its expertise to rotate the TICC portfolio into higher value added investments focused on illiquid private credit that have a superior risk-return profile and a market-leading cost structure to drive higher return on equity over time. Where there is no opportunity to rotate assets, TSLX is committed to returning excess capital to stockholders to protect net asset value per share accretion that was created in the transaction.</w:t>
      </w:r>
    </w:p>
    <w:p>
      <w:pPr>
        <w:spacing w:after="0" w:line="176" w:lineRule="exact"/>
        <w:rPr>
          <w:sz w:val="20"/>
          <w:szCs w:val="20"/>
          <w:color w:val="auto"/>
        </w:rPr>
      </w:pPr>
    </w:p>
    <w:p>
      <w:pPr>
        <w:jc w:val="both"/>
        <w:ind w:right="280" w:firstLine="456"/>
        <w:spacing w:after="0" w:line="261" w:lineRule="auto"/>
        <w:rPr>
          <w:sz w:val="20"/>
          <w:szCs w:val="20"/>
          <w:color w:val="auto"/>
        </w:rPr>
      </w:pPr>
      <w:r>
        <w:rPr>
          <w:rFonts w:ascii="Times New Roman" w:cs="Times New Roman" w:eastAsia="Times New Roman" w:hAnsi="Times New Roman"/>
          <w:sz w:val="18"/>
          <w:szCs w:val="18"/>
          <w:color w:val="auto"/>
        </w:rPr>
        <w:t>TSLX made its proposal privately to the Special Committee of TICC’s Board of Directors on September 10, 2015 with the intention of entering into constructive discussions. On September 15, 2015 TSLX was advised that TICC’s Special Committee had rejected the offer without engaging TSLX or its advisors in substantive dialogue regarding the proposal. TSLX remains fully committed to pursuing this transaction for the benefit of all stockholders and urges the Special Committee to enter into constructive discussions with TSLX pursuant to its fiduciary duties.</w:t>
      </w:r>
    </w:p>
    <w:p>
      <w:pPr>
        <w:spacing w:after="0" w:line="180" w:lineRule="exact"/>
        <w:rPr>
          <w:sz w:val="20"/>
          <w:szCs w:val="20"/>
          <w:color w:val="auto"/>
        </w:rPr>
      </w:pPr>
    </w:p>
    <w:p>
      <w:pPr>
        <w:ind w:right="60" w:firstLine="456"/>
        <w:spacing w:after="0" w:line="266" w:lineRule="auto"/>
        <w:rPr>
          <w:sz w:val="20"/>
          <w:szCs w:val="20"/>
          <w:color w:val="auto"/>
        </w:rPr>
      </w:pPr>
      <w:r>
        <w:rPr>
          <w:rFonts w:ascii="Times New Roman" w:cs="Times New Roman" w:eastAsia="Times New Roman" w:hAnsi="Times New Roman"/>
          <w:sz w:val="18"/>
          <w:szCs w:val="18"/>
          <w:color w:val="auto"/>
        </w:rPr>
        <w:t>TSLX also intends to solicit proxies of TICC stockholders against the proposals to be considered by TICC stockholders at its special meeting on October 27, 2015. TSLX expects to file with the Securities and Exchange Commission (“SEC”) a proxy statement with respect to such solicitation in the near future. TSLX owns approximately 3% of the outstanding shares of TICC and plans to vote its shares against the proposals recommended by the TICC board.</w:t>
      </w:r>
    </w:p>
    <w:p>
      <w:pPr>
        <w:spacing w:after="0" w:line="176" w:lineRule="exact"/>
        <w:rPr>
          <w:sz w:val="20"/>
          <w:szCs w:val="20"/>
          <w:color w:val="auto"/>
        </w:rPr>
      </w:pPr>
    </w:p>
    <w:p>
      <w:pPr>
        <w:ind w:right="180" w:firstLine="456"/>
        <w:spacing w:after="0" w:line="258" w:lineRule="auto"/>
        <w:rPr>
          <w:sz w:val="20"/>
          <w:szCs w:val="20"/>
          <w:color w:val="auto"/>
        </w:rPr>
      </w:pPr>
      <w:r>
        <w:rPr>
          <w:rFonts w:ascii="Times New Roman" w:cs="Times New Roman" w:eastAsia="Times New Roman" w:hAnsi="Times New Roman"/>
          <w:sz w:val="18"/>
          <w:szCs w:val="18"/>
          <w:color w:val="auto"/>
        </w:rPr>
        <w:t>Joshua Easterly, Chairman of the Board of Directors and Co-Chief Executive Officer of TSLX commented: “As TICC considers its future, we felt the timing was right to present our own proposal for a mutually beneficial transaction that would generate significant returns for stockholders of both organizations, as opposed to rewarding external managers. We believe that a core component of the value embedded in our offer is our industry-leading governance philosophy. We are among a select group of participants in the BDC sector that puts stockholders first and, as a result, we deliver best-in-class returns. In fact, TSLX delivered total returns of 14.7% while the sector average was -7.5% in 2014.</w:t>
      </w:r>
    </w:p>
    <w:p>
      <w:pPr>
        <w:spacing w:after="0" w:line="184" w:lineRule="exact"/>
        <w:rPr>
          <w:sz w:val="20"/>
          <w:szCs w:val="20"/>
          <w:color w:val="auto"/>
        </w:rPr>
      </w:pPr>
    </w:p>
    <w:p>
      <w:pPr>
        <w:ind w:right="240" w:firstLine="456"/>
        <w:spacing w:after="0" w:line="266" w:lineRule="auto"/>
        <w:rPr>
          <w:sz w:val="20"/>
          <w:szCs w:val="20"/>
          <w:color w:val="auto"/>
        </w:rPr>
      </w:pPr>
      <w:r>
        <w:rPr>
          <w:rFonts w:ascii="Times New Roman" w:cs="Times New Roman" w:eastAsia="Times New Roman" w:hAnsi="Times New Roman"/>
          <w:sz w:val="18"/>
          <w:szCs w:val="18"/>
          <w:color w:val="auto"/>
        </w:rPr>
        <w:t>“We are disappointed that TICC’s Special Committee rejected our proposal so quickly and has refused to engage substantively with us. However, we remain fully committed to making this combination a reality and will continue to pursue unlocking the value inherent in the proposal for both companies’ stockholders.</w:t>
      </w:r>
    </w:p>
    <w:p>
      <w:pPr>
        <w:spacing w:after="0" w:line="176" w:lineRule="exact"/>
        <w:rPr>
          <w:sz w:val="20"/>
          <w:szCs w:val="20"/>
          <w:color w:val="auto"/>
        </w:rPr>
      </w:pPr>
    </w:p>
    <w:p>
      <w:pPr>
        <w:ind w:right="260" w:firstLine="456"/>
        <w:spacing w:after="0" w:line="266" w:lineRule="auto"/>
        <w:rPr>
          <w:sz w:val="20"/>
          <w:szCs w:val="20"/>
          <w:color w:val="auto"/>
        </w:rPr>
      </w:pPr>
      <w:r>
        <w:rPr>
          <w:rFonts w:ascii="Times New Roman" w:cs="Times New Roman" w:eastAsia="Times New Roman" w:hAnsi="Times New Roman"/>
          <w:sz w:val="18"/>
          <w:szCs w:val="18"/>
          <w:color w:val="auto"/>
        </w:rPr>
        <w:t>“We agree with NexPoint that stockholders should reject the Benefit Street Partners proposal. However, the NexPoint proposal is equally flawed as both transactions provide returns only for external managers and offer no immediate value to stockholders. This focus on fees for an external manager is in sharp contrast to the upfront 20% premium and long-term value creation potential that our proposal delivers to the long-suffering TICC stockholders.”</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Goldman, Sachs &amp; Co. is acting as financial advisor and Cleary Gottlieb Steen &amp; Hamilton LLP is acting as legal advisor to TSLX.</w:t>
      </w:r>
    </w:p>
    <w:p>
      <w:pPr>
        <w:spacing w:after="0" w:line="158"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420"/>
          </w:cols>
          <w:pgMar w:left="240" w:top="270" w:right="239" w:bottom="1440" w:gutter="0" w:footer="0" w:header="0"/>
        </w:sectPr>
      </w:pPr>
    </w:p>
    <w:bookmarkStart w:id="13" w:name="page14"/>
    <w:bookmarkEnd w:id="1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PROPOSAL NO. 1</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APPROVAL OF NEW ADVISORY AGREEMENT</w:t>
      </w:r>
    </w:p>
    <w:p>
      <w:pPr>
        <w:spacing w:after="0" w:line="207" w:lineRule="exact"/>
        <w:rPr>
          <w:sz w:val="20"/>
          <w:szCs w:val="20"/>
          <w:color w:val="auto"/>
        </w:rPr>
      </w:pPr>
    </w:p>
    <w:p>
      <w:pPr>
        <w:ind w:right="20" w:firstLine="456"/>
        <w:spacing w:after="0" w:line="282" w:lineRule="auto"/>
        <w:rPr>
          <w:sz w:val="20"/>
          <w:szCs w:val="20"/>
          <w:color w:val="auto"/>
        </w:rPr>
      </w:pPr>
      <w:r>
        <w:rPr>
          <w:rFonts w:ascii="Times New Roman" w:cs="Times New Roman" w:eastAsia="Times New Roman" w:hAnsi="Times New Roman"/>
          <w:sz w:val="18"/>
          <w:szCs w:val="18"/>
          <w:color w:val="auto"/>
        </w:rPr>
        <w:t xml:space="preserve">TICC is asking you to approve the New Advisory Agreement. For the reasons discussed below, we oppose the proposed New Advisory Agreement, and are therefore soliciting your proxy to vote </w:t>
      </w:r>
      <w:r>
        <w:rPr>
          <w:rFonts w:ascii="Times New Roman" w:cs="Times New Roman" w:eastAsia="Times New Roman" w:hAnsi="Times New Roman"/>
          <w:sz w:val="18"/>
          <w:szCs w:val="18"/>
          <w:b w:val="1"/>
          <w:bCs w:val="1"/>
          <w:color w:val="auto"/>
        </w:rPr>
        <w:t>AGAINST</w:t>
      </w:r>
      <w:r>
        <w:rPr>
          <w:rFonts w:ascii="Times New Roman" w:cs="Times New Roman" w:eastAsia="Times New Roman" w:hAnsi="Times New Roman"/>
          <w:sz w:val="18"/>
          <w:szCs w:val="18"/>
          <w:color w:val="auto"/>
        </w:rPr>
        <w:t xml:space="preserve"> Proposal No. 1.</w:t>
      </w:r>
    </w:p>
    <w:p>
      <w:pPr>
        <w:spacing w:after="0" w:line="158" w:lineRule="exact"/>
        <w:rPr>
          <w:sz w:val="20"/>
          <w:szCs w:val="20"/>
          <w:color w:val="auto"/>
        </w:rPr>
      </w:pPr>
    </w:p>
    <w:p>
      <w:pPr>
        <w:ind w:right="80" w:firstLine="456"/>
        <w:spacing w:after="0" w:line="268" w:lineRule="auto"/>
        <w:rPr>
          <w:sz w:val="20"/>
          <w:szCs w:val="20"/>
          <w:color w:val="auto"/>
        </w:rPr>
      </w:pPr>
      <w:r>
        <w:rPr>
          <w:rFonts w:ascii="Times New Roman" w:cs="Times New Roman" w:eastAsia="Times New Roman" w:hAnsi="Times New Roman"/>
          <w:sz w:val="18"/>
          <w:szCs w:val="18"/>
          <w:b w:val="1"/>
          <w:bCs w:val="1"/>
          <w:color w:val="auto"/>
        </w:rPr>
        <w:t>We urge you to demonstrate your opposition to the proposed New Advisory Agreement – and to send a message to the Special Committee that it should immediately engage substantively with TSLX regarding the TSLX Proposal – by signing, dating and returning the enclosed GOLD proxy card as soon as possible.</w:t>
      </w:r>
    </w:p>
    <w:p>
      <w:pPr>
        <w:spacing w:after="0" w:line="3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REASONS TO VOTE AGAINST THE PROPOSED NEW ADVISORY AGREEMENT</w:t>
      </w:r>
    </w:p>
    <w:p>
      <w:pPr>
        <w:spacing w:after="0" w:line="229" w:lineRule="exact"/>
        <w:rPr>
          <w:sz w:val="20"/>
          <w:szCs w:val="20"/>
          <w:color w:val="auto"/>
        </w:rPr>
      </w:pPr>
    </w:p>
    <w:p>
      <w:pPr>
        <w:ind w:left="640" w:hanging="176"/>
        <w:spacing w:after="0"/>
        <w:tabs>
          <w:tab w:leader="none" w:pos="6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The New Advisory Agreement Proposal Rewards the External Manager and Does Not Offer Immediate Value to TICC Stockholders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40" w:firstLine="456"/>
        <w:spacing w:after="0" w:line="261" w:lineRule="auto"/>
        <w:rPr>
          <w:sz w:val="20"/>
          <w:szCs w:val="20"/>
          <w:color w:val="auto"/>
        </w:rPr>
      </w:pPr>
      <w:r>
        <w:rPr>
          <w:rFonts w:ascii="Times New Roman" w:cs="Times New Roman" w:eastAsia="Times New Roman" w:hAnsi="Times New Roman"/>
          <w:sz w:val="18"/>
          <w:szCs w:val="18"/>
          <w:color w:val="auto"/>
        </w:rPr>
        <w:t>As a stockholder of TICC, we oppose the proposed New Advisory Agreement because we believe that the BSP Transaction provides tangible and immediate economic benefits for external managers while offering no immediate value to TICC stockholders. In contrast, under the TSLX Proposal, TICC stockholders would have received a number of shares of TSLX common stock having a value of $7.50 per TICC share as of the signing date of a definitive agreement, representing approximately a 20% premium to TICC’s closing stock price on September 15, 2015.</w:t>
      </w:r>
    </w:p>
    <w:p>
      <w:pPr>
        <w:spacing w:after="0" w:line="180" w:lineRule="exact"/>
        <w:rPr>
          <w:sz w:val="20"/>
          <w:szCs w:val="20"/>
          <w:color w:val="auto"/>
        </w:rPr>
      </w:pPr>
    </w:p>
    <w:p>
      <w:pPr>
        <w:ind w:right="80" w:firstLine="464"/>
        <w:spacing w:after="0" w:line="282" w:lineRule="auto"/>
        <w:tabs>
          <w:tab w:leader="none" w:pos="636"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Under the TSLX Proposal, TICC Stockholders Would Have the Opportunity to Participate in the Future Value Creation of TSLX’s Industry-Leading Platform</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right="160" w:firstLine="456"/>
        <w:spacing w:after="0" w:line="282" w:lineRule="auto"/>
        <w:rPr>
          <w:sz w:val="20"/>
          <w:szCs w:val="20"/>
          <w:color w:val="auto"/>
        </w:rPr>
      </w:pPr>
      <w:r>
        <w:rPr>
          <w:rFonts w:ascii="Times New Roman" w:cs="Times New Roman" w:eastAsia="Times New Roman" w:hAnsi="Times New Roman"/>
          <w:sz w:val="18"/>
          <w:szCs w:val="18"/>
          <w:color w:val="auto"/>
        </w:rPr>
        <w:t>In addition to the substantial up-front premium that the TSLX Proposal offers to TICC stockholders, the TSLX Proposal offers TICC stockholders the opportunity to participate in the future value creation of TSLX’s industry-leading platform. In particular:</w:t>
      </w:r>
    </w:p>
    <w:p>
      <w:pPr>
        <w:spacing w:after="0" w:line="65" w:lineRule="exact"/>
        <w:rPr>
          <w:sz w:val="20"/>
          <w:szCs w:val="20"/>
          <w:color w:val="auto"/>
        </w:rPr>
      </w:pPr>
    </w:p>
    <w:p>
      <w:pPr>
        <w:ind w:left="900" w:right="380" w:hanging="325"/>
        <w:spacing w:after="0" w:line="284" w:lineRule="auto"/>
        <w:tabs>
          <w:tab w:leader="none" w:pos="9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Accretive to Net Asset Value</w:t>
      </w:r>
      <w:r>
        <w:rPr>
          <w:rFonts w:ascii="Times New Roman" w:cs="Times New Roman" w:eastAsia="Times New Roman" w:hAnsi="Times New Roman"/>
          <w:sz w:val="18"/>
          <w:szCs w:val="18"/>
          <w:color w:val="auto"/>
        </w:rPr>
        <w:t>. The TSLX Proposal would be immediately accretive to net asset value per share and is expected to drive higher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return on equity over time.</w:t>
      </w:r>
    </w:p>
    <w:p>
      <w:pPr>
        <w:spacing w:after="0" w:line="63" w:lineRule="exact"/>
        <w:rPr>
          <w:rFonts w:ascii="Times New Roman" w:cs="Times New Roman" w:eastAsia="Times New Roman" w:hAnsi="Times New Roman"/>
          <w:sz w:val="18"/>
          <w:szCs w:val="18"/>
          <w:color w:val="auto"/>
        </w:rPr>
      </w:pPr>
    </w:p>
    <w:p>
      <w:pPr>
        <w:ind w:left="900" w:right="600" w:hanging="325"/>
        <w:spacing w:after="0" w:line="267" w:lineRule="auto"/>
        <w:tabs>
          <w:tab w:leader="none" w:pos="9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Proven Track Record</w:t>
      </w:r>
      <w:r>
        <w:rPr>
          <w:rFonts w:ascii="Times New Roman" w:cs="Times New Roman" w:eastAsia="Times New Roman" w:hAnsi="Times New Roman"/>
          <w:sz w:val="18"/>
          <w:szCs w:val="18"/>
          <w:color w:val="auto"/>
        </w:rPr>
        <w:t>. TSLX has a proven track record of delivering superior returns and stable dividends to stockholders. In 2014, TSLX</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generated total returns of 14.7% compared to the sector average of -7.5%. TSLX has grown net asset value per share from $14.06 after organizational costs to $15.84 as of June 30, 2015.</w:t>
      </w:r>
    </w:p>
    <w:p>
      <w:pPr>
        <w:spacing w:after="0" w:line="78" w:lineRule="exact"/>
        <w:rPr>
          <w:rFonts w:ascii="Times New Roman" w:cs="Times New Roman" w:eastAsia="Times New Roman" w:hAnsi="Times New Roman"/>
          <w:sz w:val="18"/>
          <w:szCs w:val="18"/>
          <w:color w:val="auto"/>
        </w:rPr>
      </w:pPr>
    </w:p>
    <w:p>
      <w:pPr>
        <w:ind w:left="900" w:right="260" w:hanging="325"/>
        <w:spacing w:after="0" w:line="315" w:lineRule="auto"/>
        <w:tabs>
          <w:tab w:leader="none" w:pos="90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Increased Liquidity</w:t>
      </w:r>
      <w:r>
        <w:rPr>
          <w:rFonts w:ascii="Times New Roman" w:cs="Times New Roman" w:eastAsia="Times New Roman" w:hAnsi="Times New Roman"/>
          <w:sz w:val="17"/>
          <w:szCs w:val="17"/>
          <w:color w:val="auto"/>
        </w:rPr>
        <w:t>. TICC stockholders would benefit from increased liquidity, by owning shares in a combined company having a pro forma</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market capitalization potentially in excess of $1.3 billion, as compared to TICC’s current market capitalization of approximately $380 million.</w:t>
      </w:r>
    </w:p>
    <w:p>
      <w:pPr>
        <w:spacing w:after="0" w:line="40" w:lineRule="exact"/>
        <w:rPr>
          <w:rFonts w:ascii="Times New Roman" w:cs="Times New Roman" w:eastAsia="Times New Roman" w:hAnsi="Times New Roman"/>
          <w:sz w:val="17"/>
          <w:szCs w:val="17"/>
          <w:color w:val="auto"/>
        </w:rPr>
      </w:pPr>
    </w:p>
    <w:p>
      <w:pPr>
        <w:ind w:left="900" w:right="40" w:hanging="325"/>
        <w:spacing w:after="0" w:line="261" w:lineRule="auto"/>
        <w:tabs>
          <w:tab w:leader="none" w:pos="9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Consistent and Stable Dividend</w:t>
      </w:r>
      <w:r>
        <w:rPr>
          <w:rFonts w:ascii="Times New Roman" w:cs="Times New Roman" w:eastAsia="Times New Roman" w:hAnsi="Times New Roman"/>
          <w:sz w:val="18"/>
          <w:szCs w:val="18"/>
          <w:color w:val="auto"/>
        </w:rPr>
        <w:t>. TSLX believes business development companies should maintain consistent dividends that are well covered by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net investment income. TSLX has earned per share net investment income</w:t>
      </w:r>
      <w:r>
        <w:rPr>
          <w:rFonts w:ascii="Times New Roman" w:cs="Times New Roman" w:eastAsia="Times New Roman" w:hAnsi="Times New Roman"/>
          <w:sz w:val="15"/>
          <w:szCs w:val="15"/>
          <w:color w:val="auto"/>
        </w:rPr>
        <w:t>3</w:t>
      </w:r>
      <w:r>
        <w:rPr>
          <w:rFonts w:ascii="Times New Roman" w:cs="Times New Roman" w:eastAsia="Times New Roman" w:hAnsi="Times New Roman"/>
          <w:sz w:val="18"/>
          <w:szCs w:val="18"/>
          <w:color w:val="auto"/>
        </w:rPr>
        <w:t xml:space="preserve"> in excess of its dividend every year since its inception. It is expected that TSLX will continue its current dividend policy which is expected to result in increased dividends to the extent TSLX is successful in rotating the TICC portfolio into higher yielding investments as described below.</w:t>
      </w:r>
    </w:p>
    <w:p>
      <w:pPr>
        <w:spacing w:after="0" w:line="85" w:lineRule="exact"/>
        <w:rPr>
          <w:rFonts w:ascii="Times New Roman" w:cs="Times New Roman" w:eastAsia="Times New Roman" w:hAnsi="Times New Roman"/>
          <w:sz w:val="18"/>
          <w:szCs w:val="18"/>
          <w:color w:val="auto"/>
        </w:rPr>
      </w:pPr>
    </w:p>
    <w:p>
      <w:pPr>
        <w:ind w:left="900" w:hanging="325"/>
        <w:spacing w:after="0" w:line="267" w:lineRule="auto"/>
        <w:tabs>
          <w:tab w:leader="none" w:pos="9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Proven Ability to Generate Return on Equity for Stockholders</w:t>
      </w:r>
      <w:r>
        <w:rPr>
          <w:rFonts w:ascii="Times New Roman" w:cs="Times New Roman" w:eastAsia="Times New Roman" w:hAnsi="Times New Roman"/>
          <w:sz w:val="18"/>
          <w:szCs w:val="18"/>
          <w:color w:val="auto"/>
        </w:rPr>
        <w:t>. TICC stockholders would benefit from TSLX’s superior investment performance.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 2014, TSLX generated approximately a 13% return on equity based on net investment income compared to an industry return of approximately 9%</w:t>
      </w:r>
      <w:r>
        <w:rPr>
          <w:rFonts w:ascii="Times New Roman" w:cs="Times New Roman" w:eastAsia="Times New Roman" w:hAnsi="Times New Roman"/>
          <w:sz w:val="15"/>
          <w:szCs w:val="15"/>
          <w:color w:val="auto"/>
        </w:rPr>
        <w:t>4</w:t>
      </w:r>
      <w:r>
        <w:rPr>
          <w:rFonts w:ascii="Times New Roman" w:cs="Times New Roman" w:eastAsia="Times New Roman" w:hAnsi="Times New Roman"/>
          <w:sz w:val="18"/>
          <w:szCs w:val="18"/>
          <w:color w:val="auto"/>
        </w:rPr>
        <w:t>, due to its ability to originate high risk adjusted return credit opportunities and its competitive cost structure.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71755</wp:posOffset>
            </wp:positionV>
            <wp:extent cx="72898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9" w:lineRule="exact"/>
        <w:rPr>
          <w:sz w:val="20"/>
          <w:szCs w:val="20"/>
          <w:color w:val="auto"/>
        </w:rPr>
      </w:pPr>
    </w:p>
    <w:p>
      <w:pPr>
        <w:ind w:left="220" w:hanging="212"/>
        <w:spacing w:after="0"/>
        <w:tabs>
          <w:tab w:leader="none" w:pos="220" w:val="left"/>
        </w:tabs>
        <w:numPr>
          <w:ilvl w:val="0"/>
          <w:numId w:val="20"/>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Includes realized gains in 2012.</w:t>
      </w:r>
    </w:p>
    <w:p>
      <w:pPr>
        <w:spacing w:after="0" w:line="26" w:lineRule="exact"/>
        <w:rPr>
          <w:sz w:val="20"/>
          <w:szCs w:val="20"/>
          <w:color w:val="auto"/>
        </w:rPr>
      </w:pPr>
    </w:p>
    <w:p>
      <w:pPr>
        <w:ind w:left="220" w:right="580" w:hanging="212"/>
        <w:spacing w:after="0" w:line="262" w:lineRule="auto"/>
        <w:tabs>
          <w:tab w:leader="none" w:pos="220" w:val="left"/>
        </w:tabs>
        <w:numPr>
          <w:ilvl w:val="0"/>
          <w:numId w:val="21"/>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Source: SNL financial and company filings. Peers include ARCC, ACAS, PSEC, AINV, MAIN, FSC, SLRC, GBDC, HTGC, PNNT, MCC, TCAP, NMFC, BKCC, TCRD.</w:t>
      </w:r>
    </w:p>
    <w:p>
      <w:pPr>
        <w:spacing w:after="0" w:line="1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420"/>
          </w:cols>
          <w:pgMar w:left="240" w:top="266" w:right="239" w:bottom="1440" w:gutter="0" w:footer="0" w:header="0"/>
        </w:sectPr>
      </w:pPr>
    </w:p>
    <w:bookmarkStart w:id="14" w:name="page15"/>
    <w:bookmarkEnd w:id="14"/>
    <w:p>
      <w:pPr>
        <w:ind w:firstLine="456"/>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TSLX leverages the deep investment, sector, and operating resources of TPG Special Situations Partners (“</w:t>
      </w:r>
      <w:r>
        <w:rPr>
          <w:rFonts w:ascii="Times New Roman" w:cs="Times New Roman" w:eastAsia="Times New Roman" w:hAnsi="Times New Roman"/>
          <w:sz w:val="18"/>
          <w:szCs w:val="18"/>
          <w:u w:val="single" w:color="auto"/>
          <w:color w:val="auto"/>
        </w:rPr>
        <w:t>TSSP</w:t>
      </w:r>
      <w:r>
        <w:rPr>
          <w:rFonts w:ascii="Times New Roman" w:cs="Times New Roman" w:eastAsia="Times New Roman" w:hAnsi="Times New Roman"/>
          <w:sz w:val="18"/>
          <w:szCs w:val="18"/>
          <w:color w:val="auto"/>
        </w:rPr>
        <w:t>”) which, with over $12 billion of assets under management, is the dedicated special situations and credit platform of TPG, a global private investment firm with over $74 billion of assets under management. TSSP employs 133 professionals across four offices representing the full complement of sourcing, underwriting and asset management across credit disciplines.</w:t>
      </w:r>
    </w:p>
    <w:p>
      <w:pPr>
        <w:spacing w:after="0" w:line="180" w:lineRule="exact"/>
        <w:rPr>
          <w:sz w:val="20"/>
          <w:szCs w:val="20"/>
          <w:color w:val="auto"/>
        </w:rPr>
      </w:pPr>
    </w:p>
    <w:p>
      <w:pPr>
        <w:jc w:val="both"/>
        <w:ind w:right="440" w:firstLine="456"/>
        <w:spacing w:after="0" w:line="266" w:lineRule="auto"/>
        <w:rPr>
          <w:sz w:val="20"/>
          <w:szCs w:val="20"/>
          <w:color w:val="auto"/>
        </w:rPr>
      </w:pPr>
      <w:r>
        <w:rPr>
          <w:rFonts w:ascii="Times New Roman" w:cs="Times New Roman" w:eastAsia="Times New Roman" w:hAnsi="Times New Roman"/>
          <w:sz w:val="18"/>
          <w:szCs w:val="18"/>
          <w:color w:val="auto"/>
        </w:rPr>
        <w:t>TSLX expects to utilize its expertise to rotate the TICC portfolio into higher value added investments focused on illiquid private credit that have a superior risk-return profile and a market-leading cost structure to drive higher return on equity over time. Where there is no opportunity to rotate assets, TSLX is committed to returning excess capital to stockholders to protect net asset value per share accretion that was created in the transaction.</w:t>
      </w:r>
    </w:p>
    <w:p>
      <w:pPr>
        <w:spacing w:after="0" w:line="174" w:lineRule="exact"/>
        <w:rPr>
          <w:sz w:val="20"/>
          <w:szCs w:val="20"/>
          <w:color w:val="auto"/>
        </w:rPr>
      </w:pPr>
    </w:p>
    <w:p>
      <w:pPr>
        <w:ind w:right="200" w:firstLine="464"/>
        <w:spacing w:after="0" w:line="284" w:lineRule="auto"/>
        <w:tabs>
          <w:tab w:leader="none" w:pos="636"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 xml:space="preserve">A Vote “AGAINST” the Proposed New Advisory Agreement Encourages the Special Committee to Pursue the </w:t>
      </w:r>
      <w:r>
        <w:rPr>
          <w:rFonts w:ascii="Times New Roman" w:cs="Times New Roman" w:eastAsia="Times New Roman" w:hAnsi="Times New Roman"/>
          <w:sz w:val="18"/>
          <w:szCs w:val="18"/>
          <w:i w:val="1"/>
          <w:iCs w:val="1"/>
          <w:u w:val="single" w:color="auto"/>
          <w:color w:val="auto"/>
        </w:rPr>
        <w:t>Superior</w:t>
      </w:r>
      <w:r>
        <w:rPr>
          <w:rFonts w:ascii="Times New Roman" w:cs="Times New Roman" w:eastAsia="Times New Roman" w:hAnsi="Times New Roman"/>
          <w:sz w:val="18"/>
          <w:szCs w:val="18"/>
          <w:u w:val="single" w:color="auto"/>
          <w:color w:val="auto"/>
        </w:rPr>
        <w:t xml:space="preserve"> TSLX Proposal, Which to Date It Has Refused to Do</w:t>
      </w:r>
      <w:r>
        <w:rPr>
          <w:rFonts w:ascii="Times New Roman" w:cs="Times New Roman" w:eastAsia="Times New Roman" w:hAnsi="Times New Roman"/>
          <w:sz w:val="18"/>
          <w:szCs w:val="18"/>
          <w:color w:val="auto"/>
        </w:rPr>
        <w:t>.</w:t>
      </w:r>
    </w:p>
    <w:p>
      <w:pPr>
        <w:spacing w:after="0" w:line="160" w:lineRule="exact"/>
        <w:rPr>
          <w:sz w:val="20"/>
          <w:szCs w:val="20"/>
          <w:color w:val="auto"/>
        </w:rPr>
      </w:pPr>
    </w:p>
    <w:p>
      <w:pPr>
        <w:ind w:right="100" w:firstLine="456"/>
        <w:spacing w:after="0" w:line="261" w:lineRule="auto"/>
        <w:rPr>
          <w:sz w:val="20"/>
          <w:szCs w:val="20"/>
          <w:color w:val="auto"/>
        </w:rPr>
      </w:pPr>
      <w:r>
        <w:rPr>
          <w:rFonts w:ascii="Times New Roman" w:cs="Times New Roman" w:eastAsia="Times New Roman" w:hAnsi="Times New Roman"/>
          <w:sz w:val="18"/>
          <w:szCs w:val="18"/>
          <w:color w:val="auto"/>
        </w:rPr>
        <w:t>As described under “Background of the Solicitation,” above, TSLX has attempted on several occasions to engage in constructive discussions with the Special Committee regarding the TSLX Proposal. Nevertheless, TICC’s Special Committee rejected the TSLX Proposal out of hand without engaging TSLX or its advisors in substantive dialogue. We remain fully committed to pursuing the TSLX Proposal for the benefit of TICC stockholders if and when the Special Committee is willing to engage with us.</w:t>
      </w:r>
    </w:p>
    <w:p>
      <w:pPr>
        <w:spacing w:after="0" w:line="180" w:lineRule="exact"/>
        <w:rPr>
          <w:sz w:val="20"/>
          <w:szCs w:val="20"/>
          <w:color w:val="auto"/>
        </w:rPr>
      </w:pPr>
    </w:p>
    <w:p>
      <w:pPr>
        <w:ind w:right="20" w:firstLine="456"/>
        <w:spacing w:after="0" w:line="261" w:lineRule="auto"/>
        <w:rPr>
          <w:sz w:val="20"/>
          <w:szCs w:val="20"/>
          <w:color w:val="auto"/>
        </w:rPr>
      </w:pPr>
      <w:r>
        <w:rPr>
          <w:rFonts w:ascii="Times New Roman" w:cs="Times New Roman" w:eastAsia="Times New Roman" w:hAnsi="Times New Roman"/>
          <w:sz w:val="18"/>
          <w:szCs w:val="18"/>
          <w:color w:val="auto"/>
        </w:rPr>
        <w:t>By voting “AGAINST” the proposed New Advisory Agreement, you will send a message to the TICC Special Committee that you expect them to act in your best interest to maximize the value of your TICC investment by engaging with TSLX to unlock the immediate and substantial premium and significant long-term value offered by the TSLX Proposal. It is important to note that TICC stockholders will not have an opportunity to consider and approve the TSLX Proposal unless and until it is approved by the TICC Board.</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TSLX urges you to vote against the New Advisory Agreement Proposal by signing, dating and</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returning the enclosed GOLD proxy card as soon as possible.</w:t>
      </w:r>
    </w:p>
    <w:p>
      <w:pPr>
        <w:spacing w:after="0" w:line="1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420"/>
          </w:cols>
          <w:pgMar w:left="240" w:top="270" w:right="239" w:bottom="1440" w:gutter="0" w:footer="0" w:header="0"/>
        </w:sectPr>
      </w:pPr>
    </w:p>
    <w:bookmarkStart w:id="15" w:name="page16"/>
    <w:bookmarkEnd w:id="15"/>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PROPOSAL NO. 2</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ELECTION OF DIRECTORS</w:t>
      </w:r>
    </w:p>
    <w:p>
      <w:pPr>
        <w:spacing w:after="0" w:line="207" w:lineRule="exact"/>
        <w:rPr>
          <w:sz w:val="20"/>
          <w:szCs w:val="20"/>
          <w:color w:val="auto"/>
        </w:rPr>
      </w:pPr>
    </w:p>
    <w:p>
      <w:pPr>
        <w:ind w:firstLine="456"/>
        <w:spacing w:after="0" w:line="261" w:lineRule="auto"/>
        <w:rPr>
          <w:sz w:val="20"/>
          <w:szCs w:val="20"/>
          <w:color w:val="auto"/>
        </w:rPr>
      </w:pPr>
      <w:r>
        <w:rPr>
          <w:rFonts w:ascii="Times New Roman" w:cs="Times New Roman" w:eastAsia="Times New Roman" w:hAnsi="Times New Roman"/>
          <w:sz w:val="18"/>
          <w:szCs w:val="18"/>
          <w:color w:val="auto"/>
        </w:rPr>
        <w:t xml:space="preserve">TICC is asking you to vote on the election of six director nominees named in the TICC Proxy Statement and in the proxy card attached hereto to serve on the Board for the terms specified in the TICC Proxy Statement. Because, according to the TICC Proxy Statement, the BSP Transaction is conditioned on approval of this Proposal and we oppose the BSP Transaction for the reasons discussed above under Proposal No. 1, we oppose the proposed nominees. To that end, we are soliciting your proxy to vote </w:t>
      </w:r>
      <w:r>
        <w:rPr>
          <w:rFonts w:ascii="Times New Roman" w:cs="Times New Roman" w:eastAsia="Times New Roman" w:hAnsi="Times New Roman"/>
          <w:sz w:val="18"/>
          <w:szCs w:val="18"/>
          <w:b w:val="1"/>
          <w:bCs w:val="1"/>
          <w:color w:val="auto"/>
        </w:rPr>
        <w:t>AGAINST</w:t>
      </w:r>
      <w:r>
        <w:rPr>
          <w:rFonts w:ascii="Times New Roman" w:cs="Times New Roman" w:eastAsia="Times New Roman" w:hAnsi="Times New Roman"/>
          <w:sz w:val="18"/>
          <w:szCs w:val="18"/>
          <w:color w:val="auto"/>
        </w:rPr>
        <w:t xml:space="preserve"> Proposal No. 2.</w:t>
      </w:r>
    </w:p>
    <w:p>
      <w:pPr>
        <w:spacing w:after="0" w:line="176" w:lineRule="exact"/>
        <w:rPr>
          <w:sz w:val="20"/>
          <w:szCs w:val="20"/>
          <w:color w:val="auto"/>
        </w:rPr>
      </w:pPr>
    </w:p>
    <w:p>
      <w:pPr>
        <w:ind w:right="180" w:firstLine="456"/>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We urge you to demonstrate your opposition to the proposed nominees and to send a message to the Board that the election of the proposed director nominees is </w:t>
      </w:r>
      <w:r>
        <w:rPr>
          <w:rFonts w:ascii="Times New Roman" w:cs="Times New Roman" w:eastAsia="Times New Roman" w:hAnsi="Times New Roman"/>
          <w:sz w:val="18"/>
          <w:szCs w:val="18"/>
          <w:b w:val="1"/>
          <w:bCs w:val="1"/>
          <w:u w:val="single" w:color="auto"/>
          <w:color w:val="auto"/>
        </w:rPr>
        <w:t>not</w:t>
      </w:r>
      <w:r>
        <w:rPr>
          <w:rFonts w:ascii="Times New Roman" w:cs="Times New Roman" w:eastAsia="Times New Roman" w:hAnsi="Times New Roman"/>
          <w:sz w:val="18"/>
          <w:szCs w:val="18"/>
          <w:b w:val="1"/>
          <w:bCs w:val="1"/>
          <w:color w:val="auto"/>
        </w:rPr>
        <w:t xml:space="preserve"> in the best interest of TICC stockholders by signing, dating and returning the enclosed GOLD proxy card as soon as possible.</w:t>
      </w:r>
    </w:p>
    <w:p>
      <w:pPr>
        <w:spacing w:after="0" w:line="171" w:lineRule="exact"/>
        <w:rPr>
          <w:sz w:val="20"/>
          <w:szCs w:val="20"/>
          <w:color w:val="auto"/>
        </w:rPr>
      </w:pPr>
    </w:p>
    <w:p>
      <w:pPr>
        <w:jc w:val="center"/>
        <w:ind w:left="360"/>
        <w:spacing w:after="0" w:line="459" w:lineRule="auto"/>
        <w:rPr>
          <w:sz w:val="20"/>
          <w:szCs w:val="20"/>
          <w:color w:val="auto"/>
        </w:rPr>
      </w:pPr>
      <w:r>
        <w:rPr>
          <w:rFonts w:ascii="Times New Roman" w:cs="Times New Roman" w:eastAsia="Times New Roman" w:hAnsi="Times New Roman"/>
          <w:sz w:val="18"/>
          <w:szCs w:val="18"/>
          <w:b w:val="1"/>
          <w:bCs w:val="1"/>
          <w:color w:val="auto"/>
        </w:rPr>
        <w:t xml:space="preserve">TSLX urges you to vote against each of the director nominees by signing, dating and returning the enclosed GOLD proxy card as soon as possible. </w:t>
      </w:r>
      <w:r>
        <w:rPr>
          <w:rFonts w:ascii="Times New Roman" w:cs="Times New Roman" w:eastAsia="Times New Roman" w:hAnsi="Times New Roman"/>
          <w:sz w:val="18"/>
          <w:szCs w:val="18"/>
          <w:color w:val="auto"/>
        </w:rPr>
        <w:t>11</w:t>
      </w:r>
    </w:p>
    <w:p>
      <w:pPr>
        <w:sectPr>
          <w:pgSz w:w="11900" w:h="16838" w:orient="portrait"/>
          <w:cols w:equalWidth="0" w:num="1">
            <w:col w:w="11300"/>
          </w:cols>
          <w:pgMar w:left="240" w:top="266" w:right="359" w:bottom="1440" w:gutter="0" w:footer="0" w:header="0"/>
        </w:sectPr>
      </w:pPr>
    </w:p>
    <w:bookmarkStart w:id="16" w:name="page17"/>
    <w:bookmarkEnd w:id="16"/>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PROPOSAL NO. 3</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PROPOSAL TO APPROVE ADJOURNMENT OF THE SPECIAL MEETING</w:t>
      </w:r>
    </w:p>
    <w:p>
      <w:pPr>
        <w:spacing w:after="0" w:line="207" w:lineRule="exact"/>
        <w:rPr>
          <w:sz w:val="20"/>
          <w:szCs w:val="20"/>
          <w:color w:val="auto"/>
        </w:rPr>
      </w:pPr>
    </w:p>
    <w:p>
      <w:pPr>
        <w:ind w:firstLine="456"/>
        <w:spacing w:after="0" w:line="266" w:lineRule="auto"/>
        <w:rPr>
          <w:sz w:val="20"/>
          <w:szCs w:val="20"/>
          <w:color w:val="auto"/>
        </w:rPr>
      </w:pPr>
      <w:r>
        <w:rPr>
          <w:rFonts w:ascii="Times New Roman" w:cs="Times New Roman" w:eastAsia="Times New Roman" w:hAnsi="Times New Roman"/>
          <w:sz w:val="18"/>
          <w:szCs w:val="18"/>
          <w:color w:val="auto"/>
        </w:rPr>
        <w:t xml:space="preserve">TICC is asking you to approve a proposal to grant the Company authority to vote your Shares to adjourn the meeting, if necessary, to provide additional time to solicit additional proxies if there are insufficient votes at the time of the Special Meeting to adopt any or all of the other proposals set forth in the TICC Proxy Statement. Because we oppose Proposals 1 and 2, we are soliciting your proxy to vote </w:t>
      </w:r>
      <w:r>
        <w:rPr>
          <w:rFonts w:ascii="Times New Roman" w:cs="Times New Roman" w:eastAsia="Times New Roman" w:hAnsi="Times New Roman"/>
          <w:sz w:val="18"/>
          <w:szCs w:val="18"/>
          <w:b w:val="1"/>
          <w:bCs w:val="1"/>
          <w:color w:val="auto"/>
        </w:rPr>
        <w:t>AGAINST</w:t>
      </w:r>
      <w:r>
        <w:rPr>
          <w:rFonts w:ascii="Times New Roman" w:cs="Times New Roman" w:eastAsia="Times New Roman" w:hAnsi="Times New Roman"/>
          <w:sz w:val="18"/>
          <w:szCs w:val="18"/>
          <w:color w:val="auto"/>
        </w:rPr>
        <w:t xml:space="preserve"> Proposal No. 3.</w:t>
      </w:r>
    </w:p>
    <w:p>
      <w:pPr>
        <w:spacing w:after="0" w:line="1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TSLX urges you to vote against the Adjournment Proposal by signing, dating and returning the</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enclosed GOLD proxy card as soon as possible.</w:t>
      </w:r>
    </w:p>
    <w:p>
      <w:pPr>
        <w:spacing w:after="0" w:line="1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400"/>
          </w:cols>
          <w:pgMar w:left="240" w:top="266" w:right="259" w:bottom="1440" w:gutter="0" w:footer="0" w:header="0"/>
        </w:sectPr>
      </w:pPr>
    </w:p>
    <w:bookmarkStart w:id="17" w:name="page18"/>
    <w:bookmarkEnd w:id="17"/>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VOTING AND PROXY PROCEDURES</w:t>
      </w:r>
    </w:p>
    <w:p>
      <w:pPr>
        <w:spacing w:after="0" w:line="229" w:lineRule="exact"/>
        <w:rPr>
          <w:sz w:val="20"/>
          <w:szCs w:val="20"/>
          <w:color w:val="auto"/>
        </w:rPr>
      </w:pPr>
    </w:p>
    <w:p>
      <w:pPr>
        <w:ind w:right="860" w:firstLine="456"/>
        <w:spacing w:after="0" w:line="261" w:lineRule="auto"/>
        <w:rPr>
          <w:sz w:val="20"/>
          <w:szCs w:val="20"/>
          <w:color w:val="auto"/>
        </w:rPr>
      </w:pPr>
      <w:r>
        <w:rPr>
          <w:rFonts w:ascii="Times New Roman" w:cs="Times New Roman" w:eastAsia="Times New Roman" w:hAnsi="Times New Roman"/>
          <w:sz w:val="18"/>
          <w:szCs w:val="18"/>
          <w:color w:val="auto"/>
        </w:rPr>
        <w:t>Only stockholders of record on the Record Date will be entitled to notice of and to vote at the Special Meeting. Each Share is entitled to one vote. Stockholders who sell Shares before the Record Date (or acquire them without voting rights after the Record Date) may not vote such</w:t>
      </w:r>
    </w:p>
    <w:p>
      <w:pPr>
        <w:ind w:right="60"/>
        <w:spacing w:after="0" w:line="255" w:lineRule="auto"/>
        <w:rPr>
          <w:sz w:val="20"/>
          <w:szCs w:val="20"/>
          <w:color w:val="auto"/>
        </w:rPr>
      </w:pPr>
      <w:r>
        <w:rPr>
          <w:rFonts w:ascii="Times New Roman" w:cs="Times New Roman" w:eastAsia="Times New Roman" w:hAnsi="Times New Roman"/>
          <w:sz w:val="18"/>
          <w:szCs w:val="18"/>
          <w:color w:val="auto"/>
        </w:rPr>
        <w:t>Shares. Stockholders of record on the Record Date will retain their voting rights in connection with the Special Meeting even if they sell such Shares after the Record Date. Based on publicly available information, TSLX believes that the only outstanding class of securities of TICC entitled to vote at the Special Meeting is the Shares.</w:t>
      </w:r>
    </w:p>
    <w:p>
      <w:pPr>
        <w:spacing w:after="0" w:line="182" w:lineRule="exact"/>
        <w:rPr>
          <w:sz w:val="20"/>
          <w:szCs w:val="20"/>
          <w:color w:val="auto"/>
        </w:rPr>
      </w:pPr>
    </w:p>
    <w:p>
      <w:pPr>
        <w:ind w:firstLine="456"/>
        <w:spacing w:after="0" w:line="268" w:lineRule="auto"/>
        <w:rPr>
          <w:sz w:val="20"/>
          <w:szCs w:val="20"/>
          <w:color w:val="auto"/>
        </w:rPr>
      </w:pPr>
      <w:r>
        <w:rPr>
          <w:rFonts w:ascii="Times New Roman" w:cs="Times New Roman" w:eastAsia="Times New Roman" w:hAnsi="Times New Roman"/>
          <w:sz w:val="18"/>
          <w:szCs w:val="18"/>
          <w:color w:val="auto"/>
        </w:rPr>
        <w:t xml:space="preserve">Shares represented by properly executed </w:t>
      </w:r>
      <w:r>
        <w:rPr>
          <w:rFonts w:ascii="Times New Roman" w:cs="Times New Roman" w:eastAsia="Times New Roman" w:hAnsi="Times New Roman"/>
          <w:sz w:val="18"/>
          <w:szCs w:val="18"/>
          <w:b w:val="1"/>
          <w:bCs w:val="1"/>
          <w:color w:val="auto"/>
        </w:rPr>
        <w:t>GOLD</w:t>
      </w:r>
      <w:r>
        <w:rPr>
          <w:rFonts w:ascii="Times New Roman" w:cs="Times New Roman" w:eastAsia="Times New Roman" w:hAnsi="Times New Roman"/>
          <w:sz w:val="18"/>
          <w:szCs w:val="18"/>
          <w:color w:val="auto"/>
        </w:rPr>
        <w:t xml:space="preserve"> proxy cards will be voted at the Special Meeting as marked and, in the absence of specific instructions, will be voted </w:t>
      </w:r>
      <w:r>
        <w:rPr>
          <w:rFonts w:ascii="Times New Roman" w:cs="Times New Roman" w:eastAsia="Times New Roman" w:hAnsi="Times New Roman"/>
          <w:sz w:val="18"/>
          <w:szCs w:val="18"/>
          <w:b w:val="1"/>
          <w:bCs w:val="1"/>
          <w:color w:val="auto"/>
        </w:rPr>
        <w:t>AGAINST</w:t>
      </w:r>
      <w:r>
        <w:rPr>
          <w:rFonts w:ascii="Times New Roman" w:cs="Times New Roman" w:eastAsia="Times New Roman" w:hAnsi="Times New Roman"/>
          <w:sz w:val="18"/>
          <w:szCs w:val="18"/>
          <w:color w:val="auto"/>
        </w:rPr>
        <w:t xml:space="preserve"> Proposals 1, 2 and 3, and in the discretion of the proxies with respect to such other business as may properly come before the Special Meeting or any postponement or adjournment thereof.</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QUORUM; BROKER NON-VOTES; DISCRETIONARY VOTING</w:t>
      </w:r>
    </w:p>
    <w:p>
      <w:pPr>
        <w:spacing w:after="0" w:line="121" w:lineRule="exact"/>
        <w:rPr>
          <w:sz w:val="20"/>
          <w:szCs w:val="20"/>
          <w:color w:val="auto"/>
        </w:rPr>
      </w:pPr>
    </w:p>
    <w:p>
      <w:pPr>
        <w:ind w:right="60" w:firstLine="456"/>
        <w:spacing w:after="0" w:line="266" w:lineRule="auto"/>
        <w:rPr>
          <w:sz w:val="20"/>
          <w:szCs w:val="20"/>
          <w:color w:val="auto"/>
        </w:rPr>
      </w:pPr>
      <w:r>
        <w:rPr>
          <w:rFonts w:ascii="Times New Roman" w:cs="Times New Roman" w:eastAsia="Times New Roman" w:hAnsi="Times New Roman"/>
          <w:sz w:val="18"/>
          <w:szCs w:val="18"/>
          <w:color w:val="auto"/>
        </w:rPr>
        <w:t>A quorum of stockholders must be present at the Special Meeting for any business to be conducted. The presence at the Special Meeting, in person or by proxy, of the holders of a majority of the Shares outstanding on the Record Date will constitute a quorum. Abstentions will be treated as Shares present for quorum purposes.</w:t>
      </w:r>
    </w:p>
    <w:p>
      <w:pPr>
        <w:spacing w:after="0" w:line="176" w:lineRule="exact"/>
        <w:rPr>
          <w:sz w:val="20"/>
          <w:szCs w:val="20"/>
          <w:color w:val="auto"/>
        </w:rPr>
      </w:pPr>
    </w:p>
    <w:p>
      <w:pPr>
        <w:ind w:right="100" w:firstLine="456"/>
        <w:spacing w:after="0" w:line="261" w:lineRule="auto"/>
        <w:rPr>
          <w:sz w:val="20"/>
          <w:szCs w:val="20"/>
          <w:color w:val="auto"/>
        </w:rPr>
      </w:pPr>
      <w:r>
        <w:rPr>
          <w:rFonts w:ascii="Times New Roman" w:cs="Times New Roman" w:eastAsia="Times New Roman" w:hAnsi="Times New Roman"/>
          <w:sz w:val="18"/>
          <w:szCs w:val="18"/>
          <w:color w:val="auto"/>
        </w:rPr>
        <w:t>If a quorum is not present at the Special Meeting, the TICC stockholders who are represented may adjourn the Special Meeting until a quorum is present. The persons named as proxies will vote those proxies for such adjournment, unless marked to be voted against any proposal for which an adjournment is sought, to permit the further solicitation of proxies. On the Record Date, there were 59,987,986 Shares outstanding and entitled to vote. Thus, 29,993,994 Shares must be represented by stockholders present at the Special Meeting or by proxy to have a quorum.</w:t>
      </w:r>
    </w:p>
    <w:p>
      <w:pPr>
        <w:spacing w:after="0" w:line="180" w:lineRule="exact"/>
        <w:rPr>
          <w:sz w:val="20"/>
          <w:szCs w:val="20"/>
          <w:color w:val="auto"/>
        </w:rPr>
      </w:pPr>
    </w:p>
    <w:p>
      <w:pPr>
        <w:ind w:right="20" w:firstLine="456"/>
        <w:spacing w:after="0" w:line="255" w:lineRule="auto"/>
        <w:rPr>
          <w:sz w:val="20"/>
          <w:szCs w:val="20"/>
          <w:color w:val="auto"/>
        </w:rPr>
      </w:pPr>
      <w:r>
        <w:rPr>
          <w:rFonts w:ascii="Times New Roman" w:cs="Times New Roman" w:eastAsia="Times New Roman" w:hAnsi="Times New Roman"/>
          <w:sz w:val="18"/>
          <w:szCs w:val="18"/>
          <w:color w:val="auto"/>
        </w:rPr>
        <w:t>If you are the stockholder of record of your Shares and you do not vote by proxy card, via telephone or the Internet or in person at the Special Meeting, your Shares will not be voted at the Special Meeting. If you are the beneficial owner of your Shares, your broker or nominee may vote your Shares only on those proposals on which it has discretion to vote. “Broker non-votes” represent votes that could have been cast on a particular matter by a brokerage firm, as a stockholder of record, but that were not cast because the brokerage firm lacked discretionary voting authority on the matter and did not receive voting instructions from the beneficial owner of the Shares. Under the rules of the New York Stock Exchange, your brokerage firm or other nominee does not have discretion to vote your Shares on non-routine matters such as Proposals 1, 2 and 3. Accordingly, there will be no broker non-votes with respect to Proposals 1, 2 and 3.</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VOTES REQUIRED FOR APPROVAL</w:t>
      </w:r>
    </w:p>
    <w:p>
      <w:pPr>
        <w:spacing w:after="0" w:line="119" w:lineRule="exact"/>
        <w:rPr>
          <w:sz w:val="20"/>
          <w:szCs w:val="20"/>
          <w:color w:val="auto"/>
        </w:rPr>
      </w:pPr>
    </w:p>
    <w:p>
      <w:pPr>
        <w:ind w:right="360" w:firstLine="456"/>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Approval of the New Advisory Agreement </w:t>
      </w:r>
      <w:r>
        <w:rPr>
          <w:rFonts w:ascii="Times New Roman" w:cs="Times New Roman" w:eastAsia="Times New Roman" w:hAnsi="Times New Roman"/>
          <w:sz w:val="18"/>
          <w:szCs w:val="18"/>
          <w:color w:val="auto"/>
        </w:rPr>
        <w:t>– Stockholders may vote “FOR” or “AGAINST” or may “ABSTAIN” from voting on the approval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New Advisory Agreement. According to the TICC Proxy Statement, the approval of the New Advisory Agreement will require the affirmative vote of “a majority of outstanding voting securities” entitled to vote at the Special Meeting, as defined under the 1940 Act. For purposes of approval of the New Advisory Agreement, “a majority of outstanding shares of common stock” is the lesser of: (i) 67% or more of the shares of common stock present at the Special Meeting if the holders of more than 50% of the outstanding common stock are present or represented by proxy; or (ii) more than 50% of TICC’s outstanding shares of common stock as of the Record Date. Broker discretionary voting is not allowed and abstentions will have the same effect as a vote “AGAINST” this proposal.</w:t>
      </w:r>
    </w:p>
    <w:p>
      <w:pPr>
        <w:spacing w:after="0" w:line="183" w:lineRule="exact"/>
        <w:rPr>
          <w:sz w:val="20"/>
          <w:szCs w:val="20"/>
          <w:color w:val="auto"/>
        </w:rPr>
      </w:pPr>
    </w:p>
    <w:p>
      <w:pPr>
        <w:jc w:val="both"/>
        <w:ind w:right="500" w:firstLine="456"/>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Election of Directors </w:t>
      </w:r>
      <w:r>
        <w:rPr>
          <w:rFonts w:ascii="Times New Roman" w:cs="Times New Roman" w:eastAsia="Times New Roman" w:hAnsi="Times New Roman"/>
          <w:sz w:val="18"/>
          <w:szCs w:val="18"/>
          <w:color w:val="auto"/>
        </w:rPr>
        <w:t>– Stockholders may vote “FOR” or “AGAINST” or may “ABSTAIN” from voting on each of the nominated directors.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election of each of the nominated directors requires the affirmative vote of the holders of a plurality of all the votes cast at the Special Meeting either in person or by proxy (i.e., the director</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420"/>
          </w:cols>
          <w:pgMar w:left="240" w:top="266" w:right="239" w:bottom="1440" w:gutter="0" w:footer="0" w:header="0"/>
        </w:sectPr>
      </w:pPr>
    </w:p>
    <w:bookmarkStart w:id="18" w:name="page19"/>
    <w:bookmarkEnd w:id="18"/>
    <w:p>
      <w:pPr>
        <w:ind w:right="2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nominees receiving the greatest number of votes cast for each of the director positions being voted upon). Broker discretionary voting is not allowed and because the election of a director requires a plurality of the votes cast, abstentions will not be counted as votes cast and will have no effect on the result of the vote. According to the TICC Proxy Statement, however, failure of the New Advisory Agreement to be approved will also result in the failure of the proposed new directors to be elected.</w:t>
      </w:r>
    </w:p>
    <w:p>
      <w:pPr>
        <w:spacing w:after="0" w:line="178" w:lineRule="exact"/>
        <w:rPr>
          <w:sz w:val="20"/>
          <w:szCs w:val="20"/>
          <w:color w:val="auto"/>
        </w:rPr>
      </w:pPr>
    </w:p>
    <w:p>
      <w:pPr>
        <w:ind w:firstLine="456"/>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Approval of the Adjournment of the Special Meeting </w:t>
      </w:r>
      <w:r>
        <w:rPr>
          <w:rFonts w:ascii="Times New Roman" w:cs="Times New Roman" w:eastAsia="Times New Roman" w:hAnsi="Times New Roman"/>
          <w:sz w:val="18"/>
          <w:szCs w:val="18"/>
          <w:color w:val="auto"/>
        </w:rPr>
        <w:t>– Stockholders may vote “FOR” or “AGAINST” or may “ABSTAIN” from voting on the approval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the adjournment of the Special Meeting, if necessary or appropriate, to provide additional time to solicit additional proxies if there are insufficient votes at the time of the Special Meeting to adopt any or all of the other proposals set forth in the TICC Proxy Statement. The approval of the New Advisory Agreement by the Company’s stockholders requires the affirmative vote of a majority of the Shares entitled to vote at the Special Meeting. Broker discretionary voting is not allowed and abstentions will have the same effect as a vote “AGAINST” this proposal.</w:t>
      </w:r>
    </w:p>
    <w:p>
      <w:pPr>
        <w:spacing w:after="0" w:line="178" w:lineRule="exact"/>
        <w:rPr>
          <w:sz w:val="20"/>
          <w:szCs w:val="20"/>
          <w:color w:val="auto"/>
        </w:rPr>
      </w:pPr>
    </w:p>
    <w:p>
      <w:pPr>
        <w:ind w:right="160" w:firstLine="456"/>
        <w:spacing w:after="0" w:line="262" w:lineRule="auto"/>
        <w:rPr>
          <w:sz w:val="20"/>
          <w:szCs w:val="20"/>
          <w:color w:val="auto"/>
        </w:rPr>
      </w:pPr>
      <w:r>
        <w:rPr>
          <w:rFonts w:ascii="Times New Roman" w:cs="Times New Roman" w:eastAsia="Times New Roman" w:hAnsi="Times New Roman"/>
          <w:sz w:val="18"/>
          <w:szCs w:val="18"/>
          <w:color w:val="auto"/>
        </w:rPr>
        <w:t xml:space="preserve">To vote, please complete, sign, date and return the enclosed </w:t>
      </w:r>
      <w:r>
        <w:rPr>
          <w:rFonts w:ascii="Times New Roman" w:cs="Times New Roman" w:eastAsia="Times New Roman" w:hAnsi="Times New Roman"/>
          <w:sz w:val="18"/>
          <w:szCs w:val="18"/>
          <w:b w:val="1"/>
          <w:bCs w:val="1"/>
          <w:color w:val="auto"/>
        </w:rPr>
        <w:t>GOLD</w:t>
      </w:r>
      <w:r>
        <w:rPr>
          <w:rFonts w:ascii="Times New Roman" w:cs="Times New Roman" w:eastAsia="Times New Roman" w:hAnsi="Times New Roman"/>
          <w:sz w:val="18"/>
          <w:szCs w:val="18"/>
          <w:color w:val="auto"/>
        </w:rPr>
        <w:t xml:space="preserve"> proxy card or, to appoint a proxy over the Internet or by telephone, follow the instructions provided herein. If you attend the Special Meeting and wish to vote in person, you may withdraw your proxy and vote in person. If your Shares are held in the name of your broker, bank or other nominee, you must obtain a proxy, executed in your favor, from the holder of record to be able to vote at the Special Meeting.</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REVOCATION OF PROXIES</w:t>
      </w:r>
    </w:p>
    <w:p>
      <w:pPr>
        <w:spacing w:after="0" w:line="121" w:lineRule="exact"/>
        <w:rPr>
          <w:sz w:val="20"/>
          <w:szCs w:val="20"/>
          <w:color w:val="auto"/>
        </w:rPr>
      </w:pPr>
    </w:p>
    <w:p>
      <w:pPr>
        <w:ind w:right="300" w:firstLine="456"/>
        <w:spacing w:after="0" w:line="282" w:lineRule="auto"/>
        <w:rPr>
          <w:sz w:val="20"/>
          <w:szCs w:val="20"/>
          <w:color w:val="auto"/>
        </w:rPr>
      </w:pPr>
      <w:r>
        <w:rPr>
          <w:rFonts w:ascii="Times New Roman" w:cs="Times New Roman" w:eastAsia="Times New Roman" w:hAnsi="Times New Roman"/>
          <w:sz w:val="18"/>
          <w:szCs w:val="18"/>
          <w:color w:val="auto"/>
        </w:rPr>
        <w:t>Stockholders of TICC may revoke their proxies after sending in their proxy card or authorizing their Shares by telephone or through the Internet by following these procedures. To revoke their proxy, TICC stockholders may:</w:t>
      </w:r>
    </w:p>
    <w:p>
      <w:pPr>
        <w:spacing w:after="0" w:line="67" w:lineRule="exact"/>
        <w:rPr>
          <w:sz w:val="20"/>
          <w:szCs w:val="20"/>
          <w:color w:val="auto"/>
        </w:rPr>
      </w:pPr>
    </w:p>
    <w:p>
      <w:pPr>
        <w:ind w:left="900" w:right="100" w:hanging="325"/>
        <w:spacing w:after="0" w:line="313" w:lineRule="auto"/>
        <w:tabs>
          <w:tab w:leader="none" w:pos="90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deliver a written revocation notice prior to 9:00 a.m., Eastern Time, on October 26, 2015 to TICC Capital Corp., c/o Computershare, 250 Royall Street, Canton, MA 02021 or to TPG Specialty Lending, Inc., c/o MacKenzie Partners, 105 Madison Avenue, New York, New York 10016;</w:t>
      </w:r>
    </w:p>
    <w:p>
      <w:pPr>
        <w:spacing w:after="0" w:line="43" w:lineRule="exact"/>
        <w:rPr>
          <w:rFonts w:ascii="Times New Roman" w:cs="Times New Roman" w:eastAsia="Times New Roman" w:hAnsi="Times New Roman"/>
          <w:sz w:val="17"/>
          <w:szCs w:val="17"/>
          <w:color w:val="auto"/>
        </w:rPr>
      </w:pPr>
    </w:p>
    <w:p>
      <w:pPr>
        <w:jc w:val="both"/>
        <w:ind w:left="900" w:right="100" w:hanging="325"/>
        <w:spacing w:after="0" w:line="266" w:lineRule="auto"/>
        <w:tabs>
          <w:tab w:leader="none" w:pos="9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indicate their revocation prior to 9:00 a.m., Eastern Time, on October 26, 2015 by calling Computershare toll free at 1-800-652-8683 or through the Internet website of Computershare at </w:t>
      </w:r>
      <w:r>
        <w:rPr>
          <w:rFonts w:ascii="Times New Roman" w:cs="Times New Roman" w:eastAsia="Times New Roman" w:hAnsi="Times New Roman"/>
          <w:sz w:val="18"/>
          <w:szCs w:val="18"/>
          <w:u w:val="single" w:color="auto"/>
          <w:color w:val="auto"/>
        </w:rPr>
        <w:t>www.envisionreports.com/TICC</w:t>
      </w:r>
      <w:r>
        <w:rPr>
          <w:rFonts w:ascii="Times New Roman" w:cs="Times New Roman" w:eastAsia="Times New Roman" w:hAnsi="Times New Roman"/>
          <w:sz w:val="18"/>
          <w:szCs w:val="18"/>
          <w:color w:val="auto"/>
        </w:rPr>
        <w:t xml:space="preserve"> or by calling MacKenzie Partners toll free at (800) 322-2885 or by e-mailing MacKenzie Partners at TPG@mackenziepartners.com;</w:t>
      </w:r>
    </w:p>
    <w:p>
      <w:pPr>
        <w:spacing w:after="0" w:line="81" w:lineRule="exact"/>
        <w:rPr>
          <w:rFonts w:ascii="Times New Roman" w:cs="Times New Roman" w:eastAsia="Times New Roman" w:hAnsi="Times New Roman"/>
          <w:sz w:val="18"/>
          <w:szCs w:val="18"/>
          <w:color w:val="auto"/>
        </w:rPr>
      </w:pPr>
    </w:p>
    <w:p>
      <w:pPr>
        <w:ind w:left="900" w:right="100" w:hanging="325"/>
        <w:spacing w:after="0" w:line="266" w:lineRule="auto"/>
        <w:tabs>
          <w:tab w:leader="none" w:pos="9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 a later-dated proxy to TICC Capital Corp., c/o Computershare, 250 Royall Street, Canton, MA 02021 or to TPG Specialty Lending, Inc., c/o MacKenzie Partners at 105 Madison Avenue, New York, New York 10016 that is received prior to 9:00 a.m., Eastern Time, on October 26, 2015;</w:t>
      </w:r>
    </w:p>
    <w:p>
      <w:pPr>
        <w:spacing w:after="0" w:line="81" w:lineRule="exact"/>
        <w:rPr>
          <w:rFonts w:ascii="Times New Roman" w:cs="Times New Roman" w:eastAsia="Times New Roman" w:hAnsi="Times New Roman"/>
          <w:sz w:val="18"/>
          <w:szCs w:val="18"/>
          <w:color w:val="auto"/>
        </w:rPr>
      </w:pPr>
    </w:p>
    <w:p>
      <w:pPr>
        <w:jc w:val="both"/>
        <w:ind w:left="900" w:right="880" w:hanging="325"/>
        <w:spacing w:after="0" w:line="266" w:lineRule="auto"/>
        <w:tabs>
          <w:tab w:leader="none" w:pos="9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submit a later-dated proxy by calling Computershare toll free at 1-800-652-8683 or through the Internet website of Computershare at www.envisionreports.com/TICC or by calling MacKenzie Partners toll free at (800) 322-2885 or by e-mailing MacKenzie Partners at TPG@mackenziepartners.com prior to 9:00 a.m., Eastern Time, on October 26, 2015; or</w:t>
      </w:r>
    </w:p>
    <w:p>
      <w:pPr>
        <w:spacing w:after="0" w:line="81"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vote in person at the Special Meeting on October 27, 2015.</w:t>
      </w:r>
    </w:p>
    <w:p>
      <w:pPr>
        <w:spacing w:after="0" w:line="225" w:lineRule="exact"/>
        <w:rPr>
          <w:sz w:val="20"/>
          <w:szCs w:val="20"/>
          <w:color w:val="auto"/>
        </w:rPr>
      </w:pPr>
    </w:p>
    <w:p>
      <w:pPr>
        <w:ind w:right="60" w:firstLine="456"/>
        <w:spacing w:after="0" w:line="282" w:lineRule="auto"/>
        <w:rPr>
          <w:sz w:val="20"/>
          <w:szCs w:val="20"/>
          <w:color w:val="auto"/>
        </w:rPr>
      </w:pPr>
      <w:r>
        <w:rPr>
          <w:rFonts w:ascii="Times New Roman" w:cs="Times New Roman" w:eastAsia="Times New Roman" w:hAnsi="Times New Roman"/>
          <w:sz w:val="18"/>
          <w:szCs w:val="18"/>
          <w:color w:val="auto"/>
        </w:rPr>
        <w:t>If stockholders of TICC hold Shares through a broker, bank or other nominee, they must follow the instructions they receive from your broker, bank or other nominee in order to revoke their voting instructions</w:t>
      </w:r>
    </w:p>
    <w:p>
      <w:pPr>
        <w:spacing w:after="0" w:line="158" w:lineRule="exact"/>
        <w:rPr>
          <w:sz w:val="20"/>
          <w:szCs w:val="20"/>
          <w:color w:val="auto"/>
        </w:rPr>
      </w:pPr>
    </w:p>
    <w:p>
      <w:pPr>
        <w:ind w:right="360" w:firstLine="456"/>
        <w:spacing w:after="0" w:line="286" w:lineRule="auto"/>
        <w:rPr>
          <w:sz w:val="20"/>
          <w:szCs w:val="20"/>
          <w:color w:val="auto"/>
        </w:rPr>
      </w:pPr>
      <w:r>
        <w:rPr>
          <w:rFonts w:ascii="Times New Roman" w:cs="Times New Roman" w:eastAsia="Times New Roman" w:hAnsi="Times New Roman"/>
          <w:sz w:val="18"/>
          <w:szCs w:val="18"/>
          <w:b w:val="1"/>
          <w:bCs w:val="1"/>
          <w:color w:val="auto"/>
        </w:rPr>
        <w:t>IF YOU WISH TO VOTE AGAINST THE PROPOSALS TO BE CONSIDERED AT THE SPECIAL MEETING, PLEASE SIGN, DATE AND RETURN PROMPTLY THE ENCLOSED GOLD PROXY CARD IN THE POSTAGE-PAID ENVELOPE PROVIDED.</w:t>
      </w:r>
    </w:p>
    <w:p>
      <w:pPr>
        <w:spacing w:after="0" w:line="9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380"/>
          </w:cols>
          <w:pgMar w:left="240" w:top="270" w:right="279" w:bottom="1440" w:gutter="0" w:footer="0" w:header="0"/>
        </w:sectPr>
      </w:pPr>
    </w:p>
    <w:bookmarkStart w:id="19" w:name="page20"/>
    <w:bookmarkEnd w:id="19"/>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SOLICITATION OF PROXIES</w:t>
      </w:r>
    </w:p>
    <w:p>
      <w:pPr>
        <w:spacing w:after="0" w:line="229" w:lineRule="exact"/>
        <w:rPr>
          <w:sz w:val="20"/>
          <w:szCs w:val="20"/>
          <w:color w:val="auto"/>
        </w:rPr>
      </w:pPr>
    </w:p>
    <w:p>
      <w:pPr>
        <w:ind w:right="80" w:firstLine="456"/>
        <w:spacing w:after="0" w:line="282" w:lineRule="auto"/>
        <w:rPr>
          <w:sz w:val="20"/>
          <w:szCs w:val="20"/>
          <w:color w:val="auto"/>
        </w:rPr>
      </w:pPr>
      <w:r>
        <w:rPr>
          <w:rFonts w:ascii="Times New Roman" w:cs="Times New Roman" w:eastAsia="Times New Roman" w:hAnsi="Times New Roman"/>
          <w:sz w:val="18"/>
          <w:szCs w:val="18"/>
          <w:color w:val="auto"/>
        </w:rPr>
        <w:t>The solicitation of proxies pursuant to this Proxy Statement is being made by TSLX. Proxies may be solicited by mail, facsimile, telephone, telegraph, Internet, in person and by advertisements.</w:t>
      </w:r>
    </w:p>
    <w:p>
      <w:pPr>
        <w:spacing w:after="0" w:line="16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TSLX has entered into an agreement with MacKenzie Partners for solicitation and advisory services in connection with this solicitation, for which</w:t>
      </w:r>
    </w:p>
    <w:p>
      <w:pPr>
        <w:spacing w:after="0" w:line="27" w:lineRule="exact"/>
        <w:rPr>
          <w:sz w:val="20"/>
          <w:szCs w:val="20"/>
          <w:color w:val="auto"/>
        </w:rPr>
      </w:pPr>
    </w:p>
    <w:p>
      <w:pPr>
        <w:jc w:val="both"/>
        <w:ind w:right="100"/>
        <w:spacing w:after="0" w:line="250" w:lineRule="auto"/>
        <w:rPr>
          <w:sz w:val="20"/>
          <w:szCs w:val="20"/>
          <w:color w:val="auto"/>
        </w:rPr>
      </w:pPr>
      <w:r>
        <w:rPr>
          <w:rFonts w:ascii="Times New Roman" w:cs="Times New Roman" w:eastAsia="Times New Roman" w:hAnsi="Times New Roman"/>
          <w:sz w:val="18"/>
          <w:szCs w:val="18"/>
          <w:color w:val="auto"/>
        </w:rPr>
        <w:t>MacKenzie Partners will receive a fee not to exceed $[ ], together with reimbursement for its reasonable out-of-pocket expenses. MacKenzie Partners will solicit proxies from individuals, brokers, banks, bank nominees and other institutional holders. TSLX has requested banks, brokerage houses and other custodians, nominees and fiduciaries to forward all solicitation materials to the beneficial owners of the Shares they hold of record. TSLX will reimburse</w:t>
      </w:r>
    </w:p>
    <w:p>
      <w:pPr>
        <w:spacing w:after="0" w:line="1"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these record holders for their reasonable out-of-pocket expenses in so doing. It is anticipated that MacKenzie Partners will employ approximately [ ] persons to solicit TICC’s stockholders for the Special Meeting.</w:t>
      </w:r>
    </w:p>
    <w:p>
      <w:pPr>
        <w:sectPr>
          <w:pgSz w:w="11900" w:h="16838" w:orient="portrait"/>
          <w:cols w:equalWidth="0" w:num="1">
            <w:col w:w="11380"/>
          </w:cols>
          <w:pgMar w:left="240" w:top="266" w:right="279" w:bottom="1440" w:gutter="0" w:footer="0" w:header="0"/>
        </w:sectPr>
      </w:pPr>
    </w:p>
    <w:p>
      <w:pPr>
        <w:spacing w:after="0" w:line="3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br w:type="column"/>
      </w:r>
    </w:p>
    <w:p>
      <w:pPr>
        <w:spacing w:after="0" w:line="160" w:lineRule="exact"/>
        <w:rPr>
          <w:sz w:val="20"/>
          <w:szCs w:val="20"/>
          <w:color w:val="auto"/>
        </w:rPr>
      </w:pPr>
    </w:p>
    <w:p>
      <w:pPr>
        <w:ind w:right="500" w:hanging="233"/>
        <w:spacing w:after="0" w:line="282" w:lineRule="auto"/>
        <w:rPr>
          <w:sz w:val="20"/>
          <w:szCs w:val="20"/>
          <w:color w:val="auto"/>
        </w:rPr>
      </w:pPr>
      <w:r>
        <w:rPr>
          <w:rFonts w:ascii="Times New Roman" w:cs="Times New Roman" w:eastAsia="Times New Roman" w:hAnsi="Times New Roman"/>
          <w:sz w:val="18"/>
          <w:szCs w:val="18"/>
          <w:color w:val="auto"/>
        </w:rPr>
        <w:t>The entire expense of soliciting proxies is being borne by TSLX. Costs of this solicitation of proxies are currently estimated to be approximately ]. TSLX estimates that through the date hereof, its expenses in connection with this solicitation are approximately $[ ].</w:t>
      </w:r>
    </w:p>
    <w:p>
      <w:pPr>
        <w:spacing w:after="0" w:line="162" w:lineRule="exact"/>
        <w:rPr>
          <w:sz w:val="20"/>
          <w:szCs w:val="20"/>
          <w:color w:val="auto"/>
        </w:rPr>
      </w:pPr>
    </w:p>
    <w:p>
      <w:pPr>
        <w:sectPr>
          <w:pgSz w:w="11900" w:h="16838" w:orient="portrait"/>
          <w:cols w:equalWidth="0" w:num="2">
            <w:col w:w="160" w:space="540"/>
            <w:col w:w="10680"/>
          </w:cols>
          <w:pgMar w:left="240" w:top="266" w:right="279" w:bottom="1440" w:gutter="0" w:footer="0" w:header="0"/>
          <w:type w:val="continuous"/>
        </w:sectPr>
      </w:pPr>
    </w:p>
    <w:p>
      <w:pPr>
        <w:ind w:right="440" w:firstLine="456"/>
        <w:spacing w:after="0" w:line="282" w:lineRule="auto"/>
        <w:rPr>
          <w:sz w:val="20"/>
          <w:szCs w:val="20"/>
          <w:color w:val="auto"/>
        </w:rPr>
      </w:pPr>
      <w:r>
        <w:rPr>
          <w:rFonts w:ascii="Times New Roman" w:cs="Times New Roman" w:eastAsia="Times New Roman" w:hAnsi="Times New Roman"/>
          <w:sz w:val="18"/>
          <w:szCs w:val="18"/>
          <w:color w:val="auto"/>
        </w:rPr>
        <w:t>If TSLX is successful in its solicitation of proxies to defeat the proposed New Advisory Agreement at the Special Meeting, then it intends to seek reimbursement from the Company for its expenses incurred in connection therewith.</w:t>
      </w:r>
    </w:p>
    <w:p>
      <w:pPr>
        <w:spacing w:after="0" w:line="37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ADDITIONAL PARTICIPANT INFORMATION</w:t>
      </w:r>
    </w:p>
    <w:p>
      <w:pPr>
        <w:spacing w:after="0" w:line="229" w:lineRule="exact"/>
        <w:rPr>
          <w:sz w:val="20"/>
          <w:szCs w:val="20"/>
          <w:color w:val="auto"/>
        </w:rPr>
      </w:pPr>
    </w:p>
    <w:p>
      <w:pPr>
        <w:ind w:firstLine="456"/>
        <w:spacing w:after="0" w:line="266" w:lineRule="auto"/>
        <w:rPr>
          <w:sz w:val="20"/>
          <w:szCs w:val="20"/>
          <w:color w:val="auto"/>
        </w:rPr>
      </w:pPr>
      <w:r>
        <w:rPr>
          <w:rFonts w:ascii="Times New Roman" w:cs="Times New Roman" w:eastAsia="Times New Roman" w:hAnsi="Times New Roman"/>
          <w:sz w:val="18"/>
          <w:szCs w:val="18"/>
          <w:color w:val="auto"/>
        </w:rPr>
        <w:t>TSLX is a participant in this solicitation of proxies for the Special Meeting. Certain other individuals identified in Annex I to this Proxy Statement may also be deemed to be participants in such solicitation. Information concerning TSLX and other persons who may also be deemed to be participants in this solicitation of proxies for the Special Meeting is set forth in Annex I to this Proxy Statement and is incorporated into this Proxy Statement by reference.</w:t>
      </w:r>
    </w:p>
    <w:p>
      <w:pPr>
        <w:spacing w:after="0" w:line="38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INFORMATION REGARDING TICC</w:t>
      </w:r>
    </w:p>
    <w:p>
      <w:pPr>
        <w:spacing w:after="0" w:line="229" w:lineRule="exact"/>
        <w:rPr>
          <w:sz w:val="20"/>
          <w:szCs w:val="20"/>
          <w:color w:val="auto"/>
        </w:rPr>
      </w:pPr>
    </w:p>
    <w:p>
      <w:pPr>
        <w:ind w:right="20" w:firstLine="456"/>
        <w:spacing w:after="0" w:line="282" w:lineRule="auto"/>
        <w:rPr>
          <w:sz w:val="20"/>
          <w:szCs w:val="20"/>
          <w:color w:val="auto"/>
        </w:rPr>
      </w:pPr>
      <w:r>
        <w:rPr>
          <w:rFonts w:ascii="Times New Roman" w:cs="Times New Roman" w:eastAsia="Times New Roman" w:hAnsi="Times New Roman"/>
          <w:sz w:val="18"/>
          <w:szCs w:val="18"/>
          <w:color w:val="auto"/>
        </w:rPr>
        <w:t>According to the TICC Proxy Statement, TICC is a Maryland corporation with its principal executive office located at 8 Sound Shore Drive, Suite 255, Greenwich, Connecticut 06830; Telephone No. (203) 983-5275.</w:t>
      </w:r>
    </w:p>
    <w:p>
      <w:pPr>
        <w:spacing w:after="0" w:line="162" w:lineRule="exact"/>
        <w:rPr>
          <w:sz w:val="20"/>
          <w:szCs w:val="20"/>
          <w:color w:val="auto"/>
        </w:rPr>
      </w:pPr>
    </w:p>
    <w:p>
      <w:pPr>
        <w:jc w:val="both"/>
        <w:ind w:right="520" w:firstLine="456"/>
        <w:spacing w:after="0" w:line="266" w:lineRule="auto"/>
        <w:rPr>
          <w:sz w:val="20"/>
          <w:szCs w:val="20"/>
          <w:color w:val="auto"/>
        </w:rPr>
      </w:pPr>
      <w:r>
        <w:rPr>
          <w:rFonts w:ascii="Times New Roman" w:cs="Times New Roman" w:eastAsia="Times New Roman" w:hAnsi="Times New Roman"/>
          <w:sz w:val="18"/>
          <w:szCs w:val="18"/>
          <w:color w:val="auto"/>
        </w:rPr>
        <w:t xml:space="preserve">TICC is subject to the informational requirements of the Securities Exchange Act of 1934, as amended (the “Exchange Act”), and in accordance therewith is required to file reports, proxy statements and other information with the SEC. Reports, registration statements, proxy statements and other information filed by TICC with the SEC, including the TICC Proxy Statement, are publicly available at the SEC website: </w:t>
      </w:r>
      <w:r>
        <w:rPr>
          <w:rFonts w:ascii="Times New Roman" w:cs="Times New Roman" w:eastAsia="Times New Roman" w:hAnsi="Times New Roman"/>
          <w:sz w:val="18"/>
          <w:szCs w:val="18"/>
          <w:u w:val="single" w:color="auto"/>
          <w:color w:val="auto"/>
        </w:rPr>
        <w:t>www.sec.gov</w:t>
      </w:r>
      <w:r>
        <w:rPr>
          <w:rFonts w:ascii="Times New Roman" w:cs="Times New Roman" w:eastAsia="Times New Roman" w:hAnsi="Times New Roman"/>
          <w:sz w:val="18"/>
          <w:szCs w:val="18"/>
          <w:color w:val="auto"/>
        </w:rPr>
        <w:t>.</w:t>
      </w:r>
    </w:p>
    <w:p>
      <w:pPr>
        <w:spacing w:after="0" w:line="38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STOCKHOLDER PROPOSALS</w:t>
      </w:r>
    </w:p>
    <w:p>
      <w:pPr>
        <w:spacing w:after="0" w:line="229" w:lineRule="exact"/>
        <w:rPr>
          <w:sz w:val="20"/>
          <w:szCs w:val="20"/>
          <w:color w:val="auto"/>
        </w:rPr>
      </w:pPr>
    </w:p>
    <w:p>
      <w:pPr>
        <w:ind w:right="80" w:firstLine="456"/>
        <w:spacing w:after="0" w:line="282" w:lineRule="auto"/>
        <w:rPr>
          <w:sz w:val="20"/>
          <w:szCs w:val="20"/>
          <w:color w:val="auto"/>
        </w:rPr>
      </w:pPr>
      <w:r>
        <w:rPr>
          <w:rFonts w:ascii="Times New Roman" w:cs="Times New Roman" w:eastAsia="Times New Roman" w:hAnsi="Times New Roman"/>
          <w:sz w:val="18"/>
          <w:szCs w:val="18"/>
          <w:color w:val="auto"/>
        </w:rPr>
        <w:t>The following description of the requirements for submitting stockholder proposals for the 2016 Annual Meeting has been taken from the TICC Proxy Statement:</w:t>
      </w:r>
    </w:p>
    <w:p>
      <w:pPr>
        <w:spacing w:after="0" w:line="54" w:lineRule="exact"/>
        <w:rPr>
          <w:sz w:val="20"/>
          <w:szCs w:val="20"/>
          <w:color w:val="auto"/>
        </w:rPr>
      </w:pPr>
    </w:p>
    <w:p>
      <w:pPr>
        <w:jc w:val="both"/>
        <w:ind w:left="460" w:right="120"/>
        <w:spacing w:after="0" w:line="266" w:lineRule="auto"/>
        <w:rPr>
          <w:sz w:val="20"/>
          <w:szCs w:val="20"/>
          <w:color w:val="auto"/>
        </w:rPr>
      </w:pPr>
      <w:r>
        <w:rPr>
          <w:rFonts w:ascii="Times New Roman" w:cs="Times New Roman" w:eastAsia="Times New Roman" w:hAnsi="Times New Roman"/>
          <w:sz w:val="18"/>
          <w:szCs w:val="18"/>
          <w:color w:val="auto"/>
        </w:rPr>
        <w:t>The Company expects that the 2016 Annual Meeting of Stockholders will be held in June 2016, but the exact date, time, and location of such meeting have yet to be determined. A stockholder who intends to present a proposal at the 2016 Annual Meeting of Stockholders must submit the proposal in writing to the Company at its business address, and the Company must receive the proposal no later than January 5, 2016,</w:t>
      </w:r>
    </w:p>
    <w:p>
      <w:pPr>
        <w:spacing w:after="0" w:line="10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380"/>
          </w:cols>
          <w:pgMar w:left="240" w:top="266" w:right="279" w:bottom="1440" w:gutter="0" w:footer="0" w:header="0"/>
          <w:type w:val="continuous"/>
        </w:sectPr>
      </w:pPr>
    </w:p>
    <w:bookmarkStart w:id="20" w:name="page21"/>
    <w:bookmarkEnd w:id="20"/>
    <w:p>
      <w:pPr>
        <w:ind w:left="460" w:right="42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order for the proposal to be considered for inclusion in the Company’s proxy statement for that meeting. The submission of a proposal does not guarantee its inclusion in the Company’s proxy statement or presentation at the meeting.</w:t>
      </w:r>
    </w:p>
    <w:p>
      <w:pPr>
        <w:spacing w:after="0" w:line="54" w:lineRule="exact"/>
        <w:rPr>
          <w:sz w:val="20"/>
          <w:szCs w:val="20"/>
          <w:color w:val="auto"/>
        </w:rPr>
      </w:pPr>
    </w:p>
    <w:p>
      <w:pPr>
        <w:ind w:left="460"/>
        <w:spacing w:after="0" w:line="258" w:lineRule="auto"/>
        <w:rPr>
          <w:sz w:val="20"/>
          <w:szCs w:val="20"/>
          <w:color w:val="auto"/>
        </w:rPr>
      </w:pPr>
      <w:r>
        <w:rPr>
          <w:rFonts w:ascii="Times New Roman" w:cs="Times New Roman" w:eastAsia="Times New Roman" w:hAnsi="Times New Roman"/>
          <w:sz w:val="18"/>
          <w:szCs w:val="18"/>
          <w:color w:val="auto"/>
        </w:rPr>
        <w:t>For any proposal that is not submitted for inclusion in next year’s proxy statement (as described in the preceding paragraph) but is instead sought to be presented directly at the 2016 Annual Meeting of Stockholders, SEC rules permit management to vote proxies in its discretion if (a) the Company receives notice of the proposal before the close of business on March 20, 2016 and advises stockholders in next year’s proxy statement about the nature of the matter and how management intends to vote on such matter, or (b) does not receive notice of the proposal prior to the close of business on March 20, 2016.</w:t>
      </w:r>
    </w:p>
    <w:p>
      <w:pPr>
        <w:spacing w:after="0" w:line="76" w:lineRule="exact"/>
        <w:rPr>
          <w:sz w:val="20"/>
          <w:szCs w:val="20"/>
          <w:color w:val="auto"/>
        </w:rPr>
      </w:pPr>
    </w:p>
    <w:p>
      <w:pPr>
        <w:ind w:left="460" w:right="40"/>
        <w:spacing w:after="0" w:line="266" w:lineRule="auto"/>
        <w:rPr>
          <w:sz w:val="20"/>
          <w:szCs w:val="20"/>
          <w:color w:val="auto"/>
        </w:rPr>
      </w:pPr>
      <w:r>
        <w:rPr>
          <w:rFonts w:ascii="Times New Roman" w:cs="Times New Roman" w:eastAsia="Times New Roman" w:hAnsi="Times New Roman"/>
          <w:sz w:val="18"/>
          <w:szCs w:val="18"/>
          <w:color w:val="auto"/>
        </w:rPr>
        <w:t>Notices of intention to present proposals at the 2016 Annual Meeting of Stockholders should be addressed to Corporate Secretary, TICC Capital Corp., 8 Sound Shore Drive, Suite 255, Greenwich, Connecticut 06830. The Company reserves the right to reject, rule out of order, or take other appropriate action with respect to any proposal that does not comply with these and other applicable requirements.</w:t>
      </w:r>
    </w:p>
    <w:p>
      <w:pPr>
        <w:spacing w:after="0" w:line="176" w:lineRule="exact"/>
        <w:rPr>
          <w:sz w:val="20"/>
          <w:szCs w:val="20"/>
          <w:color w:val="auto"/>
        </w:rPr>
      </w:pPr>
    </w:p>
    <w:p>
      <w:pPr>
        <w:ind w:firstLine="456"/>
        <w:spacing w:after="0" w:line="282" w:lineRule="auto"/>
        <w:rPr>
          <w:sz w:val="20"/>
          <w:szCs w:val="20"/>
          <w:color w:val="auto"/>
        </w:rPr>
      </w:pPr>
      <w:r>
        <w:rPr>
          <w:rFonts w:ascii="Times New Roman" w:cs="Times New Roman" w:eastAsia="Times New Roman" w:hAnsi="Times New Roman"/>
          <w:sz w:val="18"/>
          <w:szCs w:val="18"/>
          <w:color w:val="auto"/>
        </w:rPr>
        <w:t>The incorporation of this information in this Proxy Statement should not be construed as an admission by TSLX that such procedures are legal, valid or binding.</w:t>
      </w:r>
    </w:p>
    <w:p>
      <w:pPr>
        <w:spacing w:after="0" w:line="37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OTHER INFORMATION</w:t>
      </w:r>
    </w:p>
    <w:p>
      <w:pPr>
        <w:spacing w:after="0" w:line="229" w:lineRule="exact"/>
        <w:rPr>
          <w:sz w:val="20"/>
          <w:szCs w:val="20"/>
          <w:color w:val="auto"/>
        </w:rPr>
      </w:pPr>
    </w:p>
    <w:p>
      <w:pPr>
        <w:ind w:right="140" w:firstLine="456"/>
        <w:spacing w:after="0" w:line="258" w:lineRule="auto"/>
        <w:rPr>
          <w:sz w:val="20"/>
          <w:szCs w:val="20"/>
          <w:color w:val="auto"/>
        </w:rPr>
      </w:pPr>
      <w:r>
        <w:rPr>
          <w:rFonts w:ascii="Times New Roman" w:cs="Times New Roman" w:eastAsia="Times New Roman" w:hAnsi="Times New Roman"/>
          <w:sz w:val="18"/>
          <w:szCs w:val="18"/>
          <w:color w:val="auto"/>
        </w:rPr>
        <w:t>The information concerning TICC and the BSP Transaction contained herein has been taken from, or is based upon, publicly available documents on file with the SEC and other publicly available information. Although TSLX has no knowledge that would indicate that statements relating to TICC and the BSP Transaction contained in this Proxy Statement, in reliance upon publicly available information, are inaccurate or incomplete, to date TSLX has not had access to the full books and records of TICC, was not involved in the preparation of such information and statements, and is not in a position to verify any such information or statements.</w:t>
      </w:r>
    </w:p>
    <w:p>
      <w:pPr>
        <w:spacing w:after="0" w:line="184" w:lineRule="exact"/>
        <w:rPr>
          <w:sz w:val="20"/>
          <w:szCs w:val="20"/>
          <w:color w:val="auto"/>
        </w:rPr>
      </w:pPr>
    </w:p>
    <w:p>
      <w:pPr>
        <w:ind w:right="100" w:firstLine="456"/>
        <w:spacing w:after="0" w:line="261" w:lineRule="auto"/>
        <w:rPr>
          <w:sz w:val="20"/>
          <w:szCs w:val="20"/>
          <w:color w:val="auto"/>
        </w:rPr>
      </w:pPr>
      <w:r>
        <w:rPr>
          <w:rFonts w:ascii="Times New Roman" w:cs="Times New Roman" w:eastAsia="Times New Roman" w:hAnsi="Times New Roman"/>
          <w:sz w:val="18"/>
          <w:szCs w:val="18"/>
          <w:color w:val="auto"/>
        </w:rPr>
        <w:t>Pursuant to Rule 14a-5 promulgated under the Exchange Act, reference is made to the TICC Proxy Statement for information concerning the New Advisory Agreement and related documents, the BSP Transaction, the TICC Special Meeting Proposals, Shares of TICC, the beneficial ownership of Shares of TICC by the principal holders thereof, other information concerning TICC’s management, and certain other matters regarding TICC and the Special Meeting. TSLX assumes no responsibility for the accuracy or completeness of any such information.</w:t>
      </w:r>
    </w:p>
    <w:p>
      <w:pPr>
        <w:spacing w:after="0" w:line="180" w:lineRule="exact"/>
        <w:rPr>
          <w:sz w:val="20"/>
          <w:szCs w:val="20"/>
          <w:color w:val="auto"/>
        </w:rPr>
      </w:pPr>
    </w:p>
    <w:p>
      <w:pPr>
        <w:ind w:right="40" w:firstLine="456"/>
        <w:spacing w:after="0" w:line="282" w:lineRule="auto"/>
        <w:rPr>
          <w:sz w:val="20"/>
          <w:szCs w:val="20"/>
          <w:color w:val="auto"/>
        </w:rPr>
      </w:pPr>
      <w:r>
        <w:rPr>
          <w:rFonts w:ascii="Times New Roman" w:cs="Times New Roman" w:eastAsia="Times New Roman" w:hAnsi="Times New Roman"/>
          <w:sz w:val="18"/>
          <w:szCs w:val="18"/>
          <w:color w:val="auto"/>
        </w:rPr>
        <w:t>See Annex II for information regarding persons who beneficially own more than 5% of the Shares and the ownership of the Shares by the management and directors of TICC.</w:t>
      </w:r>
    </w:p>
    <w:p>
      <w:pPr>
        <w:spacing w:after="0" w:line="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380"/>
          </w:cols>
          <w:pgMar w:left="240" w:top="270" w:right="279" w:bottom="1440" w:gutter="0" w:footer="0" w:header="0"/>
        </w:sectPr>
      </w:pPr>
    </w:p>
    <w:bookmarkStart w:id="21" w:name="page22"/>
    <w:bookmarkEnd w:id="21"/>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OTHER BUSINESS</w:t>
      </w:r>
    </w:p>
    <w:p>
      <w:pPr>
        <w:spacing w:after="0" w:line="229" w:lineRule="exact"/>
        <w:rPr>
          <w:sz w:val="20"/>
          <w:szCs w:val="20"/>
          <w:color w:val="auto"/>
        </w:rPr>
      </w:pPr>
    </w:p>
    <w:p>
      <w:pPr>
        <w:ind w:right="60" w:firstLine="456"/>
        <w:spacing w:after="0" w:line="266" w:lineRule="auto"/>
        <w:rPr>
          <w:sz w:val="20"/>
          <w:szCs w:val="20"/>
          <w:color w:val="auto"/>
        </w:rPr>
      </w:pPr>
      <w:r>
        <w:rPr>
          <w:rFonts w:ascii="Times New Roman" w:cs="Times New Roman" w:eastAsia="Times New Roman" w:hAnsi="Times New Roman"/>
          <w:sz w:val="18"/>
          <w:szCs w:val="18"/>
          <w:color w:val="auto"/>
        </w:rPr>
        <w:t xml:space="preserve">TSLX is unaware of any other matters to be considered at the Special Meeting. However, should other matters, which TSLX is not aware of a reasonable time before this solicitation, be brought before the Special Meeting, the persons named as proxies on the enclosed </w:t>
      </w:r>
      <w:r>
        <w:rPr>
          <w:rFonts w:ascii="Times New Roman" w:cs="Times New Roman" w:eastAsia="Times New Roman" w:hAnsi="Times New Roman"/>
          <w:sz w:val="18"/>
          <w:szCs w:val="18"/>
          <w:b w:val="1"/>
          <w:bCs w:val="1"/>
          <w:color w:val="auto"/>
        </w:rPr>
        <w:t>GOLD</w:t>
      </w:r>
      <w:r>
        <w:rPr>
          <w:rFonts w:ascii="Times New Roman" w:cs="Times New Roman" w:eastAsia="Times New Roman" w:hAnsi="Times New Roman"/>
          <w:sz w:val="18"/>
          <w:szCs w:val="18"/>
          <w:color w:val="auto"/>
        </w:rPr>
        <w:t xml:space="preserve"> proxy card will vote on such matters in their discretion.</w:t>
      </w:r>
    </w:p>
    <w:p>
      <w:pPr>
        <w:spacing w:after="0" w:line="38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ind w:right="60" w:firstLine="456"/>
        <w:spacing w:after="0" w:line="255" w:lineRule="auto"/>
        <w:rPr>
          <w:sz w:val="20"/>
          <w:szCs w:val="20"/>
          <w:color w:val="auto"/>
        </w:rPr>
      </w:pPr>
      <w:r>
        <w:rPr>
          <w:rFonts w:ascii="Times New Roman" w:cs="Times New Roman" w:eastAsia="Times New Roman" w:hAnsi="Times New Roman"/>
          <w:sz w:val="18"/>
          <w:szCs w:val="18"/>
          <w:color w:val="auto"/>
        </w:rPr>
        <w:t>Certain statements contained in this Proxy Statement, and the documents referred to or incorporated by reference into this Proxy Statement, are forward-looking statements including, but not limited to, statements that are predications of or indicate future events, trends, plans or objectives. Undue reliance should not be placed on such statements because, by their nature, they are subject to known and unknown risks and uncertainties. Forward-looking statements are not guarantees of future performance or activities and are subject to many risks and uncertainties. Due to such risks and uncertainties, actual events or results or actual performance may differ materially from those reflected or contemplated in such forward-looking statements. Forward-looking statements can be identified by the use of the future tense or other forward-looking words such as “believe,” “expect,” “anticipate,” “intend,” “plan,” “estimate,” “should,” “may,” “will,” “objective,” “projection,” “forecast,” “management believes,” “continue,” “strategy,” “position” or the negative of those terms or other variations of them or by comparable terminology.</w:t>
      </w:r>
    </w:p>
    <w:p>
      <w:pPr>
        <w:spacing w:after="0" w:line="185" w:lineRule="exact"/>
        <w:rPr>
          <w:sz w:val="20"/>
          <w:szCs w:val="20"/>
          <w:color w:val="auto"/>
        </w:rPr>
      </w:pPr>
    </w:p>
    <w:p>
      <w:pPr>
        <w:ind w:firstLine="456"/>
        <w:spacing w:after="0" w:line="258" w:lineRule="auto"/>
        <w:rPr>
          <w:sz w:val="20"/>
          <w:szCs w:val="20"/>
          <w:color w:val="auto"/>
        </w:rPr>
      </w:pPr>
      <w:r>
        <w:rPr>
          <w:rFonts w:ascii="Times New Roman" w:cs="Times New Roman" w:eastAsia="Times New Roman" w:hAnsi="Times New Roman"/>
          <w:sz w:val="18"/>
          <w:szCs w:val="18"/>
          <w:color w:val="auto"/>
        </w:rPr>
        <w:t>Important factors that could cause actual results to differ materially from the expectations set forth in this Proxy Statement include, among other things, the factors identified under the section entitled “Risk Factors” in TICC’s Annual Report on Form 10-K for the year ended December 31, 2014, its Quarterly Reports on Form 10-Q for the quarters ended March 31 and June 30, 2015 and any subsequent Current Reports on Form 8-K. Such forward-looking statements should therefore be construed in light of such factors, and TSLX is under no obligation, and expressly disclaims any intention or obligation, to update or revise any forward-looking statements, whether as a result of new information, future events or otherwise, except as required by law.</w:t>
      </w:r>
    </w:p>
    <w:p>
      <w:pPr>
        <w:spacing w:after="0" w:line="180"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b w:val="1"/>
          <w:bCs w:val="1"/>
          <w:color w:val="auto"/>
        </w:rPr>
        <w:t>TPG SPECIALTY LENDING, INC.</w:t>
      </w:r>
    </w:p>
    <w:p>
      <w:pPr>
        <w:spacing w:after="0" w:line="225" w:lineRule="exact"/>
        <w:rPr>
          <w:sz w:val="20"/>
          <w:szCs w:val="20"/>
          <w:color w:val="auto"/>
        </w:rPr>
      </w:pPr>
    </w:p>
    <w:tbl>
      <w:tblPr>
        <w:tblLayout w:type="fixed"/>
        <w:tblInd w:w="6060" w:type="dxa"/>
        <w:tblCellMar>
          <w:top w:w="0" w:type="dxa"/>
          <w:left w:w="0" w:type="dxa"/>
          <w:bottom w:w="0" w:type="dxa"/>
          <w:right w:w="0" w:type="dxa"/>
        </w:tblCellMar>
      </w:tblPr>
      <w:tr>
        <w:trPr>
          <w:trHeight w:val="238"/>
        </w:trPr>
        <w:tc>
          <w:tcPr>
            <w:tcW w:w="540" w:type="dxa"/>
            <w:vAlign w:val="bottom"/>
          </w:tcPr>
          <w:p>
            <w:pPr>
              <w:jc w:val="right"/>
              <w:ind w:right="400"/>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 2015</w:t>
            </w:r>
          </w:p>
        </w:tc>
      </w:tr>
    </w:tbl>
    <w:p>
      <w:pPr>
        <w:spacing w:after="0" w:line="13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380"/>
          </w:cols>
          <w:pgMar w:left="240" w:top="266" w:right="279" w:bottom="1440" w:gutter="0" w:footer="0" w:header="0"/>
        </w:sectPr>
      </w:pPr>
    </w:p>
    <w:bookmarkStart w:id="22" w:name="page23"/>
    <w:bookmarkEnd w:id="22"/>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ANNEX I</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CERTAIN INFORMATION REGARDING PARTICIPANTS IN THIS SOLICITATION OF PROXIES</w:t>
      </w:r>
    </w:p>
    <w:p>
      <w:pPr>
        <w:spacing w:after="0" w:line="229" w:lineRule="exact"/>
        <w:rPr>
          <w:sz w:val="20"/>
          <w:szCs w:val="20"/>
          <w:color w:val="auto"/>
        </w:rPr>
      </w:pPr>
    </w:p>
    <w:p>
      <w:pPr>
        <w:ind w:right="180" w:firstLine="456"/>
        <w:spacing w:after="0" w:line="261" w:lineRule="auto"/>
        <w:rPr>
          <w:sz w:val="20"/>
          <w:szCs w:val="20"/>
          <w:color w:val="auto"/>
        </w:rPr>
      </w:pPr>
      <w:r>
        <w:rPr>
          <w:rFonts w:ascii="Times New Roman" w:cs="Times New Roman" w:eastAsia="Times New Roman" w:hAnsi="Times New Roman"/>
          <w:sz w:val="18"/>
          <w:szCs w:val="18"/>
          <w:color w:val="auto"/>
        </w:rPr>
        <w:t xml:space="preserve">TPG Specialty Lending, Inc. (“TSLX”) is a participant in this solicitation of proxies for the special meeting of stockholders for the purpose of approving the proposed entry into a new investment advisory agreement between TICC Capital Corp. (“TICC”) and TICC Management, LLC (the “Special Meeting”). In addition, the directors and officers of TSLX listed on </w:t>
      </w:r>
      <w:r>
        <w:rPr>
          <w:rFonts w:ascii="Times New Roman" w:cs="Times New Roman" w:eastAsia="Times New Roman" w:hAnsi="Times New Roman"/>
          <w:sz w:val="18"/>
          <w:szCs w:val="18"/>
          <w:u w:val="single" w:color="auto"/>
          <w:color w:val="auto"/>
        </w:rPr>
        <w:t>Schedule A</w:t>
      </w:r>
      <w:r>
        <w:rPr>
          <w:rFonts w:ascii="Times New Roman" w:cs="Times New Roman" w:eastAsia="Times New Roman" w:hAnsi="Times New Roman"/>
          <w:sz w:val="18"/>
          <w:szCs w:val="18"/>
          <w:color w:val="auto"/>
        </w:rPr>
        <w:t xml:space="preserve"> hereto may also be deemed participants in this solicitation of proxies for the Special Meeting.</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Principal Businesses of the Participants</w:t>
      </w:r>
    </w:p>
    <w:p>
      <w:pPr>
        <w:spacing w:after="0" w:line="119" w:lineRule="exact"/>
        <w:rPr>
          <w:sz w:val="20"/>
          <w:szCs w:val="20"/>
          <w:color w:val="auto"/>
        </w:rPr>
      </w:pPr>
    </w:p>
    <w:p>
      <w:pPr>
        <w:ind w:right="120" w:firstLine="456"/>
        <w:spacing w:after="0" w:line="266" w:lineRule="auto"/>
        <w:rPr>
          <w:sz w:val="20"/>
          <w:szCs w:val="20"/>
          <w:color w:val="auto"/>
        </w:rPr>
      </w:pPr>
      <w:r>
        <w:rPr>
          <w:rFonts w:ascii="Times New Roman" w:cs="Times New Roman" w:eastAsia="Times New Roman" w:hAnsi="Times New Roman"/>
          <w:sz w:val="18"/>
          <w:szCs w:val="18"/>
          <w:color w:val="auto"/>
        </w:rPr>
        <w:t>TSLX, a Delaware corporation, is a specialty finance company focused on lending to middle-market companies. TSLX leverages the deep investment, sector, and operating resources of TPG Special Situations Partners which, with over $12 billion of assets under management, is the dedicated special situations and credit platform of TPG, a global private investment firm with over $74 billion of assets under management.</w:t>
      </w:r>
    </w:p>
    <w:p>
      <w:pPr>
        <w:spacing w:after="0" w:line="28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 xml:space="preserve">The principal occupation of each of the directors and officers of TSLX is listed on </w:t>
      </w:r>
      <w:r>
        <w:rPr>
          <w:rFonts w:ascii="Times New Roman" w:cs="Times New Roman" w:eastAsia="Times New Roman" w:hAnsi="Times New Roman"/>
          <w:sz w:val="18"/>
          <w:szCs w:val="18"/>
          <w:u w:val="single" w:color="auto"/>
          <w:color w:val="auto"/>
        </w:rPr>
        <w:t>Schedule A</w:t>
      </w:r>
      <w:r>
        <w:rPr>
          <w:rFonts w:ascii="Times New Roman" w:cs="Times New Roman" w:eastAsia="Times New Roman" w:hAnsi="Times New Roman"/>
          <w:sz w:val="18"/>
          <w:szCs w:val="18"/>
          <w:color w:val="auto"/>
        </w:rPr>
        <w:t xml:space="preserve"> hereto.</w:t>
      </w:r>
    </w:p>
    <w:p>
      <w:pPr>
        <w:spacing w:after="0" w:line="225" w:lineRule="exact"/>
        <w:rPr>
          <w:sz w:val="20"/>
          <w:szCs w:val="20"/>
          <w:color w:val="auto"/>
        </w:rPr>
      </w:pPr>
    </w:p>
    <w:p>
      <w:pPr>
        <w:ind w:right="320" w:firstLine="456"/>
        <w:spacing w:after="0" w:line="282" w:lineRule="auto"/>
        <w:rPr>
          <w:sz w:val="20"/>
          <w:szCs w:val="20"/>
          <w:color w:val="auto"/>
        </w:rPr>
      </w:pPr>
      <w:r>
        <w:rPr>
          <w:rFonts w:ascii="Times New Roman" w:cs="Times New Roman" w:eastAsia="Times New Roman" w:hAnsi="Times New Roman"/>
          <w:sz w:val="18"/>
          <w:szCs w:val="18"/>
          <w:color w:val="auto"/>
        </w:rPr>
        <w:t xml:space="preserve">During the past ten years, neither TSLX nor any person named on </w:t>
      </w:r>
      <w:r>
        <w:rPr>
          <w:rFonts w:ascii="Times New Roman" w:cs="Times New Roman" w:eastAsia="Times New Roman" w:hAnsi="Times New Roman"/>
          <w:sz w:val="18"/>
          <w:szCs w:val="18"/>
          <w:u w:val="single" w:color="auto"/>
          <w:color w:val="auto"/>
        </w:rPr>
        <w:t>Schedule A</w:t>
      </w:r>
      <w:r>
        <w:rPr>
          <w:rFonts w:ascii="Times New Roman" w:cs="Times New Roman" w:eastAsia="Times New Roman" w:hAnsi="Times New Roman"/>
          <w:sz w:val="18"/>
          <w:szCs w:val="18"/>
          <w:color w:val="auto"/>
        </w:rPr>
        <w:t xml:space="preserve"> hereto has been convicted in a criminal proceeding (excluding traffic violations or similar misdemeanors).</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Principal Offices of TSLX</w:t>
      </w:r>
    </w:p>
    <w:p>
      <w:pPr>
        <w:spacing w:after="0" w:line="119" w:lineRule="exact"/>
        <w:rPr>
          <w:sz w:val="20"/>
          <w:szCs w:val="20"/>
          <w:color w:val="auto"/>
        </w:rPr>
      </w:pPr>
    </w:p>
    <w:p>
      <w:pPr>
        <w:jc w:val="both"/>
        <w:ind w:right="440" w:firstLine="456"/>
        <w:spacing w:after="0" w:line="282" w:lineRule="auto"/>
        <w:rPr>
          <w:sz w:val="20"/>
          <w:szCs w:val="20"/>
          <w:color w:val="auto"/>
        </w:rPr>
      </w:pPr>
      <w:r>
        <w:rPr>
          <w:rFonts w:ascii="Times New Roman" w:cs="Times New Roman" w:eastAsia="Times New Roman" w:hAnsi="Times New Roman"/>
          <w:sz w:val="18"/>
          <w:szCs w:val="18"/>
          <w:color w:val="auto"/>
        </w:rPr>
        <w:t>The address of the principal business and the address of the principal office of TSLX is TPG Specialty Lending, Inc., 301 Commerce Street, Suite 3300, Fort Worth, Texas 76102.</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Beneficial and Record Ownership of the Participants</w:t>
      </w:r>
    </w:p>
    <w:p>
      <w:pPr>
        <w:spacing w:after="0" w:line="119" w:lineRule="exact"/>
        <w:rPr>
          <w:sz w:val="20"/>
          <w:szCs w:val="20"/>
          <w:color w:val="auto"/>
        </w:rPr>
      </w:pPr>
    </w:p>
    <w:p>
      <w:pPr>
        <w:jc w:val="both"/>
        <w:ind w:right="460" w:firstLine="456"/>
        <w:spacing w:after="0" w:line="266" w:lineRule="auto"/>
        <w:rPr>
          <w:sz w:val="20"/>
          <w:szCs w:val="20"/>
          <w:color w:val="auto"/>
        </w:rPr>
      </w:pPr>
      <w:r>
        <w:rPr>
          <w:rFonts w:ascii="Times New Roman" w:cs="Times New Roman" w:eastAsia="Times New Roman" w:hAnsi="Times New Roman"/>
          <w:sz w:val="18"/>
          <w:szCs w:val="18"/>
          <w:color w:val="auto"/>
        </w:rPr>
        <w:t xml:space="preserve">As of September 17, 2015, TSLX holds in street name and beneficially owns, 1,633,660 shares of TICC common stock, $0.01 par value per share (“TICC Common Stock”). The record holder of such shares of TICC Common Stock is Cede &amp; Co. None of the persons listed in </w:t>
      </w:r>
      <w:r>
        <w:rPr>
          <w:rFonts w:ascii="Times New Roman" w:cs="Times New Roman" w:eastAsia="Times New Roman" w:hAnsi="Times New Roman"/>
          <w:sz w:val="18"/>
          <w:szCs w:val="18"/>
          <w:u w:val="single" w:color="auto"/>
          <w:color w:val="auto"/>
        </w:rPr>
        <w:t>Schedule A</w:t>
      </w:r>
      <w:r>
        <w:rPr>
          <w:rFonts w:ascii="Times New Roman" w:cs="Times New Roman" w:eastAsia="Times New Roman" w:hAnsi="Times New Roman"/>
          <w:sz w:val="18"/>
          <w:szCs w:val="18"/>
          <w:color w:val="auto"/>
        </w:rPr>
        <w:t xml:space="preserve"> hereto are owners of record of any shares of TICC Common Stock, and none of them may be deemed to beneficially own shares of TICC Common Stock.</w:t>
      </w:r>
    </w:p>
    <w:p>
      <w:pPr>
        <w:spacing w:after="0" w:line="176" w:lineRule="exact"/>
        <w:rPr>
          <w:sz w:val="20"/>
          <w:szCs w:val="20"/>
          <w:color w:val="auto"/>
        </w:rPr>
      </w:pPr>
    </w:p>
    <w:p>
      <w:pPr>
        <w:ind w:firstLine="456"/>
        <w:spacing w:after="0" w:line="258" w:lineRule="auto"/>
        <w:rPr>
          <w:sz w:val="20"/>
          <w:szCs w:val="20"/>
          <w:color w:val="auto"/>
        </w:rPr>
      </w:pPr>
      <w:r>
        <w:rPr>
          <w:rFonts w:ascii="Times New Roman" w:cs="Times New Roman" w:eastAsia="Times New Roman" w:hAnsi="Times New Roman"/>
          <w:sz w:val="18"/>
          <w:szCs w:val="18"/>
          <w:color w:val="auto"/>
        </w:rPr>
        <w:t>Other than as disclosed in this Proxy Statement, to the best of TSLX’s knowledge, none of TSLX, its directors and officers, or any of their respective associates, has any substantial interests, direct or indirect, by security holding or otherwise, in any matter to be acted upon pursuant to this Proxy Statement. Other than as disclosed in this Proxy Statement, to the best of TSLX’s knowledge, none of TSLX, its directors and officers, or any of their respective associates has any arrangement or understanding with any person with respect to any future employment by TICC or its affiliates, or any future transactions to which TICC or any of its affiliates will or may be a party.</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Securities Purchased or Sold</w:t>
      </w:r>
    </w:p>
    <w:p>
      <w:pPr>
        <w:spacing w:after="0" w:line="119" w:lineRule="exact"/>
        <w:rPr>
          <w:sz w:val="20"/>
          <w:szCs w:val="20"/>
          <w:color w:val="auto"/>
        </w:rPr>
      </w:pPr>
    </w:p>
    <w:p>
      <w:pPr>
        <w:ind w:right="20" w:firstLine="456"/>
        <w:spacing w:after="0" w:line="282" w:lineRule="auto"/>
        <w:rPr>
          <w:sz w:val="20"/>
          <w:szCs w:val="20"/>
          <w:color w:val="auto"/>
        </w:rPr>
      </w:pPr>
      <w:r>
        <w:rPr>
          <w:rFonts w:ascii="Times New Roman" w:cs="Times New Roman" w:eastAsia="Times New Roman" w:hAnsi="Times New Roman"/>
          <w:sz w:val="18"/>
          <w:szCs w:val="18"/>
          <w:color w:val="auto"/>
        </w:rPr>
        <w:t xml:space="preserve">Except as set forth in </w:t>
      </w:r>
      <w:r>
        <w:rPr>
          <w:rFonts w:ascii="Times New Roman" w:cs="Times New Roman" w:eastAsia="Times New Roman" w:hAnsi="Times New Roman"/>
          <w:sz w:val="18"/>
          <w:szCs w:val="18"/>
          <w:u w:val="single" w:color="auto"/>
          <w:color w:val="auto"/>
        </w:rPr>
        <w:t>Schedule B</w:t>
      </w:r>
      <w:r>
        <w:rPr>
          <w:rFonts w:ascii="Times New Roman" w:cs="Times New Roman" w:eastAsia="Times New Roman" w:hAnsi="Times New Roman"/>
          <w:sz w:val="18"/>
          <w:szCs w:val="18"/>
          <w:color w:val="auto"/>
        </w:rPr>
        <w:t xml:space="preserve"> hereto, neither TSLX nor, to the best of TSLX’s knowledge, any person named on </w:t>
      </w:r>
      <w:r>
        <w:rPr>
          <w:rFonts w:ascii="Times New Roman" w:cs="Times New Roman" w:eastAsia="Times New Roman" w:hAnsi="Times New Roman"/>
          <w:sz w:val="18"/>
          <w:szCs w:val="18"/>
          <w:u w:val="single" w:color="auto"/>
          <w:color w:val="auto"/>
        </w:rPr>
        <w:t>Schedule A</w:t>
      </w:r>
      <w:r>
        <w:rPr>
          <w:rFonts w:ascii="Times New Roman" w:cs="Times New Roman" w:eastAsia="Times New Roman" w:hAnsi="Times New Roman"/>
          <w:sz w:val="18"/>
          <w:szCs w:val="18"/>
          <w:color w:val="auto"/>
        </w:rPr>
        <w:t xml:space="preserve"> hereto has effected any transaction in any TICC Common Stock within the last two years.</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Contracts, Arrangements, Understandings or Relationships with Respect to Securities of TICC</w:t>
      </w:r>
    </w:p>
    <w:p>
      <w:pPr>
        <w:spacing w:after="0" w:line="119" w:lineRule="exact"/>
        <w:rPr>
          <w:sz w:val="20"/>
          <w:szCs w:val="20"/>
          <w:color w:val="auto"/>
        </w:rPr>
      </w:pPr>
    </w:p>
    <w:p>
      <w:pPr>
        <w:ind w:right="160" w:firstLine="456"/>
        <w:spacing w:after="0" w:line="261" w:lineRule="auto"/>
        <w:rPr>
          <w:sz w:val="20"/>
          <w:szCs w:val="20"/>
          <w:color w:val="auto"/>
        </w:rPr>
      </w:pPr>
      <w:r>
        <w:rPr>
          <w:rFonts w:ascii="Times New Roman" w:cs="Times New Roman" w:eastAsia="Times New Roman" w:hAnsi="Times New Roman"/>
          <w:sz w:val="18"/>
          <w:szCs w:val="18"/>
          <w:color w:val="auto"/>
        </w:rPr>
        <w:t xml:space="preserve">Except for the engagement of MacKenzie Partners as proxy solicitor for TSLX, as further described herein under “Solicitation of Proxies,” neither TSLX nor any of the persons listed on </w:t>
      </w:r>
      <w:r>
        <w:rPr>
          <w:rFonts w:ascii="Times New Roman" w:cs="Times New Roman" w:eastAsia="Times New Roman" w:hAnsi="Times New Roman"/>
          <w:sz w:val="18"/>
          <w:szCs w:val="18"/>
          <w:u w:val="single" w:color="auto"/>
          <w:color w:val="auto"/>
        </w:rPr>
        <w:t>Schedule A</w:t>
      </w:r>
      <w:r>
        <w:rPr>
          <w:rFonts w:ascii="Times New Roman" w:cs="Times New Roman" w:eastAsia="Times New Roman" w:hAnsi="Times New Roman"/>
          <w:sz w:val="18"/>
          <w:szCs w:val="18"/>
          <w:color w:val="auto"/>
        </w:rPr>
        <w:t xml:space="preserve"> hereto is, or was within the past year, a party to any contract, arrangements or understandings with any person with respect to any securities of TICC, including, but not limited to, joint ventures, loan or option arrangements, puts or calls, guarantees against loss or guarantees of profit, division of losses or profits, or the giving or withholding of proxies.</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I-1</w:t>
      </w:r>
    </w:p>
    <w:p>
      <w:pPr>
        <w:sectPr>
          <w:pgSz w:w="11900" w:h="16838" w:orient="portrait"/>
          <w:cols w:equalWidth="0" w:num="1">
            <w:col w:w="11420"/>
          </w:cols>
          <w:pgMar w:left="240" w:top="266" w:right="239" w:bottom="1440" w:gutter="0" w:footer="0" w:header="0"/>
        </w:sectPr>
      </w:pPr>
    </w:p>
    <w:bookmarkStart w:id="23" w:name="page24"/>
    <w:bookmarkEnd w:id="23"/>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SCHEDULE A</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EXECUTIVE OFFICERS AND DIRECTORS OF TSLX</w:t>
      </w:r>
    </w:p>
    <w:p>
      <w:pPr>
        <w:spacing w:after="0" w:line="229" w:lineRule="exact"/>
        <w:rPr>
          <w:sz w:val="20"/>
          <w:szCs w:val="20"/>
          <w:color w:val="auto"/>
        </w:rPr>
      </w:pPr>
    </w:p>
    <w:p>
      <w:pPr>
        <w:ind w:right="20" w:firstLine="456"/>
        <w:spacing w:after="0" w:line="261" w:lineRule="auto"/>
        <w:rPr>
          <w:sz w:val="20"/>
          <w:szCs w:val="20"/>
          <w:color w:val="auto"/>
        </w:rPr>
      </w:pPr>
      <w:r>
        <w:rPr>
          <w:rFonts w:ascii="Times New Roman" w:cs="Times New Roman" w:eastAsia="Times New Roman" w:hAnsi="Times New Roman"/>
          <w:sz w:val="18"/>
          <w:szCs w:val="18"/>
          <w:color w:val="auto"/>
        </w:rPr>
        <w:t>The following is a list of the executive officers and directors of TSLX, setting forth the present principal occupation or employment and the name, principal business and address of any corporation or other organization in which such employment is conducted for each such person. Except as otherwise set forth below, the current business address of each such person is TPG Specialty Lending, Inc., 301 Commerce Street, Suite 3300, Fort Worth, Texas 76102. All executive officers and directors listed below are citizens of the United States of America.</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36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2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360" w:type="dxa"/>
            <w:vAlign w:val="bottom"/>
          </w:tcPr>
          <w:p>
            <w:pPr>
              <w:ind w:left="2180"/>
              <w:spacing w:after="0"/>
              <w:rPr>
                <w:sz w:val="20"/>
                <w:szCs w:val="20"/>
                <w:color w:val="auto"/>
              </w:rPr>
            </w:pPr>
            <w:r>
              <w:rPr>
                <w:rFonts w:ascii="Times New Roman" w:cs="Times New Roman" w:eastAsia="Times New Roman" w:hAnsi="Times New Roman"/>
                <w:sz w:val="14"/>
                <w:szCs w:val="14"/>
                <w:b w:val="1"/>
                <w:bCs w:val="1"/>
                <w:color w:val="auto"/>
              </w:rPr>
              <w:t>Present Position</w:t>
            </w:r>
          </w:p>
        </w:tc>
      </w:tr>
      <w:tr>
        <w:trPr>
          <w:trHeight w:val="191"/>
        </w:trPr>
        <w:tc>
          <w:tcPr>
            <w:tcW w:w="20" w:type="dxa"/>
            <w:vAlign w:val="bottom"/>
          </w:tcPr>
          <w:p>
            <w:pPr>
              <w:spacing w:after="0"/>
              <w:rPr>
                <w:sz w:val="16"/>
                <w:szCs w:val="16"/>
                <w:color w:val="auto"/>
              </w:rPr>
            </w:pPr>
          </w:p>
        </w:tc>
        <w:tc>
          <w:tcPr>
            <w:tcW w:w="362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Joshua Easterly</w:t>
            </w:r>
          </w:p>
        </w:tc>
        <w:tc>
          <w:tcPr>
            <w:tcW w:w="2180" w:type="dxa"/>
            <w:vAlign w:val="bottom"/>
            <w:tcBorders>
              <w:top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536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Director and Chairman of the Board of Directors and Co-Chief Executive</w:t>
            </w:r>
          </w:p>
        </w:tc>
      </w:tr>
      <w:tr>
        <w:trPr>
          <w:trHeight w:val="216"/>
        </w:trPr>
        <w:tc>
          <w:tcPr>
            <w:tcW w:w="20" w:type="dxa"/>
            <w:vAlign w:val="bottom"/>
          </w:tcPr>
          <w:p>
            <w:pPr>
              <w:spacing w:after="0"/>
              <w:rPr>
                <w:sz w:val="18"/>
                <w:szCs w:val="18"/>
                <w:color w:val="auto"/>
              </w:rPr>
            </w:pPr>
          </w:p>
        </w:tc>
        <w:tc>
          <w:tcPr>
            <w:tcW w:w="362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Officer, TPG Specialty Lending, Inc.</w:t>
            </w:r>
          </w:p>
        </w:tc>
      </w:tr>
      <w:tr>
        <w:trPr>
          <w:trHeight w:val="234"/>
        </w:trPr>
        <w:tc>
          <w:tcPr>
            <w:tcW w:w="20" w:type="dxa"/>
            <w:vAlign w:val="bottom"/>
          </w:tcPr>
          <w:p>
            <w:pPr>
              <w:spacing w:after="0"/>
              <w:rPr>
                <w:sz w:val="20"/>
                <w:szCs w:val="20"/>
                <w:color w:val="auto"/>
              </w:rPr>
            </w:pPr>
          </w:p>
        </w:tc>
        <w:tc>
          <w:tcPr>
            <w:tcW w:w="362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Partner, TPG/TPG Special Situations Partners</w:t>
            </w:r>
          </w:p>
        </w:tc>
      </w:tr>
      <w:tr>
        <w:trPr>
          <w:trHeight w:val="446"/>
        </w:trPr>
        <w:tc>
          <w:tcPr>
            <w:tcW w:w="3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Michael Fishman</w:t>
            </w:r>
          </w:p>
        </w:tc>
        <w:tc>
          <w:tcPr>
            <w:tcW w:w="2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Co-Chief Executive Officer and Director, TPG Specialty Lending, Inc.</w:t>
            </w:r>
          </w:p>
        </w:tc>
      </w:tr>
      <w:tr>
        <w:trPr>
          <w:trHeight w:val="432"/>
        </w:trPr>
        <w:tc>
          <w:tcPr>
            <w:tcW w:w="3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Richard Higginbotham</w:t>
            </w:r>
          </w:p>
        </w:tc>
        <w:tc>
          <w:tcPr>
            <w:tcW w:w="2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Director, TPG Specialty Lending, Inc.</w:t>
            </w:r>
          </w:p>
        </w:tc>
      </w:tr>
      <w:tr>
        <w:trPr>
          <w:trHeight w:val="432"/>
        </w:trPr>
        <w:tc>
          <w:tcPr>
            <w:tcW w:w="3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John Ross</w:t>
            </w:r>
          </w:p>
        </w:tc>
        <w:tc>
          <w:tcPr>
            <w:tcW w:w="2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Director, TPG Specialty Lending, Inc.</w:t>
            </w:r>
          </w:p>
        </w:tc>
      </w:tr>
      <w:tr>
        <w:trPr>
          <w:trHeight w:val="432"/>
        </w:trPr>
        <w:tc>
          <w:tcPr>
            <w:tcW w:w="3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Ronald Tanemura</w:t>
            </w:r>
          </w:p>
        </w:tc>
        <w:tc>
          <w:tcPr>
            <w:tcW w:w="2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Director, TPG Specialty Lending, Inc.</w:t>
            </w:r>
          </w:p>
        </w:tc>
      </w:tr>
      <w:tr>
        <w:trPr>
          <w:trHeight w:val="432"/>
        </w:trPr>
        <w:tc>
          <w:tcPr>
            <w:tcW w:w="3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Alan Kirshenbaum</w:t>
            </w:r>
          </w:p>
        </w:tc>
        <w:tc>
          <w:tcPr>
            <w:tcW w:w="2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 TPG Specialty Lending Inc.</w:t>
            </w:r>
          </w:p>
        </w:tc>
      </w:tr>
      <w:tr>
        <w:trPr>
          <w:trHeight w:val="414"/>
        </w:trPr>
        <w:tc>
          <w:tcPr>
            <w:tcW w:w="3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Jennifer Gordon</w:t>
            </w:r>
          </w:p>
        </w:tc>
        <w:tc>
          <w:tcPr>
            <w:tcW w:w="2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Managing Director, Chief Compliance Officer and Deputy Chief</w:t>
            </w:r>
          </w:p>
        </w:tc>
      </w:tr>
      <w:tr>
        <w:trPr>
          <w:trHeight w:val="216"/>
        </w:trPr>
        <w:tc>
          <w:tcPr>
            <w:tcW w:w="20" w:type="dxa"/>
            <w:vAlign w:val="bottom"/>
          </w:tcPr>
          <w:p>
            <w:pPr>
              <w:spacing w:after="0"/>
              <w:rPr>
                <w:sz w:val="18"/>
                <w:szCs w:val="18"/>
                <w:color w:val="auto"/>
              </w:rPr>
            </w:pPr>
          </w:p>
        </w:tc>
        <w:tc>
          <w:tcPr>
            <w:tcW w:w="362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Operating Officer, TPG Special Situations Partners</w:t>
            </w:r>
          </w:p>
        </w:tc>
      </w:tr>
      <w:tr>
        <w:trPr>
          <w:trHeight w:val="216"/>
        </w:trPr>
        <w:tc>
          <w:tcPr>
            <w:tcW w:w="20" w:type="dxa"/>
            <w:vAlign w:val="bottom"/>
          </w:tcPr>
          <w:p>
            <w:pPr>
              <w:spacing w:after="0"/>
              <w:rPr>
                <w:sz w:val="18"/>
                <w:szCs w:val="18"/>
                <w:color w:val="auto"/>
              </w:rPr>
            </w:pPr>
          </w:p>
        </w:tc>
        <w:tc>
          <w:tcPr>
            <w:tcW w:w="362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Vice President and Chief Compliance Officer, TPG Specialty Lending,</w:t>
            </w:r>
          </w:p>
        </w:tc>
      </w:tr>
      <w:tr>
        <w:trPr>
          <w:trHeight w:val="234"/>
        </w:trPr>
        <w:tc>
          <w:tcPr>
            <w:tcW w:w="20" w:type="dxa"/>
            <w:vAlign w:val="bottom"/>
          </w:tcPr>
          <w:p>
            <w:pPr>
              <w:spacing w:after="0"/>
              <w:rPr>
                <w:sz w:val="20"/>
                <w:szCs w:val="20"/>
                <w:color w:val="auto"/>
              </w:rPr>
            </w:pPr>
          </w:p>
        </w:tc>
        <w:tc>
          <w:tcPr>
            <w:tcW w:w="362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Inc.</w:t>
            </w:r>
          </w:p>
        </w:tc>
      </w:tr>
      <w:tr>
        <w:trPr>
          <w:trHeight w:val="427"/>
        </w:trPr>
        <w:tc>
          <w:tcPr>
            <w:tcW w:w="3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Jennifer Mello</w:t>
            </w:r>
          </w:p>
        </w:tc>
        <w:tc>
          <w:tcPr>
            <w:tcW w:w="2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General Counsel, TPG Special Situations Partners</w:t>
            </w:r>
          </w:p>
        </w:tc>
      </w:tr>
      <w:tr>
        <w:trPr>
          <w:trHeight w:val="234"/>
        </w:trPr>
        <w:tc>
          <w:tcPr>
            <w:tcW w:w="20" w:type="dxa"/>
            <w:vAlign w:val="bottom"/>
          </w:tcPr>
          <w:p>
            <w:pPr>
              <w:spacing w:after="0"/>
              <w:rPr>
                <w:sz w:val="20"/>
                <w:szCs w:val="20"/>
                <w:color w:val="auto"/>
              </w:rPr>
            </w:pPr>
          </w:p>
        </w:tc>
        <w:tc>
          <w:tcPr>
            <w:tcW w:w="362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Vice President and Secretary, TPG Specialty Lending, Inc.</w:t>
            </w:r>
          </w:p>
        </w:tc>
      </w:tr>
      <w:tr>
        <w:trPr>
          <w:trHeight w:val="427"/>
        </w:trPr>
        <w:tc>
          <w:tcPr>
            <w:tcW w:w="3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Robert Ollwerther</w:t>
            </w:r>
          </w:p>
        </w:tc>
        <w:tc>
          <w:tcPr>
            <w:tcW w:w="2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Chief Operating Officer, TPG Specialty Lending, Inc.</w:t>
            </w:r>
          </w:p>
        </w:tc>
      </w:tr>
      <w:tr>
        <w:trPr>
          <w:trHeight w:val="234"/>
        </w:trPr>
        <w:tc>
          <w:tcPr>
            <w:tcW w:w="20" w:type="dxa"/>
            <w:vAlign w:val="bottom"/>
          </w:tcPr>
          <w:p>
            <w:pPr>
              <w:spacing w:after="0"/>
              <w:rPr>
                <w:sz w:val="20"/>
                <w:szCs w:val="20"/>
                <w:color w:val="auto"/>
              </w:rPr>
            </w:pPr>
          </w:p>
        </w:tc>
        <w:tc>
          <w:tcPr>
            <w:tcW w:w="362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Managing Director, TPG Special Situations Partners</w:t>
            </w:r>
          </w:p>
        </w:tc>
      </w:tr>
      <w:tr>
        <w:trPr>
          <w:trHeight w:val="427"/>
        </w:trPr>
        <w:tc>
          <w:tcPr>
            <w:tcW w:w="3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Steven Pluss</w:t>
            </w:r>
          </w:p>
        </w:tc>
        <w:tc>
          <w:tcPr>
            <w:tcW w:w="2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 and Chief Risk Officer, TPG Special Situations</w:t>
            </w:r>
          </w:p>
        </w:tc>
      </w:tr>
      <w:tr>
        <w:trPr>
          <w:trHeight w:val="216"/>
        </w:trPr>
        <w:tc>
          <w:tcPr>
            <w:tcW w:w="20" w:type="dxa"/>
            <w:vAlign w:val="bottom"/>
          </w:tcPr>
          <w:p>
            <w:pPr>
              <w:spacing w:after="0"/>
              <w:rPr>
                <w:sz w:val="18"/>
                <w:szCs w:val="18"/>
                <w:color w:val="auto"/>
              </w:rPr>
            </w:pPr>
          </w:p>
        </w:tc>
        <w:tc>
          <w:tcPr>
            <w:tcW w:w="362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Partners</w:t>
            </w:r>
          </w:p>
        </w:tc>
      </w:tr>
      <w:tr>
        <w:trPr>
          <w:trHeight w:val="216"/>
        </w:trPr>
        <w:tc>
          <w:tcPr>
            <w:tcW w:w="20" w:type="dxa"/>
            <w:vAlign w:val="bottom"/>
          </w:tcPr>
          <w:p>
            <w:pPr>
              <w:spacing w:after="0"/>
              <w:rPr>
                <w:sz w:val="18"/>
                <w:szCs w:val="18"/>
                <w:color w:val="auto"/>
              </w:rPr>
            </w:pPr>
          </w:p>
        </w:tc>
        <w:tc>
          <w:tcPr>
            <w:tcW w:w="362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Partner, TPG/TPG Special Situations Partners</w:t>
            </w:r>
          </w:p>
        </w:tc>
      </w:tr>
      <w:tr>
        <w:trPr>
          <w:trHeight w:val="234"/>
        </w:trPr>
        <w:tc>
          <w:tcPr>
            <w:tcW w:w="20" w:type="dxa"/>
            <w:vAlign w:val="bottom"/>
          </w:tcPr>
          <w:p>
            <w:pPr>
              <w:spacing w:after="0"/>
              <w:rPr>
                <w:sz w:val="20"/>
                <w:szCs w:val="20"/>
                <w:color w:val="auto"/>
              </w:rPr>
            </w:pPr>
          </w:p>
        </w:tc>
        <w:tc>
          <w:tcPr>
            <w:tcW w:w="362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Vice President, TPG Specialty Lending, Inc.</w:t>
            </w:r>
          </w:p>
        </w:tc>
      </w:tr>
      <w:tr>
        <w:trPr>
          <w:trHeight w:val="427"/>
        </w:trPr>
        <w:tc>
          <w:tcPr>
            <w:tcW w:w="3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David Stiepleman</w:t>
            </w:r>
          </w:p>
        </w:tc>
        <w:tc>
          <w:tcPr>
            <w:tcW w:w="2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Chief Operating Officer, TPG Special Situations Partners</w:t>
            </w:r>
          </w:p>
        </w:tc>
      </w:tr>
      <w:tr>
        <w:trPr>
          <w:trHeight w:val="216"/>
        </w:trPr>
        <w:tc>
          <w:tcPr>
            <w:tcW w:w="20" w:type="dxa"/>
            <w:vAlign w:val="bottom"/>
          </w:tcPr>
          <w:p>
            <w:pPr>
              <w:spacing w:after="0"/>
              <w:rPr>
                <w:sz w:val="18"/>
                <w:szCs w:val="18"/>
                <w:color w:val="auto"/>
              </w:rPr>
            </w:pPr>
          </w:p>
        </w:tc>
        <w:tc>
          <w:tcPr>
            <w:tcW w:w="362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Partner, TPG/TPG Special Situations Partners</w:t>
            </w:r>
          </w:p>
        </w:tc>
      </w:tr>
      <w:tr>
        <w:trPr>
          <w:trHeight w:val="234"/>
        </w:trPr>
        <w:tc>
          <w:tcPr>
            <w:tcW w:w="20" w:type="dxa"/>
            <w:vAlign w:val="bottom"/>
          </w:tcPr>
          <w:p>
            <w:pPr>
              <w:spacing w:after="0"/>
              <w:rPr>
                <w:sz w:val="20"/>
                <w:szCs w:val="20"/>
                <w:color w:val="auto"/>
              </w:rPr>
            </w:pPr>
          </w:p>
        </w:tc>
        <w:tc>
          <w:tcPr>
            <w:tcW w:w="362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Vice President, TPG Specialty Lending, Inc.</w:t>
            </w:r>
          </w:p>
        </w:tc>
      </w:tr>
      <w:tr>
        <w:trPr>
          <w:trHeight w:val="427"/>
        </w:trPr>
        <w:tc>
          <w:tcPr>
            <w:tcW w:w="3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Alan Waxman</w:t>
            </w:r>
          </w:p>
        </w:tc>
        <w:tc>
          <w:tcPr>
            <w:tcW w:w="2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Chief Investment Officer, TPG Special Situations Partners</w:t>
            </w:r>
          </w:p>
        </w:tc>
      </w:tr>
      <w:tr>
        <w:trPr>
          <w:trHeight w:val="216"/>
        </w:trPr>
        <w:tc>
          <w:tcPr>
            <w:tcW w:w="20" w:type="dxa"/>
            <w:vAlign w:val="bottom"/>
          </w:tcPr>
          <w:p>
            <w:pPr>
              <w:spacing w:after="0"/>
              <w:rPr>
                <w:sz w:val="18"/>
                <w:szCs w:val="18"/>
                <w:color w:val="auto"/>
              </w:rPr>
            </w:pPr>
          </w:p>
        </w:tc>
        <w:tc>
          <w:tcPr>
            <w:tcW w:w="362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Partner, TPG/TPG Special Situations Partners</w:t>
            </w:r>
          </w:p>
        </w:tc>
      </w:tr>
      <w:tr>
        <w:trPr>
          <w:trHeight w:val="234"/>
        </w:trPr>
        <w:tc>
          <w:tcPr>
            <w:tcW w:w="20" w:type="dxa"/>
            <w:vAlign w:val="bottom"/>
          </w:tcPr>
          <w:p>
            <w:pPr>
              <w:spacing w:after="0"/>
              <w:rPr>
                <w:sz w:val="20"/>
                <w:szCs w:val="20"/>
                <w:color w:val="auto"/>
              </w:rPr>
            </w:pPr>
          </w:p>
        </w:tc>
        <w:tc>
          <w:tcPr>
            <w:tcW w:w="362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Vice President, TPG Specialty Lending, Inc.</w:t>
            </w:r>
          </w:p>
        </w:tc>
      </w:tr>
      <w:tr>
        <w:trPr>
          <w:trHeight w:val="378"/>
        </w:trPr>
        <w:tc>
          <w:tcPr>
            <w:tcW w:w="2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7780" w:type="dxa"/>
            <w:vAlign w:val="bottom"/>
            <w:gridSpan w:val="3"/>
          </w:tcPr>
          <w:p>
            <w:pPr>
              <w:ind w:left="1960"/>
              <w:spacing w:after="0"/>
              <w:rPr>
                <w:sz w:val="20"/>
                <w:szCs w:val="20"/>
                <w:color w:val="auto"/>
              </w:rPr>
            </w:pPr>
            <w:r>
              <w:rPr>
                <w:rFonts w:ascii="Times New Roman" w:cs="Times New Roman" w:eastAsia="Times New Roman" w:hAnsi="Times New Roman"/>
                <w:sz w:val="18"/>
                <w:szCs w:val="18"/>
                <w:color w:val="auto"/>
              </w:rPr>
              <w:t>I-2</w:t>
            </w:r>
          </w:p>
        </w:tc>
      </w:tr>
    </w:tbl>
    <w:p>
      <w:pPr>
        <w:sectPr>
          <w:pgSz w:w="11900" w:h="16838" w:orient="portrait"/>
          <w:cols w:equalWidth="0" w:num="1">
            <w:col w:w="11420"/>
          </w:cols>
          <w:pgMar w:left="240" w:top="266" w:right="239" w:bottom="1440" w:gutter="0" w:footer="0" w:header="0"/>
        </w:sectPr>
      </w:pPr>
    </w:p>
    <w:bookmarkStart w:id="24" w:name="page25"/>
    <w:bookmarkEnd w:id="24"/>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SCHEDULE B</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Certain Information Required by Item 5 of Schedule 14A</w:t>
      </w:r>
    </w:p>
    <w:p>
      <w:pPr>
        <w:spacing w:after="0" w:line="229" w:lineRule="exact"/>
        <w:rPr>
          <w:sz w:val="20"/>
          <w:szCs w:val="20"/>
          <w:color w:val="auto"/>
        </w:rPr>
      </w:pPr>
    </w:p>
    <w:p>
      <w:pPr>
        <w:ind w:right="520" w:firstLine="456"/>
        <w:spacing w:after="0" w:line="282" w:lineRule="auto"/>
        <w:rPr>
          <w:sz w:val="20"/>
          <w:szCs w:val="20"/>
          <w:color w:val="auto"/>
        </w:rPr>
      </w:pPr>
      <w:r>
        <w:rPr>
          <w:rFonts w:ascii="Times New Roman" w:cs="Times New Roman" w:eastAsia="Times New Roman" w:hAnsi="Times New Roman"/>
          <w:sz w:val="18"/>
          <w:szCs w:val="18"/>
          <w:color w:val="auto"/>
        </w:rPr>
        <w:t>During the past two years, TSLX purchased shares of TICC Common Stock in open market transactions as indicated below. The prices per share exclude brokerage commissions and have been rounded to the nearest cent.</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24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Date of Transaction (Trade Settle Date)</w:t>
            </w:r>
          </w:p>
        </w:tc>
        <w:tc>
          <w:tcPr>
            <w:tcW w:w="3600" w:type="dxa"/>
            <w:vAlign w:val="bottom"/>
          </w:tcPr>
          <w:p>
            <w:pPr>
              <w:spacing w:after="0"/>
              <w:rPr>
                <w:sz w:val="16"/>
                <w:szCs w:val="16"/>
                <w:color w:val="auto"/>
              </w:rPr>
            </w:pPr>
          </w:p>
        </w:tc>
        <w:tc>
          <w:tcPr>
            <w:tcW w:w="2260" w:type="dxa"/>
            <w:vAlign w:val="bottom"/>
            <w:gridSpan w:val="2"/>
          </w:tcPr>
          <w:p>
            <w:pPr>
              <w:jc w:val="right"/>
              <w:ind w:right="940"/>
              <w:spacing w:after="0"/>
              <w:rPr>
                <w:sz w:val="20"/>
                <w:szCs w:val="20"/>
                <w:color w:val="auto"/>
              </w:rPr>
            </w:pPr>
            <w:r>
              <w:rPr>
                <w:rFonts w:ascii="Times New Roman" w:cs="Times New Roman" w:eastAsia="Times New Roman" w:hAnsi="Times New Roman"/>
                <w:sz w:val="14"/>
                <w:szCs w:val="14"/>
                <w:b w:val="1"/>
                <w:bCs w:val="1"/>
                <w:color w:val="auto"/>
              </w:rPr>
              <w:t>Identity of Purchaser</w:t>
            </w:r>
          </w:p>
        </w:tc>
        <w:tc>
          <w:tcPr>
            <w:tcW w:w="2060" w:type="dxa"/>
            <w:vAlign w:val="bottom"/>
            <w:gridSpan w:val="2"/>
          </w:tcPr>
          <w:p>
            <w:pPr>
              <w:jc w:val="right"/>
              <w:ind w:right="940"/>
              <w:spacing w:after="0"/>
              <w:rPr>
                <w:sz w:val="20"/>
                <w:szCs w:val="20"/>
                <w:color w:val="auto"/>
              </w:rPr>
            </w:pPr>
            <w:r>
              <w:rPr>
                <w:rFonts w:ascii="Times New Roman" w:cs="Times New Roman" w:eastAsia="Times New Roman" w:hAnsi="Times New Roman"/>
                <w:sz w:val="14"/>
                <w:szCs w:val="14"/>
                <w:b w:val="1"/>
                <w:bCs w:val="1"/>
                <w:color w:val="auto"/>
              </w:rPr>
              <w:t>Amount of Shares</w:t>
            </w:r>
          </w:p>
        </w:tc>
        <w:tc>
          <w:tcPr>
            <w:tcW w:w="10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Price per Share</w:t>
            </w:r>
          </w:p>
        </w:tc>
      </w:tr>
      <w:tr>
        <w:trPr>
          <w:trHeight w:val="203"/>
        </w:trPr>
        <w:tc>
          <w:tcPr>
            <w:tcW w:w="2440" w:type="dxa"/>
            <w:vAlign w:val="bottom"/>
            <w:tcBorders>
              <w:top w:val="single" w:sz="8" w:color="CCEEFF"/>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8/5/2015</w:t>
            </w:r>
          </w:p>
        </w:tc>
        <w:tc>
          <w:tcPr>
            <w:tcW w:w="3600" w:type="dxa"/>
            <w:vAlign w:val="bottom"/>
            <w:tcBorders>
              <w:top w:val="single" w:sz="8" w:color="CCEEFF"/>
            </w:tcBorders>
            <w:shd w:val="clear" w:color="auto" w:fill="CCEEFF"/>
          </w:tcPr>
          <w:p>
            <w:pPr>
              <w:spacing w:after="0"/>
              <w:rPr>
                <w:sz w:val="17"/>
                <w:szCs w:val="17"/>
                <w:color w:val="auto"/>
              </w:rPr>
            </w:pPr>
          </w:p>
        </w:tc>
        <w:tc>
          <w:tcPr>
            <w:tcW w:w="132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TSLX</w:t>
            </w:r>
          </w:p>
        </w:tc>
        <w:tc>
          <w:tcPr>
            <w:tcW w:w="940" w:type="dxa"/>
            <w:vAlign w:val="bottom"/>
            <w:tcBorders>
              <w:top w:val="single" w:sz="8" w:color="CCEEFF"/>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234,000</w:t>
            </w:r>
          </w:p>
        </w:tc>
        <w:tc>
          <w:tcPr>
            <w:tcW w:w="94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6.70</w:t>
            </w: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2440" w:type="dxa"/>
            <w:vAlign w:val="bottom"/>
          </w:tcPr>
          <w:p>
            <w:pPr>
              <w:spacing w:after="0"/>
              <w:rPr>
                <w:sz w:val="20"/>
                <w:szCs w:val="20"/>
                <w:color w:val="auto"/>
              </w:rPr>
            </w:pPr>
            <w:r>
              <w:rPr>
                <w:rFonts w:ascii="Times New Roman" w:cs="Times New Roman" w:eastAsia="Times New Roman" w:hAnsi="Times New Roman"/>
                <w:sz w:val="18"/>
                <w:szCs w:val="18"/>
                <w:color w:val="auto"/>
              </w:rPr>
              <w:t>8/6/2015</w:t>
            </w:r>
          </w:p>
        </w:tc>
        <w:tc>
          <w:tcPr>
            <w:tcW w:w="3600" w:type="dxa"/>
            <w:vAlign w:val="bottom"/>
          </w:tcPr>
          <w:p>
            <w:pPr>
              <w:spacing w:after="0"/>
              <w:rPr>
                <w:sz w:val="18"/>
                <w:szCs w:val="18"/>
                <w:color w:val="auto"/>
              </w:rPr>
            </w:pPr>
          </w:p>
        </w:tc>
        <w:tc>
          <w:tcPr>
            <w:tcW w:w="2260" w:type="dxa"/>
            <w:vAlign w:val="bottom"/>
            <w:gridSpan w:val="2"/>
          </w:tcPr>
          <w:p>
            <w:pPr>
              <w:jc w:val="right"/>
              <w:ind w:right="940"/>
              <w:spacing w:after="0"/>
              <w:rPr>
                <w:sz w:val="20"/>
                <w:szCs w:val="20"/>
                <w:color w:val="auto"/>
              </w:rPr>
            </w:pPr>
            <w:r>
              <w:rPr>
                <w:rFonts w:ascii="Times New Roman" w:cs="Times New Roman" w:eastAsia="Times New Roman" w:hAnsi="Times New Roman"/>
                <w:sz w:val="18"/>
                <w:szCs w:val="18"/>
                <w:color w:val="auto"/>
              </w:rPr>
              <w:t>TSLX</w:t>
            </w:r>
          </w:p>
        </w:tc>
        <w:tc>
          <w:tcPr>
            <w:tcW w:w="2060" w:type="dxa"/>
            <w:vAlign w:val="bottom"/>
            <w:gridSpan w:val="2"/>
          </w:tcPr>
          <w:p>
            <w:pPr>
              <w:jc w:val="right"/>
              <w:ind w:right="940"/>
              <w:spacing w:after="0"/>
              <w:rPr>
                <w:sz w:val="20"/>
                <w:szCs w:val="20"/>
                <w:color w:val="auto"/>
              </w:rPr>
            </w:pPr>
            <w:r>
              <w:rPr>
                <w:rFonts w:ascii="Times New Roman" w:cs="Times New Roman" w:eastAsia="Times New Roman" w:hAnsi="Times New Roman"/>
                <w:sz w:val="18"/>
                <w:szCs w:val="18"/>
                <w:color w:val="auto"/>
              </w:rPr>
              <w:t>126,000</w:t>
            </w:r>
          </w:p>
        </w:tc>
        <w:tc>
          <w:tcPr>
            <w:tcW w:w="3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6.64</w:t>
            </w:r>
          </w:p>
        </w:tc>
      </w:tr>
      <w:tr>
        <w:trPr>
          <w:trHeight w:val="216"/>
        </w:trPr>
        <w:tc>
          <w:tcPr>
            <w:tcW w:w="2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8/7/2015</w:t>
            </w:r>
          </w:p>
        </w:tc>
        <w:tc>
          <w:tcPr>
            <w:tcW w:w="3600" w:type="dxa"/>
            <w:vAlign w:val="bottom"/>
            <w:shd w:val="clear" w:color="auto" w:fill="CCEEFF"/>
          </w:tcPr>
          <w:p>
            <w:pPr>
              <w:spacing w:after="0"/>
              <w:rPr>
                <w:sz w:val="18"/>
                <w:szCs w:val="18"/>
                <w:color w:val="auto"/>
              </w:rPr>
            </w:pPr>
          </w:p>
        </w:tc>
        <w:tc>
          <w:tcPr>
            <w:tcW w:w="2260" w:type="dxa"/>
            <w:vAlign w:val="bottom"/>
            <w:gridSpan w:val="2"/>
            <w:shd w:val="clear" w:color="auto" w:fill="CCEEFF"/>
          </w:tcPr>
          <w:p>
            <w:pPr>
              <w:jc w:val="right"/>
              <w:ind w:right="940"/>
              <w:spacing w:after="0"/>
              <w:rPr>
                <w:sz w:val="20"/>
                <w:szCs w:val="20"/>
                <w:color w:val="auto"/>
              </w:rPr>
            </w:pPr>
            <w:r>
              <w:rPr>
                <w:rFonts w:ascii="Times New Roman" w:cs="Times New Roman" w:eastAsia="Times New Roman" w:hAnsi="Times New Roman"/>
                <w:sz w:val="18"/>
                <w:szCs w:val="18"/>
                <w:color w:val="auto"/>
              </w:rPr>
              <w:t>TSLX</w:t>
            </w:r>
          </w:p>
        </w:tc>
        <w:tc>
          <w:tcPr>
            <w:tcW w:w="2060" w:type="dxa"/>
            <w:vAlign w:val="bottom"/>
            <w:gridSpan w:val="2"/>
            <w:shd w:val="clear" w:color="auto" w:fill="CCEEFF"/>
          </w:tcPr>
          <w:p>
            <w:pPr>
              <w:jc w:val="right"/>
              <w:ind w:right="940"/>
              <w:spacing w:after="0"/>
              <w:rPr>
                <w:sz w:val="20"/>
                <w:szCs w:val="20"/>
                <w:color w:val="auto"/>
              </w:rPr>
            </w:pPr>
            <w:r>
              <w:rPr>
                <w:rFonts w:ascii="Times New Roman" w:cs="Times New Roman" w:eastAsia="Times New Roman" w:hAnsi="Times New Roman"/>
                <w:sz w:val="18"/>
                <w:szCs w:val="18"/>
                <w:color w:val="auto"/>
              </w:rPr>
              <w:t>207,000</w:t>
            </w:r>
          </w:p>
        </w:tc>
        <w:tc>
          <w:tcPr>
            <w:tcW w:w="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6.65</w:t>
            </w:r>
          </w:p>
        </w:tc>
      </w:tr>
      <w:tr>
        <w:trPr>
          <w:trHeight w:val="216"/>
        </w:trPr>
        <w:tc>
          <w:tcPr>
            <w:tcW w:w="2440" w:type="dxa"/>
            <w:vAlign w:val="bottom"/>
          </w:tcPr>
          <w:p>
            <w:pPr>
              <w:spacing w:after="0"/>
              <w:rPr>
                <w:sz w:val="20"/>
                <w:szCs w:val="20"/>
                <w:color w:val="auto"/>
              </w:rPr>
            </w:pPr>
            <w:r>
              <w:rPr>
                <w:rFonts w:ascii="Times New Roman" w:cs="Times New Roman" w:eastAsia="Times New Roman" w:hAnsi="Times New Roman"/>
                <w:sz w:val="18"/>
                <w:szCs w:val="18"/>
                <w:color w:val="auto"/>
              </w:rPr>
              <w:t>8/10/2015</w:t>
            </w:r>
          </w:p>
        </w:tc>
        <w:tc>
          <w:tcPr>
            <w:tcW w:w="3600" w:type="dxa"/>
            <w:vAlign w:val="bottom"/>
          </w:tcPr>
          <w:p>
            <w:pPr>
              <w:spacing w:after="0"/>
              <w:rPr>
                <w:sz w:val="18"/>
                <w:szCs w:val="18"/>
                <w:color w:val="auto"/>
              </w:rPr>
            </w:pPr>
          </w:p>
        </w:tc>
        <w:tc>
          <w:tcPr>
            <w:tcW w:w="2260" w:type="dxa"/>
            <w:vAlign w:val="bottom"/>
            <w:gridSpan w:val="2"/>
          </w:tcPr>
          <w:p>
            <w:pPr>
              <w:jc w:val="right"/>
              <w:ind w:right="940"/>
              <w:spacing w:after="0"/>
              <w:rPr>
                <w:sz w:val="20"/>
                <w:szCs w:val="20"/>
                <w:color w:val="auto"/>
              </w:rPr>
            </w:pPr>
            <w:r>
              <w:rPr>
                <w:rFonts w:ascii="Times New Roman" w:cs="Times New Roman" w:eastAsia="Times New Roman" w:hAnsi="Times New Roman"/>
                <w:sz w:val="18"/>
                <w:szCs w:val="18"/>
                <w:color w:val="auto"/>
              </w:rPr>
              <w:t>TSLX</w:t>
            </w:r>
          </w:p>
        </w:tc>
        <w:tc>
          <w:tcPr>
            <w:tcW w:w="2060" w:type="dxa"/>
            <w:vAlign w:val="bottom"/>
            <w:gridSpan w:val="2"/>
          </w:tcPr>
          <w:p>
            <w:pPr>
              <w:jc w:val="right"/>
              <w:ind w:right="940"/>
              <w:spacing w:after="0"/>
              <w:rPr>
                <w:sz w:val="20"/>
                <w:szCs w:val="20"/>
                <w:color w:val="auto"/>
              </w:rPr>
            </w:pPr>
            <w:r>
              <w:rPr>
                <w:rFonts w:ascii="Times New Roman" w:cs="Times New Roman" w:eastAsia="Times New Roman" w:hAnsi="Times New Roman"/>
                <w:sz w:val="18"/>
                <w:szCs w:val="18"/>
                <w:color w:val="auto"/>
              </w:rPr>
              <w:t>74,000</w:t>
            </w:r>
          </w:p>
        </w:tc>
        <w:tc>
          <w:tcPr>
            <w:tcW w:w="3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6.69</w:t>
            </w:r>
          </w:p>
        </w:tc>
      </w:tr>
      <w:tr>
        <w:trPr>
          <w:trHeight w:val="216"/>
        </w:trPr>
        <w:tc>
          <w:tcPr>
            <w:tcW w:w="2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8/11/2015</w:t>
            </w:r>
          </w:p>
        </w:tc>
        <w:tc>
          <w:tcPr>
            <w:tcW w:w="3600" w:type="dxa"/>
            <w:vAlign w:val="bottom"/>
            <w:shd w:val="clear" w:color="auto" w:fill="CCEEFF"/>
          </w:tcPr>
          <w:p>
            <w:pPr>
              <w:spacing w:after="0"/>
              <w:rPr>
                <w:sz w:val="18"/>
                <w:szCs w:val="18"/>
                <w:color w:val="auto"/>
              </w:rPr>
            </w:pPr>
          </w:p>
        </w:tc>
        <w:tc>
          <w:tcPr>
            <w:tcW w:w="2260" w:type="dxa"/>
            <w:vAlign w:val="bottom"/>
            <w:gridSpan w:val="2"/>
            <w:shd w:val="clear" w:color="auto" w:fill="CCEEFF"/>
          </w:tcPr>
          <w:p>
            <w:pPr>
              <w:jc w:val="right"/>
              <w:ind w:right="940"/>
              <w:spacing w:after="0"/>
              <w:rPr>
                <w:sz w:val="20"/>
                <w:szCs w:val="20"/>
                <w:color w:val="auto"/>
              </w:rPr>
            </w:pPr>
            <w:r>
              <w:rPr>
                <w:rFonts w:ascii="Times New Roman" w:cs="Times New Roman" w:eastAsia="Times New Roman" w:hAnsi="Times New Roman"/>
                <w:sz w:val="18"/>
                <w:szCs w:val="18"/>
                <w:color w:val="auto"/>
              </w:rPr>
              <w:t>TSLX</w:t>
            </w:r>
          </w:p>
        </w:tc>
        <w:tc>
          <w:tcPr>
            <w:tcW w:w="2060" w:type="dxa"/>
            <w:vAlign w:val="bottom"/>
            <w:gridSpan w:val="2"/>
            <w:shd w:val="clear" w:color="auto" w:fill="CCEEFF"/>
          </w:tcPr>
          <w:p>
            <w:pPr>
              <w:jc w:val="right"/>
              <w:ind w:right="940"/>
              <w:spacing w:after="0"/>
              <w:rPr>
                <w:sz w:val="20"/>
                <w:szCs w:val="20"/>
                <w:color w:val="auto"/>
              </w:rPr>
            </w:pPr>
            <w:r>
              <w:rPr>
                <w:rFonts w:ascii="Times New Roman" w:cs="Times New Roman" w:eastAsia="Times New Roman" w:hAnsi="Times New Roman"/>
                <w:sz w:val="18"/>
                <w:szCs w:val="18"/>
                <w:color w:val="auto"/>
              </w:rPr>
              <w:t>32,000</w:t>
            </w:r>
          </w:p>
        </w:tc>
        <w:tc>
          <w:tcPr>
            <w:tcW w:w="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6.60</w:t>
            </w:r>
          </w:p>
        </w:tc>
      </w:tr>
      <w:tr>
        <w:trPr>
          <w:trHeight w:val="216"/>
        </w:trPr>
        <w:tc>
          <w:tcPr>
            <w:tcW w:w="2440" w:type="dxa"/>
            <w:vAlign w:val="bottom"/>
          </w:tcPr>
          <w:p>
            <w:pPr>
              <w:spacing w:after="0"/>
              <w:rPr>
                <w:sz w:val="20"/>
                <w:szCs w:val="20"/>
                <w:color w:val="auto"/>
              </w:rPr>
            </w:pPr>
            <w:r>
              <w:rPr>
                <w:rFonts w:ascii="Times New Roman" w:cs="Times New Roman" w:eastAsia="Times New Roman" w:hAnsi="Times New Roman"/>
                <w:sz w:val="18"/>
                <w:szCs w:val="18"/>
                <w:color w:val="auto"/>
              </w:rPr>
              <w:t>8/12/2015</w:t>
            </w:r>
          </w:p>
        </w:tc>
        <w:tc>
          <w:tcPr>
            <w:tcW w:w="3600" w:type="dxa"/>
            <w:vAlign w:val="bottom"/>
          </w:tcPr>
          <w:p>
            <w:pPr>
              <w:spacing w:after="0"/>
              <w:rPr>
                <w:sz w:val="18"/>
                <w:szCs w:val="18"/>
                <w:color w:val="auto"/>
              </w:rPr>
            </w:pPr>
          </w:p>
        </w:tc>
        <w:tc>
          <w:tcPr>
            <w:tcW w:w="2260" w:type="dxa"/>
            <w:vAlign w:val="bottom"/>
            <w:gridSpan w:val="2"/>
          </w:tcPr>
          <w:p>
            <w:pPr>
              <w:jc w:val="right"/>
              <w:ind w:right="940"/>
              <w:spacing w:after="0"/>
              <w:rPr>
                <w:sz w:val="20"/>
                <w:szCs w:val="20"/>
                <w:color w:val="auto"/>
              </w:rPr>
            </w:pPr>
            <w:r>
              <w:rPr>
                <w:rFonts w:ascii="Times New Roman" w:cs="Times New Roman" w:eastAsia="Times New Roman" w:hAnsi="Times New Roman"/>
                <w:sz w:val="18"/>
                <w:szCs w:val="18"/>
                <w:color w:val="auto"/>
              </w:rPr>
              <w:t>TSLX</w:t>
            </w:r>
          </w:p>
        </w:tc>
        <w:tc>
          <w:tcPr>
            <w:tcW w:w="2060" w:type="dxa"/>
            <w:vAlign w:val="bottom"/>
            <w:gridSpan w:val="2"/>
          </w:tcPr>
          <w:p>
            <w:pPr>
              <w:jc w:val="right"/>
              <w:ind w:right="940"/>
              <w:spacing w:after="0"/>
              <w:rPr>
                <w:sz w:val="20"/>
                <w:szCs w:val="20"/>
                <w:color w:val="auto"/>
              </w:rPr>
            </w:pPr>
            <w:r>
              <w:rPr>
                <w:rFonts w:ascii="Times New Roman" w:cs="Times New Roman" w:eastAsia="Times New Roman" w:hAnsi="Times New Roman"/>
                <w:sz w:val="18"/>
                <w:szCs w:val="18"/>
                <w:color w:val="auto"/>
              </w:rPr>
              <w:t>25,000</w:t>
            </w:r>
          </w:p>
        </w:tc>
        <w:tc>
          <w:tcPr>
            <w:tcW w:w="3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6.57</w:t>
            </w:r>
          </w:p>
        </w:tc>
      </w:tr>
      <w:tr>
        <w:trPr>
          <w:trHeight w:val="216"/>
        </w:trPr>
        <w:tc>
          <w:tcPr>
            <w:tcW w:w="2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8/13/2015</w:t>
            </w:r>
          </w:p>
        </w:tc>
        <w:tc>
          <w:tcPr>
            <w:tcW w:w="3600" w:type="dxa"/>
            <w:vAlign w:val="bottom"/>
            <w:shd w:val="clear" w:color="auto" w:fill="CCEEFF"/>
          </w:tcPr>
          <w:p>
            <w:pPr>
              <w:spacing w:after="0"/>
              <w:rPr>
                <w:sz w:val="18"/>
                <w:szCs w:val="18"/>
                <w:color w:val="auto"/>
              </w:rPr>
            </w:pPr>
          </w:p>
        </w:tc>
        <w:tc>
          <w:tcPr>
            <w:tcW w:w="2260" w:type="dxa"/>
            <w:vAlign w:val="bottom"/>
            <w:gridSpan w:val="2"/>
            <w:shd w:val="clear" w:color="auto" w:fill="CCEEFF"/>
          </w:tcPr>
          <w:p>
            <w:pPr>
              <w:jc w:val="right"/>
              <w:ind w:right="940"/>
              <w:spacing w:after="0"/>
              <w:rPr>
                <w:sz w:val="20"/>
                <w:szCs w:val="20"/>
                <w:color w:val="auto"/>
              </w:rPr>
            </w:pPr>
            <w:r>
              <w:rPr>
                <w:rFonts w:ascii="Times New Roman" w:cs="Times New Roman" w:eastAsia="Times New Roman" w:hAnsi="Times New Roman"/>
                <w:sz w:val="18"/>
                <w:szCs w:val="18"/>
                <w:color w:val="auto"/>
              </w:rPr>
              <w:t>TSLX</w:t>
            </w:r>
          </w:p>
        </w:tc>
        <w:tc>
          <w:tcPr>
            <w:tcW w:w="2060" w:type="dxa"/>
            <w:vAlign w:val="bottom"/>
            <w:gridSpan w:val="2"/>
            <w:shd w:val="clear" w:color="auto" w:fill="CCEEFF"/>
          </w:tcPr>
          <w:p>
            <w:pPr>
              <w:jc w:val="right"/>
              <w:ind w:right="940"/>
              <w:spacing w:after="0"/>
              <w:rPr>
                <w:sz w:val="20"/>
                <w:szCs w:val="20"/>
                <w:color w:val="auto"/>
              </w:rPr>
            </w:pPr>
            <w:r>
              <w:rPr>
                <w:rFonts w:ascii="Times New Roman" w:cs="Times New Roman" w:eastAsia="Times New Roman" w:hAnsi="Times New Roman"/>
                <w:sz w:val="18"/>
                <w:szCs w:val="18"/>
                <w:color w:val="auto"/>
              </w:rPr>
              <w:t>55,000</w:t>
            </w:r>
          </w:p>
        </w:tc>
        <w:tc>
          <w:tcPr>
            <w:tcW w:w="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6.63</w:t>
            </w:r>
          </w:p>
        </w:tc>
      </w:tr>
      <w:tr>
        <w:trPr>
          <w:trHeight w:val="216"/>
        </w:trPr>
        <w:tc>
          <w:tcPr>
            <w:tcW w:w="2440" w:type="dxa"/>
            <w:vAlign w:val="bottom"/>
          </w:tcPr>
          <w:p>
            <w:pPr>
              <w:spacing w:after="0"/>
              <w:rPr>
                <w:sz w:val="20"/>
                <w:szCs w:val="20"/>
                <w:color w:val="auto"/>
              </w:rPr>
            </w:pPr>
            <w:r>
              <w:rPr>
                <w:rFonts w:ascii="Times New Roman" w:cs="Times New Roman" w:eastAsia="Times New Roman" w:hAnsi="Times New Roman"/>
                <w:sz w:val="18"/>
                <w:szCs w:val="18"/>
                <w:color w:val="auto"/>
              </w:rPr>
              <w:t>8/14/2015</w:t>
            </w:r>
          </w:p>
        </w:tc>
        <w:tc>
          <w:tcPr>
            <w:tcW w:w="3600" w:type="dxa"/>
            <w:vAlign w:val="bottom"/>
          </w:tcPr>
          <w:p>
            <w:pPr>
              <w:spacing w:after="0"/>
              <w:rPr>
                <w:sz w:val="18"/>
                <w:szCs w:val="18"/>
                <w:color w:val="auto"/>
              </w:rPr>
            </w:pPr>
          </w:p>
        </w:tc>
        <w:tc>
          <w:tcPr>
            <w:tcW w:w="2260" w:type="dxa"/>
            <w:vAlign w:val="bottom"/>
            <w:gridSpan w:val="2"/>
          </w:tcPr>
          <w:p>
            <w:pPr>
              <w:jc w:val="right"/>
              <w:ind w:right="940"/>
              <w:spacing w:after="0"/>
              <w:rPr>
                <w:sz w:val="20"/>
                <w:szCs w:val="20"/>
                <w:color w:val="auto"/>
              </w:rPr>
            </w:pPr>
            <w:r>
              <w:rPr>
                <w:rFonts w:ascii="Times New Roman" w:cs="Times New Roman" w:eastAsia="Times New Roman" w:hAnsi="Times New Roman"/>
                <w:sz w:val="18"/>
                <w:szCs w:val="18"/>
                <w:color w:val="auto"/>
              </w:rPr>
              <w:t>TSLX</w:t>
            </w:r>
          </w:p>
        </w:tc>
        <w:tc>
          <w:tcPr>
            <w:tcW w:w="2060" w:type="dxa"/>
            <w:vAlign w:val="bottom"/>
            <w:gridSpan w:val="2"/>
          </w:tcPr>
          <w:p>
            <w:pPr>
              <w:jc w:val="right"/>
              <w:ind w:right="940"/>
              <w:spacing w:after="0"/>
              <w:rPr>
                <w:sz w:val="20"/>
                <w:szCs w:val="20"/>
                <w:color w:val="auto"/>
              </w:rPr>
            </w:pPr>
            <w:r>
              <w:rPr>
                <w:rFonts w:ascii="Times New Roman" w:cs="Times New Roman" w:eastAsia="Times New Roman" w:hAnsi="Times New Roman"/>
                <w:sz w:val="18"/>
                <w:szCs w:val="18"/>
                <w:color w:val="auto"/>
              </w:rPr>
              <w:t>4,660</w:t>
            </w:r>
          </w:p>
        </w:tc>
        <w:tc>
          <w:tcPr>
            <w:tcW w:w="3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6.60</w:t>
            </w:r>
          </w:p>
        </w:tc>
      </w:tr>
      <w:tr>
        <w:trPr>
          <w:trHeight w:val="216"/>
        </w:trPr>
        <w:tc>
          <w:tcPr>
            <w:tcW w:w="2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8/17/2015</w:t>
            </w:r>
          </w:p>
        </w:tc>
        <w:tc>
          <w:tcPr>
            <w:tcW w:w="3600" w:type="dxa"/>
            <w:vAlign w:val="bottom"/>
            <w:shd w:val="clear" w:color="auto" w:fill="CCEEFF"/>
          </w:tcPr>
          <w:p>
            <w:pPr>
              <w:spacing w:after="0"/>
              <w:rPr>
                <w:sz w:val="18"/>
                <w:szCs w:val="18"/>
                <w:color w:val="auto"/>
              </w:rPr>
            </w:pPr>
          </w:p>
        </w:tc>
        <w:tc>
          <w:tcPr>
            <w:tcW w:w="2260" w:type="dxa"/>
            <w:vAlign w:val="bottom"/>
            <w:gridSpan w:val="2"/>
            <w:shd w:val="clear" w:color="auto" w:fill="CCEEFF"/>
          </w:tcPr>
          <w:p>
            <w:pPr>
              <w:jc w:val="right"/>
              <w:ind w:right="940"/>
              <w:spacing w:after="0"/>
              <w:rPr>
                <w:sz w:val="20"/>
                <w:szCs w:val="20"/>
                <w:color w:val="auto"/>
              </w:rPr>
            </w:pPr>
            <w:r>
              <w:rPr>
                <w:rFonts w:ascii="Times New Roman" w:cs="Times New Roman" w:eastAsia="Times New Roman" w:hAnsi="Times New Roman"/>
                <w:sz w:val="18"/>
                <w:szCs w:val="18"/>
                <w:color w:val="auto"/>
              </w:rPr>
              <w:t>TSLX</w:t>
            </w:r>
          </w:p>
        </w:tc>
        <w:tc>
          <w:tcPr>
            <w:tcW w:w="2060" w:type="dxa"/>
            <w:vAlign w:val="bottom"/>
            <w:gridSpan w:val="2"/>
            <w:shd w:val="clear" w:color="auto" w:fill="CCEEFF"/>
          </w:tcPr>
          <w:p>
            <w:pPr>
              <w:jc w:val="right"/>
              <w:ind w:right="940"/>
              <w:spacing w:after="0"/>
              <w:rPr>
                <w:sz w:val="20"/>
                <w:szCs w:val="20"/>
                <w:color w:val="auto"/>
              </w:rPr>
            </w:pPr>
            <w:r>
              <w:rPr>
                <w:rFonts w:ascii="Times New Roman" w:cs="Times New Roman" w:eastAsia="Times New Roman" w:hAnsi="Times New Roman"/>
                <w:sz w:val="18"/>
                <w:szCs w:val="18"/>
                <w:color w:val="auto"/>
              </w:rPr>
              <w:t>77,000</w:t>
            </w:r>
          </w:p>
        </w:tc>
        <w:tc>
          <w:tcPr>
            <w:tcW w:w="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6.66</w:t>
            </w:r>
          </w:p>
        </w:tc>
      </w:tr>
      <w:tr>
        <w:trPr>
          <w:trHeight w:val="216"/>
        </w:trPr>
        <w:tc>
          <w:tcPr>
            <w:tcW w:w="2440" w:type="dxa"/>
            <w:vAlign w:val="bottom"/>
          </w:tcPr>
          <w:p>
            <w:pPr>
              <w:spacing w:after="0"/>
              <w:rPr>
                <w:sz w:val="20"/>
                <w:szCs w:val="20"/>
                <w:color w:val="auto"/>
              </w:rPr>
            </w:pPr>
            <w:r>
              <w:rPr>
                <w:rFonts w:ascii="Times New Roman" w:cs="Times New Roman" w:eastAsia="Times New Roman" w:hAnsi="Times New Roman"/>
                <w:sz w:val="18"/>
                <w:szCs w:val="18"/>
                <w:color w:val="auto"/>
              </w:rPr>
              <w:t>8/18/2015</w:t>
            </w:r>
          </w:p>
        </w:tc>
        <w:tc>
          <w:tcPr>
            <w:tcW w:w="3600" w:type="dxa"/>
            <w:vAlign w:val="bottom"/>
          </w:tcPr>
          <w:p>
            <w:pPr>
              <w:spacing w:after="0"/>
              <w:rPr>
                <w:sz w:val="18"/>
                <w:szCs w:val="18"/>
                <w:color w:val="auto"/>
              </w:rPr>
            </w:pPr>
          </w:p>
        </w:tc>
        <w:tc>
          <w:tcPr>
            <w:tcW w:w="2260" w:type="dxa"/>
            <w:vAlign w:val="bottom"/>
            <w:gridSpan w:val="2"/>
          </w:tcPr>
          <w:p>
            <w:pPr>
              <w:jc w:val="right"/>
              <w:ind w:right="940"/>
              <w:spacing w:after="0"/>
              <w:rPr>
                <w:sz w:val="20"/>
                <w:szCs w:val="20"/>
                <w:color w:val="auto"/>
              </w:rPr>
            </w:pPr>
            <w:r>
              <w:rPr>
                <w:rFonts w:ascii="Times New Roman" w:cs="Times New Roman" w:eastAsia="Times New Roman" w:hAnsi="Times New Roman"/>
                <w:sz w:val="18"/>
                <w:szCs w:val="18"/>
                <w:color w:val="auto"/>
              </w:rPr>
              <w:t>TSLX</w:t>
            </w:r>
          </w:p>
        </w:tc>
        <w:tc>
          <w:tcPr>
            <w:tcW w:w="2060" w:type="dxa"/>
            <w:vAlign w:val="bottom"/>
            <w:gridSpan w:val="2"/>
          </w:tcPr>
          <w:p>
            <w:pPr>
              <w:jc w:val="right"/>
              <w:ind w:right="940"/>
              <w:spacing w:after="0"/>
              <w:rPr>
                <w:sz w:val="20"/>
                <w:szCs w:val="20"/>
                <w:color w:val="auto"/>
              </w:rPr>
            </w:pPr>
            <w:r>
              <w:rPr>
                <w:rFonts w:ascii="Times New Roman" w:cs="Times New Roman" w:eastAsia="Times New Roman" w:hAnsi="Times New Roman"/>
                <w:sz w:val="18"/>
                <w:szCs w:val="18"/>
                <w:color w:val="auto"/>
              </w:rPr>
              <w:t>33,000</w:t>
            </w:r>
          </w:p>
        </w:tc>
        <w:tc>
          <w:tcPr>
            <w:tcW w:w="3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6.66</w:t>
            </w:r>
          </w:p>
        </w:tc>
      </w:tr>
      <w:tr>
        <w:trPr>
          <w:trHeight w:val="216"/>
        </w:trPr>
        <w:tc>
          <w:tcPr>
            <w:tcW w:w="2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8/19/2015</w:t>
            </w:r>
          </w:p>
        </w:tc>
        <w:tc>
          <w:tcPr>
            <w:tcW w:w="3600" w:type="dxa"/>
            <w:vAlign w:val="bottom"/>
            <w:shd w:val="clear" w:color="auto" w:fill="CCEEFF"/>
          </w:tcPr>
          <w:p>
            <w:pPr>
              <w:spacing w:after="0"/>
              <w:rPr>
                <w:sz w:val="18"/>
                <w:szCs w:val="18"/>
                <w:color w:val="auto"/>
              </w:rPr>
            </w:pPr>
          </w:p>
        </w:tc>
        <w:tc>
          <w:tcPr>
            <w:tcW w:w="2260" w:type="dxa"/>
            <w:vAlign w:val="bottom"/>
            <w:gridSpan w:val="2"/>
            <w:shd w:val="clear" w:color="auto" w:fill="CCEEFF"/>
          </w:tcPr>
          <w:p>
            <w:pPr>
              <w:jc w:val="right"/>
              <w:ind w:right="940"/>
              <w:spacing w:after="0"/>
              <w:rPr>
                <w:sz w:val="20"/>
                <w:szCs w:val="20"/>
                <w:color w:val="auto"/>
              </w:rPr>
            </w:pPr>
            <w:r>
              <w:rPr>
                <w:rFonts w:ascii="Times New Roman" w:cs="Times New Roman" w:eastAsia="Times New Roman" w:hAnsi="Times New Roman"/>
                <w:sz w:val="18"/>
                <w:szCs w:val="18"/>
                <w:color w:val="auto"/>
              </w:rPr>
              <w:t>TSLX</w:t>
            </w:r>
          </w:p>
        </w:tc>
        <w:tc>
          <w:tcPr>
            <w:tcW w:w="2060" w:type="dxa"/>
            <w:vAlign w:val="bottom"/>
            <w:gridSpan w:val="2"/>
            <w:shd w:val="clear" w:color="auto" w:fill="CCEEFF"/>
          </w:tcPr>
          <w:p>
            <w:pPr>
              <w:jc w:val="right"/>
              <w:ind w:right="940"/>
              <w:spacing w:after="0"/>
              <w:rPr>
                <w:sz w:val="20"/>
                <w:szCs w:val="20"/>
                <w:color w:val="auto"/>
              </w:rPr>
            </w:pPr>
            <w:r>
              <w:rPr>
                <w:rFonts w:ascii="Times New Roman" w:cs="Times New Roman" w:eastAsia="Times New Roman" w:hAnsi="Times New Roman"/>
                <w:sz w:val="18"/>
                <w:szCs w:val="18"/>
                <w:color w:val="auto"/>
              </w:rPr>
              <w:t>60,000</w:t>
            </w:r>
          </w:p>
        </w:tc>
        <w:tc>
          <w:tcPr>
            <w:tcW w:w="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6.72</w:t>
            </w:r>
          </w:p>
        </w:tc>
      </w:tr>
      <w:tr>
        <w:trPr>
          <w:trHeight w:val="216"/>
        </w:trPr>
        <w:tc>
          <w:tcPr>
            <w:tcW w:w="2440" w:type="dxa"/>
            <w:vAlign w:val="bottom"/>
          </w:tcPr>
          <w:p>
            <w:pPr>
              <w:spacing w:after="0"/>
              <w:rPr>
                <w:sz w:val="20"/>
                <w:szCs w:val="20"/>
                <w:color w:val="auto"/>
              </w:rPr>
            </w:pPr>
            <w:r>
              <w:rPr>
                <w:rFonts w:ascii="Times New Roman" w:cs="Times New Roman" w:eastAsia="Times New Roman" w:hAnsi="Times New Roman"/>
                <w:sz w:val="18"/>
                <w:szCs w:val="18"/>
                <w:color w:val="auto"/>
              </w:rPr>
              <w:t>8/20/2015</w:t>
            </w:r>
          </w:p>
        </w:tc>
        <w:tc>
          <w:tcPr>
            <w:tcW w:w="3600" w:type="dxa"/>
            <w:vAlign w:val="bottom"/>
          </w:tcPr>
          <w:p>
            <w:pPr>
              <w:spacing w:after="0"/>
              <w:rPr>
                <w:sz w:val="18"/>
                <w:szCs w:val="18"/>
                <w:color w:val="auto"/>
              </w:rPr>
            </w:pPr>
          </w:p>
        </w:tc>
        <w:tc>
          <w:tcPr>
            <w:tcW w:w="2260" w:type="dxa"/>
            <w:vAlign w:val="bottom"/>
            <w:gridSpan w:val="2"/>
          </w:tcPr>
          <w:p>
            <w:pPr>
              <w:jc w:val="right"/>
              <w:ind w:right="940"/>
              <w:spacing w:after="0"/>
              <w:rPr>
                <w:sz w:val="20"/>
                <w:szCs w:val="20"/>
                <w:color w:val="auto"/>
              </w:rPr>
            </w:pPr>
            <w:r>
              <w:rPr>
                <w:rFonts w:ascii="Times New Roman" w:cs="Times New Roman" w:eastAsia="Times New Roman" w:hAnsi="Times New Roman"/>
                <w:sz w:val="18"/>
                <w:szCs w:val="18"/>
                <w:color w:val="auto"/>
              </w:rPr>
              <w:t>TSLX</w:t>
            </w:r>
          </w:p>
        </w:tc>
        <w:tc>
          <w:tcPr>
            <w:tcW w:w="2060" w:type="dxa"/>
            <w:vAlign w:val="bottom"/>
            <w:gridSpan w:val="2"/>
          </w:tcPr>
          <w:p>
            <w:pPr>
              <w:jc w:val="right"/>
              <w:ind w:right="940"/>
              <w:spacing w:after="0"/>
              <w:rPr>
                <w:sz w:val="20"/>
                <w:szCs w:val="20"/>
                <w:color w:val="auto"/>
              </w:rPr>
            </w:pPr>
            <w:r>
              <w:rPr>
                <w:rFonts w:ascii="Times New Roman" w:cs="Times New Roman" w:eastAsia="Times New Roman" w:hAnsi="Times New Roman"/>
                <w:sz w:val="18"/>
                <w:szCs w:val="18"/>
                <w:color w:val="auto"/>
              </w:rPr>
              <w:t>85,000</w:t>
            </w:r>
          </w:p>
        </w:tc>
        <w:tc>
          <w:tcPr>
            <w:tcW w:w="3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6.74</w:t>
            </w:r>
          </w:p>
        </w:tc>
      </w:tr>
      <w:tr>
        <w:trPr>
          <w:trHeight w:val="216"/>
        </w:trPr>
        <w:tc>
          <w:tcPr>
            <w:tcW w:w="2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8/21/2015</w:t>
            </w:r>
          </w:p>
        </w:tc>
        <w:tc>
          <w:tcPr>
            <w:tcW w:w="3600" w:type="dxa"/>
            <w:vAlign w:val="bottom"/>
            <w:shd w:val="clear" w:color="auto" w:fill="CCEEFF"/>
          </w:tcPr>
          <w:p>
            <w:pPr>
              <w:spacing w:after="0"/>
              <w:rPr>
                <w:sz w:val="18"/>
                <w:szCs w:val="18"/>
                <w:color w:val="auto"/>
              </w:rPr>
            </w:pPr>
          </w:p>
        </w:tc>
        <w:tc>
          <w:tcPr>
            <w:tcW w:w="2260" w:type="dxa"/>
            <w:vAlign w:val="bottom"/>
            <w:gridSpan w:val="2"/>
            <w:shd w:val="clear" w:color="auto" w:fill="CCEEFF"/>
          </w:tcPr>
          <w:p>
            <w:pPr>
              <w:jc w:val="right"/>
              <w:ind w:right="940"/>
              <w:spacing w:after="0"/>
              <w:rPr>
                <w:sz w:val="20"/>
                <w:szCs w:val="20"/>
                <w:color w:val="auto"/>
              </w:rPr>
            </w:pPr>
            <w:r>
              <w:rPr>
                <w:rFonts w:ascii="Times New Roman" w:cs="Times New Roman" w:eastAsia="Times New Roman" w:hAnsi="Times New Roman"/>
                <w:sz w:val="18"/>
                <w:szCs w:val="18"/>
                <w:color w:val="auto"/>
              </w:rPr>
              <w:t>TSLX</w:t>
            </w:r>
          </w:p>
        </w:tc>
        <w:tc>
          <w:tcPr>
            <w:tcW w:w="2060" w:type="dxa"/>
            <w:vAlign w:val="bottom"/>
            <w:gridSpan w:val="2"/>
            <w:shd w:val="clear" w:color="auto" w:fill="CCEEFF"/>
          </w:tcPr>
          <w:p>
            <w:pPr>
              <w:jc w:val="right"/>
              <w:ind w:right="940"/>
              <w:spacing w:after="0"/>
              <w:rPr>
                <w:sz w:val="20"/>
                <w:szCs w:val="20"/>
                <w:color w:val="auto"/>
              </w:rPr>
            </w:pPr>
            <w:r>
              <w:rPr>
                <w:rFonts w:ascii="Times New Roman" w:cs="Times New Roman" w:eastAsia="Times New Roman" w:hAnsi="Times New Roman"/>
                <w:sz w:val="18"/>
                <w:szCs w:val="18"/>
                <w:color w:val="auto"/>
              </w:rPr>
              <w:t>571,000</w:t>
            </w:r>
          </w:p>
        </w:tc>
        <w:tc>
          <w:tcPr>
            <w:tcW w:w="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6.72</w:t>
            </w:r>
          </w:p>
        </w:tc>
      </w:tr>
      <w:tr>
        <w:trPr>
          <w:trHeight w:val="234"/>
        </w:trPr>
        <w:tc>
          <w:tcPr>
            <w:tcW w:w="2440" w:type="dxa"/>
            <w:vAlign w:val="bottom"/>
          </w:tcPr>
          <w:p>
            <w:pPr>
              <w:spacing w:after="0"/>
              <w:rPr>
                <w:sz w:val="20"/>
                <w:szCs w:val="20"/>
                <w:color w:val="auto"/>
              </w:rPr>
            </w:pPr>
            <w:r>
              <w:rPr>
                <w:rFonts w:ascii="Times New Roman" w:cs="Times New Roman" w:eastAsia="Times New Roman" w:hAnsi="Times New Roman"/>
                <w:sz w:val="18"/>
                <w:szCs w:val="18"/>
                <w:color w:val="auto"/>
              </w:rPr>
              <w:t>8/24/2015</w:t>
            </w:r>
          </w:p>
        </w:tc>
        <w:tc>
          <w:tcPr>
            <w:tcW w:w="3600" w:type="dxa"/>
            <w:vAlign w:val="bottom"/>
          </w:tcPr>
          <w:p>
            <w:pPr>
              <w:spacing w:after="0"/>
              <w:rPr>
                <w:sz w:val="20"/>
                <w:szCs w:val="20"/>
                <w:color w:val="auto"/>
              </w:rPr>
            </w:pPr>
          </w:p>
        </w:tc>
        <w:tc>
          <w:tcPr>
            <w:tcW w:w="2260" w:type="dxa"/>
            <w:vAlign w:val="bottom"/>
            <w:gridSpan w:val="2"/>
          </w:tcPr>
          <w:p>
            <w:pPr>
              <w:jc w:val="right"/>
              <w:ind w:right="940"/>
              <w:spacing w:after="0"/>
              <w:rPr>
                <w:sz w:val="20"/>
                <w:szCs w:val="20"/>
                <w:color w:val="auto"/>
              </w:rPr>
            </w:pPr>
            <w:r>
              <w:rPr>
                <w:rFonts w:ascii="Times New Roman" w:cs="Times New Roman" w:eastAsia="Times New Roman" w:hAnsi="Times New Roman"/>
                <w:sz w:val="18"/>
                <w:szCs w:val="18"/>
                <w:color w:val="auto"/>
              </w:rPr>
              <w:t>TSLX</w:t>
            </w:r>
          </w:p>
        </w:tc>
        <w:tc>
          <w:tcPr>
            <w:tcW w:w="2060" w:type="dxa"/>
            <w:vAlign w:val="bottom"/>
            <w:gridSpan w:val="2"/>
          </w:tcPr>
          <w:p>
            <w:pPr>
              <w:jc w:val="right"/>
              <w:ind w:right="940"/>
              <w:spacing w:after="0"/>
              <w:rPr>
                <w:sz w:val="20"/>
                <w:szCs w:val="20"/>
                <w:color w:val="auto"/>
              </w:rPr>
            </w:pPr>
            <w:r>
              <w:rPr>
                <w:rFonts w:ascii="Times New Roman" w:cs="Times New Roman" w:eastAsia="Times New Roman" w:hAnsi="Times New Roman"/>
                <w:sz w:val="18"/>
                <w:szCs w:val="18"/>
                <w:color w:val="auto"/>
              </w:rPr>
              <w:t>50,000</w:t>
            </w:r>
          </w:p>
        </w:tc>
        <w:tc>
          <w:tcPr>
            <w:tcW w:w="3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6.35</w:t>
            </w:r>
          </w:p>
        </w:tc>
      </w:tr>
    </w:tbl>
    <w:p>
      <w:pPr>
        <w:spacing w:after="0" w:line="1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No indebtedness was incurred by TSLX for the purpose of acquiring or holding TICC Common Stock.</w:t>
      </w:r>
    </w:p>
    <w:p>
      <w:pPr>
        <w:spacing w:after="0" w:line="158"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color w:val="auto"/>
        </w:rPr>
        <w:t>I-3</w:t>
      </w:r>
    </w:p>
    <w:p>
      <w:pPr>
        <w:sectPr>
          <w:pgSz w:w="11900" w:h="16838" w:orient="portrait"/>
          <w:cols w:equalWidth="0" w:num="1">
            <w:col w:w="11420"/>
          </w:cols>
          <w:pgMar w:left="240" w:top="266" w:right="239" w:bottom="1440" w:gutter="0" w:footer="0" w:header="0"/>
        </w:sectPr>
      </w:pPr>
    </w:p>
    <w:bookmarkStart w:id="25" w:name="page26"/>
    <w:bookmarkEnd w:id="25"/>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ANNEX II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SECURITY OWNERSHIP OF CERTAIN BENEFICIAL OWNERS AND MANAGEMENT</w:t>
      </w:r>
    </w:p>
    <w:p>
      <w:pPr>
        <w:spacing w:after="0" w:line="229" w:lineRule="exact"/>
        <w:rPr>
          <w:sz w:val="20"/>
          <w:szCs w:val="20"/>
          <w:color w:val="auto"/>
        </w:rPr>
      </w:pPr>
    </w:p>
    <w:p>
      <w:pPr>
        <w:ind w:right="200" w:firstLine="456"/>
        <w:spacing w:after="0" w:line="266" w:lineRule="auto"/>
        <w:rPr>
          <w:sz w:val="20"/>
          <w:szCs w:val="20"/>
          <w:color w:val="auto"/>
        </w:rPr>
      </w:pPr>
      <w:r>
        <w:rPr>
          <w:rFonts w:ascii="Times New Roman" w:cs="Times New Roman" w:eastAsia="Times New Roman" w:hAnsi="Times New Roman"/>
          <w:sz w:val="18"/>
          <w:szCs w:val="18"/>
          <w:color w:val="auto"/>
        </w:rPr>
        <w:t>According to TICC Capital Corp.’s (“TICC” or the “Company”) Proxy Statement, the following table sets forth, as of the Record Date, the beneficial ownership of TICC common stock of each current director of TICC, the director nominees, TICC’s executive officers, each person known to TICC to beneficially own 5% or more of the outstanding shares of TICC common stock, and the executive officers and directors as a group.</w:t>
      </w:r>
    </w:p>
    <w:p>
      <w:pPr>
        <w:spacing w:after="0" w:line="176" w:lineRule="exact"/>
        <w:rPr>
          <w:sz w:val="20"/>
          <w:szCs w:val="20"/>
          <w:color w:val="auto"/>
        </w:rPr>
      </w:pPr>
    </w:p>
    <w:p>
      <w:pPr>
        <w:ind w:right="40" w:firstLine="456"/>
        <w:spacing w:after="0" w:line="266" w:lineRule="auto"/>
        <w:rPr>
          <w:sz w:val="20"/>
          <w:szCs w:val="20"/>
          <w:color w:val="auto"/>
        </w:rPr>
      </w:pPr>
      <w:r>
        <w:rPr>
          <w:rFonts w:ascii="Times New Roman" w:cs="Times New Roman" w:eastAsia="Times New Roman" w:hAnsi="Times New Roman"/>
          <w:sz w:val="18"/>
          <w:szCs w:val="18"/>
          <w:color w:val="auto"/>
        </w:rPr>
        <w:t>Beneficial ownership is determined in accordance with the rules of the Securities and Exchange Commission (“SEC”) and includes voting or investment power with respect to the securities. Ownership information for those persons who beneficially own 5% or more of TICC shares of common stock is based upon Schedule 13G filings by such persons with the SEC and other information obtained from such persons, if available.</w:t>
      </w:r>
    </w:p>
    <w:p>
      <w:pPr>
        <w:spacing w:after="0" w:line="176" w:lineRule="exact"/>
        <w:rPr>
          <w:sz w:val="20"/>
          <w:szCs w:val="20"/>
          <w:color w:val="auto"/>
        </w:rPr>
      </w:pPr>
    </w:p>
    <w:p>
      <w:pPr>
        <w:ind w:right="280" w:firstLine="456"/>
        <w:spacing w:after="0" w:line="282" w:lineRule="auto"/>
        <w:rPr>
          <w:sz w:val="20"/>
          <w:szCs w:val="20"/>
          <w:color w:val="auto"/>
        </w:rPr>
      </w:pPr>
      <w:r>
        <w:rPr>
          <w:rFonts w:ascii="Times New Roman" w:cs="Times New Roman" w:eastAsia="Times New Roman" w:hAnsi="Times New Roman"/>
          <w:sz w:val="18"/>
          <w:szCs w:val="18"/>
          <w:color w:val="auto"/>
        </w:rPr>
        <w:t>Unless otherwise indicated, the Company believes that each beneficial owner set forth in the table has sole voting and investment power and has the same address as the Company. The Company’s current address is 8 Sound Shore Drive, Suite 255, Greenwich, Connecticut 06830.</w:t>
      </w:r>
    </w:p>
    <w:p>
      <w:pPr>
        <w:spacing w:after="0" w:line="170"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440" w:type="dxa"/>
            <w:vAlign w:val="bottom"/>
          </w:tcPr>
          <w:p>
            <w:pPr>
              <w:spacing w:after="0"/>
              <w:rPr>
                <w:sz w:val="13"/>
                <w:szCs w:val="13"/>
                <w:color w:val="auto"/>
              </w:rPr>
            </w:pPr>
          </w:p>
        </w:tc>
        <w:tc>
          <w:tcPr>
            <w:tcW w:w="5400" w:type="dxa"/>
            <w:vAlign w:val="bottom"/>
          </w:tcPr>
          <w:p>
            <w:pPr>
              <w:spacing w:after="0"/>
              <w:rPr>
                <w:sz w:val="13"/>
                <w:szCs w:val="13"/>
                <w:color w:val="auto"/>
              </w:rPr>
            </w:pPr>
          </w:p>
        </w:tc>
        <w:tc>
          <w:tcPr>
            <w:tcW w:w="1740" w:type="dxa"/>
            <w:vAlign w:val="bottom"/>
            <w:gridSpan w:val="2"/>
          </w:tcPr>
          <w:p>
            <w:pPr>
              <w:jc w:val="center"/>
              <w:ind w:right="84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92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w w:val="99"/>
              </w:rPr>
              <w:t>Percentage</w:t>
            </w:r>
          </w:p>
        </w:tc>
        <w:tc>
          <w:tcPr>
            <w:tcW w:w="0" w:type="dxa"/>
            <w:vAlign w:val="bottom"/>
          </w:tcPr>
          <w:p>
            <w:pPr>
              <w:spacing w:after="0"/>
              <w:rPr>
                <w:sz w:val="1"/>
                <w:szCs w:val="1"/>
                <w:color w:val="auto"/>
              </w:rPr>
            </w:pPr>
          </w:p>
        </w:tc>
      </w:tr>
      <w:tr>
        <w:trPr>
          <w:trHeight w:val="149"/>
        </w:trPr>
        <w:tc>
          <w:tcPr>
            <w:tcW w:w="24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and Address of Beneficial Owner</w:t>
            </w:r>
          </w:p>
        </w:tc>
        <w:tc>
          <w:tcPr>
            <w:tcW w:w="5400" w:type="dxa"/>
            <w:vAlign w:val="bottom"/>
            <w:vMerge w:val="restart"/>
          </w:tcPr>
          <w:p>
            <w:pPr>
              <w:spacing w:after="0"/>
              <w:rPr>
                <w:sz w:val="12"/>
                <w:szCs w:val="12"/>
                <w:color w:val="auto"/>
              </w:rPr>
            </w:pPr>
          </w:p>
        </w:tc>
        <w:tc>
          <w:tcPr>
            <w:tcW w:w="1740" w:type="dxa"/>
            <w:vAlign w:val="bottom"/>
            <w:gridSpan w:val="2"/>
          </w:tcPr>
          <w:p>
            <w:pPr>
              <w:jc w:val="center"/>
              <w:ind w:right="840"/>
              <w:spacing w:after="0" w:line="149" w:lineRule="exact"/>
              <w:rPr>
                <w:sz w:val="20"/>
                <w:szCs w:val="20"/>
                <w:color w:val="auto"/>
              </w:rPr>
            </w:pPr>
            <w:r>
              <w:rPr>
                <w:rFonts w:ascii="Times New Roman" w:cs="Times New Roman" w:eastAsia="Times New Roman" w:hAnsi="Times New Roman"/>
                <w:sz w:val="14"/>
                <w:szCs w:val="14"/>
                <w:b w:val="1"/>
                <w:bCs w:val="1"/>
                <w:color w:val="auto"/>
              </w:rPr>
              <w:t>Shares Owned</w:t>
            </w:r>
          </w:p>
        </w:tc>
        <w:tc>
          <w:tcPr>
            <w:tcW w:w="9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2440" w:type="dxa"/>
            <w:vAlign w:val="bottom"/>
            <w:tcBorders>
              <w:bottom w:val="single" w:sz="8" w:color="auto"/>
            </w:tcBorders>
            <w:vMerge w:val="continue"/>
          </w:tcPr>
          <w:p>
            <w:pPr>
              <w:spacing w:after="0"/>
              <w:rPr>
                <w:sz w:val="15"/>
                <w:szCs w:val="15"/>
                <w:color w:val="auto"/>
              </w:rPr>
            </w:pPr>
          </w:p>
        </w:tc>
        <w:tc>
          <w:tcPr>
            <w:tcW w:w="5400" w:type="dxa"/>
            <w:vAlign w:val="bottom"/>
            <w:vMerge w:val="continue"/>
          </w:tcPr>
          <w:p>
            <w:pPr>
              <w:spacing w:after="0"/>
              <w:rPr>
                <w:sz w:val="15"/>
                <w:szCs w:val="15"/>
                <w:color w:val="auto"/>
              </w:rPr>
            </w:pPr>
          </w:p>
        </w:tc>
        <w:tc>
          <w:tcPr>
            <w:tcW w:w="1740" w:type="dxa"/>
            <w:vAlign w:val="bottom"/>
            <w:gridSpan w:val="2"/>
          </w:tcPr>
          <w:p>
            <w:pPr>
              <w:jc w:val="right"/>
              <w:ind w:right="860"/>
              <w:spacing w:after="0" w:line="160" w:lineRule="exact"/>
              <w:rPr>
                <w:sz w:val="20"/>
                <w:szCs w:val="20"/>
                <w:color w:val="auto"/>
              </w:rPr>
            </w:pPr>
            <w:r>
              <w:rPr>
                <w:rFonts w:ascii="Times New Roman" w:cs="Times New Roman" w:eastAsia="Times New Roman" w:hAnsi="Times New Roman"/>
                <w:sz w:val="14"/>
                <w:szCs w:val="14"/>
                <w:b w:val="1"/>
                <w:bCs w:val="1"/>
                <w:color w:val="auto"/>
                <w:w w:val="99"/>
              </w:rPr>
              <w:t>Beneficially(1)</w:t>
            </w:r>
          </w:p>
        </w:tc>
        <w:tc>
          <w:tcPr>
            <w:tcW w:w="920" w:type="dxa"/>
            <w:vAlign w:val="bottom"/>
            <w:gridSpan w:val="2"/>
          </w:tcPr>
          <w:p>
            <w:pPr>
              <w:jc w:val="right"/>
              <w:ind w:right="240"/>
              <w:spacing w:after="0" w:line="160" w:lineRule="exact"/>
              <w:rPr>
                <w:sz w:val="20"/>
                <w:szCs w:val="20"/>
                <w:color w:val="auto"/>
              </w:rPr>
            </w:pPr>
            <w:r>
              <w:rPr>
                <w:rFonts w:ascii="Times New Roman" w:cs="Times New Roman" w:eastAsia="Times New Roman" w:hAnsi="Times New Roman"/>
                <w:sz w:val="14"/>
                <w:szCs w:val="14"/>
                <w:b w:val="1"/>
                <w:bCs w:val="1"/>
                <w:color w:val="auto"/>
              </w:rPr>
              <w:t>of Class(2)</w:t>
            </w:r>
          </w:p>
        </w:tc>
        <w:tc>
          <w:tcPr>
            <w:tcW w:w="0" w:type="dxa"/>
            <w:vAlign w:val="bottom"/>
          </w:tcPr>
          <w:p>
            <w:pPr>
              <w:spacing w:after="0"/>
              <w:rPr>
                <w:sz w:val="1"/>
                <w:szCs w:val="1"/>
                <w:color w:val="auto"/>
              </w:rPr>
            </w:pPr>
          </w:p>
        </w:tc>
      </w:tr>
      <w:tr>
        <w:trPr>
          <w:trHeight w:val="190"/>
        </w:trPr>
        <w:tc>
          <w:tcPr>
            <w:tcW w:w="7840" w:type="dxa"/>
            <w:vAlign w:val="bottom"/>
            <w:tcBorders>
              <w:top w:val="single" w:sz="8" w:color="CCEEFF"/>
            </w:tcBorders>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auto"/>
              </w:rPr>
              <w:t>Interested Directors</w:t>
            </w:r>
          </w:p>
        </w:tc>
        <w:tc>
          <w:tcPr>
            <w:tcW w:w="900" w:type="dxa"/>
            <w:vAlign w:val="bottom"/>
            <w:tcBorders>
              <w:top w:val="single" w:sz="8" w:color="auto"/>
            </w:tcBorders>
            <w:shd w:val="clear" w:color="auto" w:fill="CCEEFF"/>
          </w:tcPr>
          <w:p>
            <w:pPr>
              <w:spacing w:after="0"/>
              <w:rPr>
                <w:sz w:val="16"/>
                <w:szCs w:val="16"/>
                <w:color w:val="auto"/>
              </w:rPr>
            </w:pPr>
          </w:p>
        </w:tc>
        <w:tc>
          <w:tcPr>
            <w:tcW w:w="840" w:type="dxa"/>
            <w:vAlign w:val="bottom"/>
            <w:tcBorders>
              <w:top w:val="single" w:sz="8" w:color="CCEEFF"/>
            </w:tcBorders>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7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Jonathan H. Cohen(3)</w:t>
            </w:r>
          </w:p>
        </w:tc>
        <w:tc>
          <w:tcPr>
            <w:tcW w:w="1740" w:type="dxa"/>
            <w:vAlign w:val="bottom"/>
            <w:gridSpan w:val="2"/>
          </w:tcPr>
          <w:p>
            <w:pPr>
              <w:jc w:val="right"/>
              <w:ind w:right="840"/>
              <w:spacing w:after="0"/>
              <w:rPr>
                <w:sz w:val="20"/>
                <w:szCs w:val="20"/>
                <w:color w:val="auto"/>
              </w:rPr>
            </w:pPr>
            <w:r>
              <w:rPr>
                <w:rFonts w:ascii="Times New Roman" w:cs="Times New Roman" w:eastAsia="Times New Roman" w:hAnsi="Times New Roman"/>
                <w:sz w:val="18"/>
                <w:szCs w:val="18"/>
                <w:color w:val="auto"/>
              </w:rPr>
              <w:t>310,337</w:t>
            </w: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Charles M. Royce(4)</w:t>
            </w:r>
          </w:p>
        </w:tc>
        <w:tc>
          <w:tcPr>
            <w:tcW w:w="1740" w:type="dxa"/>
            <w:vAlign w:val="bottom"/>
            <w:gridSpan w:val="2"/>
            <w:shd w:val="clear" w:color="auto" w:fill="CCEEFF"/>
          </w:tcPr>
          <w:p>
            <w:pPr>
              <w:jc w:val="right"/>
              <w:ind w:right="840"/>
              <w:spacing w:after="0"/>
              <w:rPr>
                <w:sz w:val="20"/>
                <w:szCs w:val="20"/>
                <w:color w:val="auto"/>
              </w:rPr>
            </w:pPr>
            <w:r>
              <w:rPr>
                <w:rFonts w:ascii="Times New Roman" w:cs="Times New Roman" w:eastAsia="Times New Roman" w:hAnsi="Times New Roman"/>
                <w:sz w:val="18"/>
                <w:szCs w:val="18"/>
                <w:color w:val="auto"/>
              </w:rPr>
              <w:t>525,321</w:t>
            </w: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8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Independent Directors</w:t>
            </w:r>
          </w:p>
        </w:tc>
        <w:tc>
          <w:tcPr>
            <w:tcW w:w="9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Steven P. Novak</w:t>
            </w:r>
          </w:p>
        </w:tc>
        <w:tc>
          <w:tcPr>
            <w:tcW w:w="1740" w:type="dxa"/>
            <w:vAlign w:val="bottom"/>
            <w:gridSpan w:val="2"/>
            <w:shd w:val="clear" w:color="auto" w:fill="CCEEFF"/>
          </w:tcPr>
          <w:p>
            <w:pPr>
              <w:jc w:val="right"/>
              <w:ind w:right="840"/>
              <w:spacing w:after="0"/>
              <w:rPr>
                <w:sz w:val="20"/>
                <w:szCs w:val="20"/>
                <w:color w:val="auto"/>
              </w:rPr>
            </w:pPr>
            <w:r>
              <w:rPr>
                <w:rFonts w:ascii="Times New Roman" w:cs="Times New Roman" w:eastAsia="Times New Roman" w:hAnsi="Times New Roman"/>
                <w:sz w:val="18"/>
                <w:szCs w:val="18"/>
                <w:color w:val="auto"/>
              </w:rPr>
              <w:t>14,474</w:t>
            </w: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 Peter O’Brien</w:t>
            </w:r>
          </w:p>
        </w:tc>
        <w:tc>
          <w:tcPr>
            <w:tcW w:w="1740" w:type="dxa"/>
            <w:vAlign w:val="bottom"/>
            <w:gridSpan w:val="2"/>
          </w:tcPr>
          <w:p>
            <w:pPr>
              <w:jc w:val="right"/>
              <w:ind w:right="840"/>
              <w:spacing w:after="0"/>
              <w:rPr>
                <w:sz w:val="20"/>
                <w:szCs w:val="20"/>
                <w:color w:val="auto"/>
              </w:rPr>
            </w:pPr>
            <w:r>
              <w:rPr>
                <w:rFonts w:ascii="Times New Roman" w:cs="Times New Roman" w:eastAsia="Times New Roman" w:hAnsi="Times New Roman"/>
                <w:sz w:val="18"/>
                <w:szCs w:val="18"/>
                <w:color w:val="auto"/>
              </w:rPr>
              <w:t>66,510</w:t>
            </w: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Tonia L. Pankopf</w:t>
            </w:r>
          </w:p>
        </w:tc>
        <w:tc>
          <w:tcPr>
            <w:tcW w:w="1740" w:type="dxa"/>
            <w:vAlign w:val="bottom"/>
            <w:gridSpan w:val="2"/>
            <w:shd w:val="clear" w:color="auto" w:fill="CCEEFF"/>
          </w:tcPr>
          <w:p>
            <w:pPr>
              <w:jc w:val="right"/>
              <w:ind w:right="840"/>
              <w:spacing w:after="0"/>
              <w:rPr>
                <w:sz w:val="20"/>
                <w:szCs w:val="20"/>
                <w:color w:val="auto"/>
              </w:rPr>
            </w:pPr>
            <w:r>
              <w:rPr>
                <w:rFonts w:ascii="Times New Roman" w:cs="Times New Roman" w:eastAsia="Times New Roman" w:hAnsi="Times New Roman"/>
                <w:sz w:val="18"/>
                <w:szCs w:val="18"/>
                <w:color w:val="auto"/>
              </w:rPr>
              <w:t>13,182</w:t>
            </w: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8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Interested Director Nominees</w:t>
            </w:r>
          </w:p>
        </w:tc>
        <w:tc>
          <w:tcPr>
            <w:tcW w:w="9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Thomas J. Gahan</w:t>
            </w:r>
          </w:p>
        </w:tc>
        <w:tc>
          <w:tcPr>
            <w:tcW w:w="1740" w:type="dxa"/>
            <w:vAlign w:val="bottom"/>
            <w:gridSpan w:val="2"/>
            <w:shd w:val="clear" w:color="auto" w:fill="CCEEFF"/>
          </w:tcPr>
          <w:p>
            <w:pPr>
              <w:jc w:val="right"/>
              <w:ind w:right="8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Richard J. Byrne</w:t>
            </w:r>
          </w:p>
        </w:tc>
        <w:tc>
          <w:tcPr>
            <w:tcW w:w="1740" w:type="dxa"/>
            <w:vAlign w:val="bottom"/>
            <w:gridSpan w:val="2"/>
          </w:tcPr>
          <w:p>
            <w:pPr>
              <w:jc w:val="right"/>
              <w:ind w:right="8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Independent Director Nominees</w:t>
            </w:r>
          </w:p>
        </w:tc>
        <w:tc>
          <w:tcPr>
            <w:tcW w:w="9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Lee S. Hillman</w:t>
            </w:r>
          </w:p>
        </w:tc>
        <w:tc>
          <w:tcPr>
            <w:tcW w:w="1740" w:type="dxa"/>
            <w:vAlign w:val="bottom"/>
            <w:gridSpan w:val="2"/>
          </w:tcPr>
          <w:p>
            <w:pPr>
              <w:jc w:val="right"/>
              <w:ind w:right="8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Gary Katcher</w:t>
            </w:r>
          </w:p>
        </w:tc>
        <w:tc>
          <w:tcPr>
            <w:tcW w:w="1740" w:type="dxa"/>
            <w:vAlign w:val="bottom"/>
            <w:gridSpan w:val="2"/>
            <w:shd w:val="clear" w:color="auto" w:fill="CCEEFF"/>
          </w:tcPr>
          <w:p>
            <w:pPr>
              <w:jc w:val="right"/>
              <w:ind w:right="8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Ronald J. Kramer</w:t>
            </w:r>
          </w:p>
        </w:tc>
        <w:tc>
          <w:tcPr>
            <w:tcW w:w="1740" w:type="dxa"/>
            <w:vAlign w:val="bottom"/>
            <w:gridSpan w:val="2"/>
          </w:tcPr>
          <w:p>
            <w:pPr>
              <w:jc w:val="right"/>
              <w:ind w:right="8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Dennis M. Schaney</w:t>
            </w:r>
          </w:p>
        </w:tc>
        <w:tc>
          <w:tcPr>
            <w:tcW w:w="1740" w:type="dxa"/>
            <w:vAlign w:val="bottom"/>
            <w:gridSpan w:val="2"/>
            <w:shd w:val="clear" w:color="auto" w:fill="CCEEFF"/>
          </w:tcPr>
          <w:p>
            <w:pPr>
              <w:jc w:val="right"/>
              <w:ind w:right="8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Current Executive Officers</w:t>
            </w:r>
          </w:p>
        </w:tc>
        <w:tc>
          <w:tcPr>
            <w:tcW w:w="9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Saul B. Rosenthal(3)</w:t>
            </w:r>
          </w:p>
        </w:tc>
        <w:tc>
          <w:tcPr>
            <w:tcW w:w="1740" w:type="dxa"/>
            <w:vAlign w:val="bottom"/>
            <w:gridSpan w:val="2"/>
            <w:shd w:val="clear" w:color="auto" w:fill="CCEEFF"/>
          </w:tcPr>
          <w:p>
            <w:pPr>
              <w:jc w:val="right"/>
              <w:ind w:right="840"/>
              <w:spacing w:after="0"/>
              <w:rPr>
                <w:sz w:val="20"/>
                <w:szCs w:val="20"/>
                <w:color w:val="auto"/>
              </w:rPr>
            </w:pPr>
            <w:r>
              <w:rPr>
                <w:rFonts w:ascii="Times New Roman" w:cs="Times New Roman" w:eastAsia="Times New Roman" w:hAnsi="Times New Roman"/>
                <w:sz w:val="18"/>
                <w:szCs w:val="18"/>
                <w:color w:val="auto"/>
              </w:rPr>
              <w:t>107,547</w:t>
            </w: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Bruce L. Rubin</w:t>
            </w:r>
          </w:p>
        </w:tc>
        <w:tc>
          <w:tcPr>
            <w:tcW w:w="1740" w:type="dxa"/>
            <w:vAlign w:val="bottom"/>
            <w:gridSpan w:val="2"/>
          </w:tcPr>
          <w:p>
            <w:pPr>
              <w:jc w:val="right"/>
              <w:ind w:right="840"/>
              <w:spacing w:after="0"/>
              <w:rPr>
                <w:sz w:val="20"/>
                <w:szCs w:val="20"/>
                <w:color w:val="auto"/>
              </w:rPr>
            </w:pPr>
            <w:r>
              <w:rPr>
                <w:rFonts w:ascii="Times New Roman" w:cs="Times New Roman" w:eastAsia="Times New Roman" w:hAnsi="Times New Roman"/>
                <w:sz w:val="18"/>
                <w:szCs w:val="18"/>
                <w:color w:val="auto"/>
              </w:rPr>
              <w:t>8,212</w:t>
            </w: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Gerald Cummins</w:t>
            </w:r>
          </w:p>
        </w:tc>
        <w:tc>
          <w:tcPr>
            <w:tcW w:w="1740" w:type="dxa"/>
            <w:vAlign w:val="bottom"/>
            <w:gridSpan w:val="2"/>
            <w:shd w:val="clear" w:color="auto" w:fill="CCEEFF"/>
          </w:tcPr>
          <w:p>
            <w:pPr>
              <w:jc w:val="right"/>
              <w:ind w:right="8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8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Incoming Executive Officers</w:t>
            </w:r>
          </w:p>
        </w:tc>
        <w:tc>
          <w:tcPr>
            <w:tcW w:w="9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Bryan R. Martoken</w:t>
            </w:r>
          </w:p>
        </w:tc>
        <w:tc>
          <w:tcPr>
            <w:tcW w:w="1740" w:type="dxa"/>
            <w:vAlign w:val="bottom"/>
            <w:gridSpan w:val="2"/>
            <w:shd w:val="clear" w:color="auto" w:fill="CCEEFF"/>
          </w:tcPr>
          <w:p>
            <w:pPr>
              <w:jc w:val="right"/>
              <w:ind w:right="8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Alexander H. McMillan</w:t>
            </w:r>
          </w:p>
        </w:tc>
        <w:tc>
          <w:tcPr>
            <w:tcW w:w="1740" w:type="dxa"/>
            <w:vAlign w:val="bottom"/>
            <w:gridSpan w:val="2"/>
          </w:tcPr>
          <w:p>
            <w:pPr>
              <w:jc w:val="right"/>
              <w:ind w:right="8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Current Executive Officers and Directors as a Group</w:t>
            </w:r>
          </w:p>
        </w:tc>
        <w:tc>
          <w:tcPr>
            <w:tcW w:w="1740" w:type="dxa"/>
            <w:vAlign w:val="bottom"/>
            <w:gridSpan w:val="2"/>
            <w:shd w:val="clear" w:color="auto" w:fill="CCEEFF"/>
          </w:tcPr>
          <w:p>
            <w:pPr>
              <w:jc w:val="right"/>
              <w:ind w:right="840"/>
              <w:spacing w:after="0"/>
              <w:rPr>
                <w:sz w:val="20"/>
                <w:szCs w:val="20"/>
                <w:color w:val="auto"/>
              </w:rPr>
            </w:pPr>
            <w:r>
              <w:rPr>
                <w:rFonts w:ascii="Times New Roman" w:cs="Times New Roman" w:eastAsia="Times New Roman" w:hAnsi="Times New Roman"/>
                <w:sz w:val="18"/>
                <w:szCs w:val="18"/>
                <w:b w:val="1"/>
                <w:bCs w:val="1"/>
                <w:color w:val="auto"/>
              </w:rPr>
              <w:t>1,045,583</w:t>
            </w:r>
          </w:p>
        </w:tc>
        <w:tc>
          <w:tcPr>
            <w:tcW w:w="9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1.7%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85725</wp:posOffset>
            </wp:positionV>
            <wp:extent cx="72009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0090" cy="8890"/>
                    </a:xfrm>
                    <a:prstGeom prst="rect">
                      <a:avLst/>
                    </a:prstGeom>
                    <a:noFill/>
                  </pic:spPr>
                </pic:pic>
              </a:graphicData>
            </a:graphic>
          </wp:anchor>
        </w:drawing>
      </w:r>
    </w:p>
    <w:p>
      <w:pPr>
        <w:spacing w:after="0" w:line="149" w:lineRule="exact"/>
        <w:rPr>
          <w:sz w:val="20"/>
          <w:szCs w:val="20"/>
          <w:color w:val="auto"/>
        </w:rPr>
      </w:pPr>
    </w:p>
    <w:p>
      <w:pPr>
        <w:ind w:left="900" w:hanging="446"/>
        <w:spacing w:after="0"/>
        <w:tabs>
          <w:tab w:leader="none" w:pos="9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Represents less than one percent.</w:t>
      </w:r>
    </w:p>
    <w:p>
      <w:pPr>
        <w:spacing w:after="0" w:line="29" w:lineRule="exact"/>
        <w:rPr>
          <w:sz w:val="20"/>
          <w:szCs w:val="20"/>
          <w:color w:val="auto"/>
        </w:rPr>
      </w:pPr>
    </w:p>
    <w:p>
      <w:pPr>
        <w:ind w:left="900" w:right="40" w:hanging="446"/>
        <w:spacing w:after="0" w:line="254" w:lineRule="auto"/>
        <w:tabs>
          <w:tab w:leader="none" w:pos="900" w:val="left"/>
        </w:tabs>
        <w:numPr>
          <w:ilvl w:val="0"/>
          <w:numId w:val="2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Beneficial ownership has been determined in accordance with Rule 13d-3 under the Securities Exchange Act of 1934, as amended (the “Exchange Act”). Assumes no other purchases or sales of TICC common stock since the information most recently available to us. This assumption has been made under the rules and regulations of the SEC and does not reflect any knowledge that we have with regard to the present intent of the beneficial owners of TICC common stock listed in this table.</w:t>
      </w:r>
    </w:p>
    <w:p>
      <w:pPr>
        <w:spacing w:after="0" w:line="1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II-1</w:t>
      </w:r>
    </w:p>
    <w:p>
      <w:pPr>
        <w:sectPr>
          <w:pgSz w:w="11900" w:h="16838" w:orient="portrait"/>
          <w:cols w:equalWidth="0" w:num="1">
            <w:col w:w="11420"/>
          </w:cols>
          <w:pgMar w:left="240" w:top="266" w:right="239" w:bottom="1440" w:gutter="0" w:footer="0" w:header="0"/>
        </w:sectPr>
      </w:pPr>
    </w:p>
    <w:bookmarkStart w:id="26" w:name="page27"/>
    <w:bookmarkEnd w:id="26"/>
    <w:p>
      <w:pPr>
        <w:ind w:left="446" w:hanging="446"/>
        <w:spacing w:after="0"/>
        <w:tabs>
          <w:tab w:leader="none" w:pos="446" w:val="left"/>
        </w:tabs>
        <w:numPr>
          <w:ilvl w:val="0"/>
          <w:numId w:val="26"/>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Based on a total of 59,987,986 shares of the Company’s common stock issued and outstanding on the Record Date.</w:t>
      </w:r>
    </w:p>
    <w:p>
      <w:pPr>
        <w:spacing w:after="0" w:line="29" w:lineRule="exact"/>
        <w:rPr>
          <w:rFonts w:ascii="Times New Roman" w:cs="Times New Roman" w:eastAsia="Times New Roman" w:hAnsi="Times New Roman"/>
          <w:sz w:val="18"/>
          <w:szCs w:val="18"/>
          <w:i w:val="1"/>
          <w:iCs w:val="1"/>
          <w:color w:val="auto"/>
        </w:rPr>
      </w:pPr>
    </w:p>
    <w:p>
      <w:pPr>
        <w:ind w:left="446" w:right="260" w:hanging="446"/>
        <w:spacing w:after="0" w:line="250" w:lineRule="auto"/>
        <w:tabs>
          <w:tab w:leader="none" w:pos="446" w:val="left"/>
        </w:tabs>
        <w:numPr>
          <w:ilvl w:val="0"/>
          <w:numId w:val="26"/>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Includes 337 shares held by BDC Partners, which may be deemed to be beneficially owned by Messrs. Cohen and Rosenthal by virtue of their ownership interests therein.</w:t>
      </w:r>
    </w:p>
    <w:p>
      <w:pPr>
        <w:ind w:left="446" w:hanging="446"/>
        <w:spacing w:after="0" w:line="255" w:lineRule="auto"/>
        <w:tabs>
          <w:tab w:leader="none" w:pos="446" w:val="left"/>
        </w:tabs>
        <w:numPr>
          <w:ilvl w:val="0"/>
          <w:numId w:val="26"/>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Mr. Royce may be deemed to beneficially own 358,416 shares held by Royce Family Investments, LLC and 51,344 shares held by Royce Family Fund, Inc. Mr. Royce disclaims beneficial ownership of any shares directly held by Royce Family Fund, Inc. The address for both of these entities is 745 Fifth Avenue, New York, New York 10151.</w:t>
      </w:r>
    </w:p>
    <w:p>
      <w:pPr>
        <w:spacing w:after="0" w:line="78" w:lineRule="exact"/>
        <w:rPr>
          <w:sz w:val="20"/>
          <w:szCs w:val="20"/>
          <w:color w:val="auto"/>
        </w:rPr>
      </w:pPr>
    </w:p>
    <w:p>
      <w:pPr>
        <w:ind w:left="6"/>
        <w:spacing w:after="0"/>
        <w:rPr>
          <w:sz w:val="20"/>
          <w:szCs w:val="20"/>
          <w:color w:val="auto"/>
        </w:rPr>
      </w:pPr>
      <w:r>
        <w:rPr>
          <w:rFonts w:ascii="Times New Roman" w:cs="Times New Roman" w:eastAsia="Times New Roman" w:hAnsi="Times New Roman"/>
          <w:sz w:val="18"/>
          <w:szCs w:val="18"/>
          <w:color w:val="auto"/>
        </w:rPr>
        <w:t>Set forth below is the dollar range of equity securities beneficially owned by each of the Company’s directors as of the Record Date.</w:t>
      </w:r>
    </w:p>
    <w:p>
      <w:pPr>
        <w:spacing w:after="0" w:line="233" w:lineRule="exact"/>
        <w:rPr>
          <w:sz w:val="20"/>
          <w:szCs w:val="20"/>
          <w:color w:val="auto"/>
        </w:rPr>
      </w:pPr>
    </w:p>
    <w:tbl>
      <w:tblPr>
        <w:tblLayout w:type="fixed"/>
        <w:tblInd w:w="466" w:type="dxa"/>
        <w:tblCellMar>
          <w:top w:w="0" w:type="dxa"/>
          <w:left w:w="0" w:type="dxa"/>
          <w:bottom w:w="0" w:type="dxa"/>
          <w:right w:w="0" w:type="dxa"/>
        </w:tblCellMar>
      </w:tblPr>
      <w:tr>
        <w:trPr>
          <w:trHeight w:val="161"/>
        </w:trPr>
        <w:tc>
          <w:tcPr>
            <w:tcW w:w="1080" w:type="dxa"/>
            <w:vAlign w:val="bottom"/>
          </w:tcPr>
          <w:p>
            <w:pPr>
              <w:spacing w:after="0"/>
              <w:rPr>
                <w:sz w:val="13"/>
                <w:szCs w:val="13"/>
                <w:color w:val="auto"/>
              </w:rPr>
            </w:pPr>
          </w:p>
        </w:tc>
        <w:tc>
          <w:tcPr>
            <w:tcW w:w="6580" w:type="dxa"/>
            <w:vAlign w:val="bottom"/>
          </w:tcPr>
          <w:p>
            <w:pPr>
              <w:spacing w:after="0"/>
              <w:rPr>
                <w:sz w:val="13"/>
                <w:szCs w:val="13"/>
                <w:color w:val="auto"/>
              </w:rPr>
            </w:pPr>
          </w:p>
        </w:tc>
        <w:tc>
          <w:tcPr>
            <w:tcW w:w="192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Dollar Range of</w:t>
            </w:r>
          </w:p>
        </w:tc>
        <w:tc>
          <w:tcPr>
            <w:tcW w:w="0" w:type="dxa"/>
            <w:vAlign w:val="bottom"/>
          </w:tcPr>
          <w:p>
            <w:pPr>
              <w:spacing w:after="0"/>
              <w:rPr>
                <w:sz w:val="1"/>
                <w:szCs w:val="1"/>
                <w:color w:val="auto"/>
              </w:rPr>
            </w:pPr>
          </w:p>
        </w:tc>
      </w:tr>
      <w:tr>
        <w:trPr>
          <w:trHeight w:val="149"/>
        </w:trPr>
        <w:tc>
          <w:tcPr>
            <w:tcW w:w="1080" w:type="dxa"/>
            <w:vAlign w:val="bottom"/>
          </w:tcPr>
          <w:p>
            <w:pPr>
              <w:spacing w:after="0"/>
              <w:rPr>
                <w:sz w:val="12"/>
                <w:szCs w:val="12"/>
                <w:color w:val="auto"/>
              </w:rPr>
            </w:pPr>
          </w:p>
        </w:tc>
        <w:tc>
          <w:tcPr>
            <w:tcW w:w="6580" w:type="dxa"/>
            <w:vAlign w:val="bottom"/>
          </w:tcPr>
          <w:p>
            <w:pPr>
              <w:spacing w:after="0"/>
              <w:rPr>
                <w:sz w:val="12"/>
                <w:szCs w:val="12"/>
                <w:color w:val="auto"/>
              </w:rPr>
            </w:pPr>
          </w:p>
        </w:tc>
        <w:tc>
          <w:tcPr>
            <w:tcW w:w="192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Equity Securities</w:t>
            </w:r>
          </w:p>
        </w:tc>
        <w:tc>
          <w:tcPr>
            <w:tcW w:w="0" w:type="dxa"/>
            <w:vAlign w:val="bottom"/>
          </w:tcPr>
          <w:p>
            <w:pPr>
              <w:spacing w:after="0"/>
              <w:rPr>
                <w:sz w:val="1"/>
                <w:szCs w:val="1"/>
                <w:color w:val="auto"/>
              </w:rPr>
            </w:pPr>
          </w:p>
        </w:tc>
      </w:tr>
      <w:tr>
        <w:trPr>
          <w:trHeight w:val="149"/>
        </w:trPr>
        <w:tc>
          <w:tcPr>
            <w:tcW w:w="10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of Director</w:t>
            </w:r>
          </w:p>
        </w:tc>
        <w:tc>
          <w:tcPr>
            <w:tcW w:w="6580" w:type="dxa"/>
            <w:vAlign w:val="bottom"/>
            <w:vMerge w:val="restart"/>
          </w:tcPr>
          <w:p>
            <w:pPr>
              <w:spacing w:after="0"/>
              <w:rPr>
                <w:sz w:val="12"/>
                <w:szCs w:val="12"/>
                <w:color w:val="auto"/>
              </w:rPr>
            </w:pPr>
          </w:p>
        </w:tc>
        <w:tc>
          <w:tcPr>
            <w:tcW w:w="192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Beneficially</w:t>
            </w:r>
          </w:p>
        </w:tc>
        <w:tc>
          <w:tcPr>
            <w:tcW w:w="0" w:type="dxa"/>
            <w:vAlign w:val="bottom"/>
          </w:tcPr>
          <w:p>
            <w:pPr>
              <w:spacing w:after="0"/>
              <w:rPr>
                <w:sz w:val="1"/>
                <w:szCs w:val="1"/>
                <w:color w:val="auto"/>
              </w:rPr>
            </w:pPr>
          </w:p>
        </w:tc>
      </w:tr>
      <w:tr>
        <w:trPr>
          <w:trHeight w:val="180"/>
        </w:trPr>
        <w:tc>
          <w:tcPr>
            <w:tcW w:w="1080" w:type="dxa"/>
            <w:vAlign w:val="bottom"/>
            <w:tcBorders>
              <w:bottom w:val="single" w:sz="8" w:color="auto"/>
            </w:tcBorders>
            <w:vMerge w:val="continue"/>
          </w:tcPr>
          <w:p>
            <w:pPr>
              <w:spacing w:after="0"/>
              <w:rPr>
                <w:sz w:val="15"/>
                <w:szCs w:val="15"/>
                <w:color w:val="auto"/>
              </w:rPr>
            </w:pPr>
          </w:p>
        </w:tc>
        <w:tc>
          <w:tcPr>
            <w:tcW w:w="6580" w:type="dxa"/>
            <w:vAlign w:val="bottom"/>
            <w:vMerge w:val="continue"/>
          </w:tcPr>
          <w:p>
            <w:pPr>
              <w:spacing w:after="0"/>
              <w:rPr>
                <w:sz w:val="15"/>
                <w:szCs w:val="15"/>
                <w:color w:val="auto"/>
              </w:rPr>
            </w:pPr>
          </w:p>
        </w:tc>
        <w:tc>
          <w:tcPr>
            <w:tcW w:w="1920" w:type="dxa"/>
            <w:vAlign w:val="bottom"/>
            <w:gridSpan w:val="2"/>
          </w:tcPr>
          <w:p>
            <w:pPr>
              <w:jc w:val="center"/>
              <w:ind w:right="140"/>
              <w:spacing w:after="0" w:line="160" w:lineRule="exact"/>
              <w:rPr>
                <w:sz w:val="20"/>
                <w:szCs w:val="20"/>
                <w:color w:val="auto"/>
              </w:rPr>
            </w:pPr>
            <w:r>
              <w:rPr>
                <w:rFonts w:ascii="Times New Roman" w:cs="Times New Roman" w:eastAsia="Times New Roman" w:hAnsi="Times New Roman"/>
                <w:sz w:val="14"/>
                <w:szCs w:val="14"/>
                <w:b w:val="1"/>
                <w:bCs w:val="1"/>
                <w:color w:val="auto"/>
              </w:rPr>
              <w:t>Owned (1)(2)</w:t>
            </w:r>
          </w:p>
        </w:tc>
        <w:tc>
          <w:tcPr>
            <w:tcW w:w="0" w:type="dxa"/>
            <w:vAlign w:val="bottom"/>
          </w:tcPr>
          <w:p>
            <w:pPr>
              <w:spacing w:after="0"/>
              <w:rPr>
                <w:sz w:val="1"/>
                <w:szCs w:val="1"/>
                <w:color w:val="auto"/>
              </w:rPr>
            </w:pPr>
          </w:p>
        </w:tc>
      </w:tr>
      <w:tr>
        <w:trPr>
          <w:trHeight w:val="190"/>
        </w:trPr>
        <w:tc>
          <w:tcPr>
            <w:tcW w:w="7660" w:type="dxa"/>
            <w:vAlign w:val="bottom"/>
            <w:tcBorders>
              <w:top w:val="single" w:sz="8" w:color="CCEEFF"/>
            </w:tcBorders>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auto"/>
              </w:rPr>
              <w:t>Interested Directors</w:t>
            </w:r>
          </w:p>
        </w:tc>
        <w:tc>
          <w:tcPr>
            <w:tcW w:w="180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7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Jonathan H. Cohen</w:t>
            </w:r>
          </w:p>
        </w:tc>
        <w:tc>
          <w:tcPr>
            <w:tcW w:w="1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Over $100,000</w:t>
            </w:r>
          </w:p>
        </w:tc>
        <w:tc>
          <w:tcPr>
            <w:tcW w:w="0" w:type="dxa"/>
            <w:vAlign w:val="bottom"/>
          </w:tcPr>
          <w:p>
            <w:pPr>
              <w:spacing w:after="0"/>
              <w:rPr>
                <w:sz w:val="1"/>
                <w:szCs w:val="1"/>
                <w:color w:val="auto"/>
              </w:rPr>
            </w:pPr>
          </w:p>
        </w:tc>
      </w:tr>
      <w:tr>
        <w:trPr>
          <w:trHeight w:val="216"/>
        </w:trPr>
        <w:tc>
          <w:tcPr>
            <w:tcW w:w="7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Charles M. Royce</w:t>
            </w:r>
          </w:p>
        </w:tc>
        <w:tc>
          <w:tcPr>
            <w:tcW w:w="1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Over $100,000</w:t>
            </w:r>
          </w:p>
        </w:tc>
        <w:tc>
          <w:tcPr>
            <w:tcW w:w="0" w:type="dxa"/>
            <w:vAlign w:val="bottom"/>
          </w:tcPr>
          <w:p>
            <w:pPr>
              <w:spacing w:after="0"/>
              <w:rPr>
                <w:sz w:val="1"/>
                <w:szCs w:val="1"/>
                <w:color w:val="auto"/>
              </w:rPr>
            </w:pPr>
          </w:p>
        </w:tc>
      </w:tr>
      <w:tr>
        <w:trPr>
          <w:trHeight w:val="216"/>
        </w:trPr>
        <w:tc>
          <w:tcPr>
            <w:tcW w:w="76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Independent Directors</w:t>
            </w:r>
          </w:p>
        </w:tc>
        <w:tc>
          <w:tcPr>
            <w:tcW w:w="1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Steven P. Novak</w:t>
            </w:r>
          </w:p>
        </w:tc>
        <w:tc>
          <w:tcPr>
            <w:tcW w:w="1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$50,001 –$100,000</w:t>
            </w:r>
          </w:p>
        </w:tc>
        <w:tc>
          <w:tcPr>
            <w:tcW w:w="0" w:type="dxa"/>
            <w:vAlign w:val="bottom"/>
          </w:tcPr>
          <w:p>
            <w:pPr>
              <w:spacing w:after="0"/>
              <w:rPr>
                <w:sz w:val="1"/>
                <w:szCs w:val="1"/>
                <w:color w:val="auto"/>
              </w:rPr>
            </w:pPr>
          </w:p>
        </w:tc>
      </w:tr>
      <w:tr>
        <w:trPr>
          <w:trHeight w:val="216"/>
        </w:trPr>
        <w:tc>
          <w:tcPr>
            <w:tcW w:w="7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 Peter O’Brien</w:t>
            </w:r>
          </w:p>
        </w:tc>
        <w:tc>
          <w:tcPr>
            <w:tcW w:w="1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Over $100,000</w:t>
            </w:r>
          </w:p>
        </w:tc>
        <w:tc>
          <w:tcPr>
            <w:tcW w:w="0" w:type="dxa"/>
            <w:vAlign w:val="bottom"/>
          </w:tcPr>
          <w:p>
            <w:pPr>
              <w:spacing w:after="0"/>
              <w:rPr>
                <w:sz w:val="1"/>
                <w:szCs w:val="1"/>
                <w:color w:val="auto"/>
              </w:rPr>
            </w:pPr>
          </w:p>
        </w:tc>
      </w:tr>
      <w:tr>
        <w:trPr>
          <w:trHeight w:val="216"/>
        </w:trPr>
        <w:tc>
          <w:tcPr>
            <w:tcW w:w="7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Tonia L. Pankopf</w:t>
            </w:r>
          </w:p>
        </w:tc>
        <w:tc>
          <w:tcPr>
            <w:tcW w:w="1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$50,001 –$100,000</w:t>
            </w:r>
          </w:p>
        </w:tc>
        <w:tc>
          <w:tcPr>
            <w:tcW w:w="0" w:type="dxa"/>
            <w:vAlign w:val="bottom"/>
          </w:tcPr>
          <w:p>
            <w:pPr>
              <w:spacing w:after="0"/>
              <w:rPr>
                <w:sz w:val="1"/>
                <w:szCs w:val="1"/>
                <w:color w:val="auto"/>
              </w:rPr>
            </w:pPr>
          </w:p>
        </w:tc>
      </w:tr>
      <w:tr>
        <w:trPr>
          <w:trHeight w:val="216"/>
        </w:trPr>
        <w:tc>
          <w:tcPr>
            <w:tcW w:w="76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Interested Director Nominees</w:t>
            </w:r>
          </w:p>
        </w:tc>
        <w:tc>
          <w:tcPr>
            <w:tcW w:w="1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Thomas J. Gahan</w:t>
            </w:r>
          </w:p>
        </w:tc>
        <w:tc>
          <w:tcPr>
            <w:tcW w:w="1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None</w:t>
            </w:r>
          </w:p>
        </w:tc>
        <w:tc>
          <w:tcPr>
            <w:tcW w:w="0" w:type="dxa"/>
            <w:vAlign w:val="bottom"/>
          </w:tcPr>
          <w:p>
            <w:pPr>
              <w:spacing w:after="0"/>
              <w:rPr>
                <w:sz w:val="1"/>
                <w:szCs w:val="1"/>
                <w:color w:val="auto"/>
              </w:rPr>
            </w:pPr>
          </w:p>
        </w:tc>
      </w:tr>
      <w:tr>
        <w:trPr>
          <w:trHeight w:val="216"/>
        </w:trPr>
        <w:tc>
          <w:tcPr>
            <w:tcW w:w="7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Richard J. Byrne</w:t>
            </w:r>
          </w:p>
        </w:tc>
        <w:tc>
          <w:tcPr>
            <w:tcW w:w="1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None</w:t>
            </w:r>
          </w:p>
        </w:tc>
        <w:tc>
          <w:tcPr>
            <w:tcW w:w="0" w:type="dxa"/>
            <w:vAlign w:val="bottom"/>
          </w:tcPr>
          <w:p>
            <w:pPr>
              <w:spacing w:after="0"/>
              <w:rPr>
                <w:sz w:val="1"/>
                <w:szCs w:val="1"/>
                <w:color w:val="auto"/>
              </w:rPr>
            </w:pPr>
          </w:p>
        </w:tc>
      </w:tr>
      <w:tr>
        <w:trPr>
          <w:trHeight w:val="216"/>
        </w:trPr>
        <w:tc>
          <w:tcPr>
            <w:tcW w:w="7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Independent Director Nominees</w:t>
            </w:r>
          </w:p>
        </w:tc>
        <w:tc>
          <w:tcPr>
            <w:tcW w:w="1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Lee S. Hillman</w:t>
            </w:r>
          </w:p>
        </w:tc>
        <w:tc>
          <w:tcPr>
            <w:tcW w:w="1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None</w:t>
            </w:r>
          </w:p>
        </w:tc>
        <w:tc>
          <w:tcPr>
            <w:tcW w:w="0" w:type="dxa"/>
            <w:vAlign w:val="bottom"/>
          </w:tcPr>
          <w:p>
            <w:pPr>
              <w:spacing w:after="0"/>
              <w:rPr>
                <w:sz w:val="1"/>
                <w:szCs w:val="1"/>
                <w:color w:val="auto"/>
              </w:rPr>
            </w:pPr>
          </w:p>
        </w:tc>
      </w:tr>
      <w:tr>
        <w:trPr>
          <w:trHeight w:val="216"/>
        </w:trPr>
        <w:tc>
          <w:tcPr>
            <w:tcW w:w="7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Gary Katcher</w:t>
            </w:r>
          </w:p>
        </w:tc>
        <w:tc>
          <w:tcPr>
            <w:tcW w:w="1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None</w:t>
            </w:r>
          </w:p>
        </w:tc>
        <w:tc>
          <w:tcPr>
            <w:tcW w:w="0" w:type="dxa"/>
            <w:vAlign w:val="bottom"/>
          </w:tcPr>
          <w:p>
            <w:pPr>
              <w:spacing w:after="0"/>
              <w:rPr>
                <w:sz w:val="1"/>
                <w:szCs w:val="1"/>
                <w:color w:val="auto"/>
              </w:rPr>
            </w:pPr>
          </w:p>
        </w:tc>
      </w:tr>
      <w:tr>
        <w:trPr>
          <w:trHeight w:val="216"/>
        </w:trPr>
        <w:tc>
          <w:tcPr>
            <w:tcW w:w="7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Ronald J. Kramer</w:t>
            </w:r>
          </w:p>
        </w:tc>
        <w:tc>
          <w:tcPr>
            <w:tcW w:w="1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None</w:t>
            </w:r>
          </w:p>
        </w:tc>
        <w:tc>
          <w:tcPr>
            <w:tcW w:w="0" w:type="dxa"/>
            <w:vAlign w:val="bottom"/>
          </w:tcPr>
          <w:p>
            <w:pPr>
              <w:spacing w:after="0"/>
              <w:rPr>
                <w:sz w:val="1"/>
                <w:szCs w:val="1"/>
                <w:color w:val="auto"/>
              </w:rPr>
            </w:pPr>
          </w:p>
        </w:tc>
      </w:tr>
      <w:tr>
        <w:trPr>
          <w:trHeight w:val="216"/>
        </w:trPr>
        <w:tc>
          <w:tcPr>
            <w:tcW w:w="7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Dennis M. Schaney</w:t>
            </w:r>
          </w:p>
        </w:tc>
        <w:tc>
          <w:tcPr>
            <w:tcW w:w="1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None</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300355</wp:posOffset>
            </wp:positionH>
            <wp:positionV relativeFrom="paragraph">
              <wp:posOffset>85725</wp:posOffset>
            </wp:positionV>
            <wp:extent cx="72009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0090" cy="8890"/>
                    </a:xfrm>
                    <a:prstGeom prst="rect">
                      <a:avLst/>
                    </a:prstGeom>
                    <a:noFill/>
                  </pic:spPr>
                </pic:pic>
              </a:graphicData>
            </a:graphic>
          </wp:anchor>
        </w:drawing>
      </w:r>
    </w:p>
    <w:p>
      <w:pPr>
        <w:spacing w:after="0" w:line="149" w:lineRule="exact"/>
        <w:rPr>
          <w:sz w:val="20"/>
          <w:szCs w:val="20"/>
          <w:color w:val="auto"/>
        </w:rPr>
      </w:pPr>
    </w:p>
    <w:p>
      <w:pPr>
        <w:ind w:left="1026" w:hanging="567"/>
        <w:spacing w:after="0"/>
        <w:tabs>
          <w:tab w:leader="none" w:pos="1026" w:val="left"/>
        </w:tabs>
        <w:numPr>
          <w:ilvl w:val="0"/>
          <w:numId w:val="27"/>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The dollar ranges are: None, $1 – $10,000, $10,001 – $50,000, $50,001 – $100,000, or Over $100,000.</w:t>
      </w:r>
    </w:p>
    <w:p>
      <w:pPr>
        <w:spacing w:after="0" w:line="29" w:lineRule="exact"/>
        <w:rPr>
          <w:rFonts w:ascii="Times New Roman" w:cs="Times New Roman" w:eastAsia="Times New Roman" w:hAnsi="Times New Roman"/>
          <w:sz w:val="18"/>
          <w:szCs w:val="18"/>
          <w:i w:val="1"/>
          <w:iCs w:val="1"/>
          <w:color w:val="auto"/>
        </w:rPr>
      </w:pPr>
    </w:p>
    <w:p>
      <w:pPr>
        <w:ind w:left="1026" w:right="180" w:hanging="567"/>
        <w:spacing w:after="0" w:line="255" w:lineRule="auto"/>
        <w:tabs>
          <w:tab w:leader="none" w:pos="1026" w:val="left"/>
        </w:tabs>
        <w:numPr>
          <w:ilvl w:val="0"/>
          <w:numId w:val="27"/>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The dollar range of equity securities beneficially owned in us is based on the closing price for TICC common stock of $6.73 on the Record Date on the NASDAQ Global Select Market. Beneficial ownership has been determined in accordance with Rule 16a-1(a)(2) of the Exchange Act.</w:t>
      </w:r>
    </w:p>
    <w:p>
      <w:pPr>
        <w:spacing w:after="0" w:line="119" w:lineRule="exact"/>
        <w:rPr>
          <w:sz w:val="20"/>
          <w:szCs w:val="20"/>
          <w:color w:val="auto"/>
        </w:rPr>
      </w:pPr>
    </w:p>
    <w:p>
      <w:pPr>
        <w:jc w:val="center"/>
        <w:ind w:right="394"/>
        <w:spacing w:after="0"/>
        <w:rPr>
          <w:sz w:val="20"/>
          <w:szCs w:val="20"/>
          <w:color w:val="auto"/>
        </w:rPr>
      </w:pPr>
      <w:r>
        <w:rPr>
          <w:rFonts w:ascii="Times New Roman" w:cs="Times New Roman" w:eastAsia="Times New Roman" w:hAnsi="Times New Roman"/>
          <w:sz w:val="18"/>
          <w:szCs w:val="18"/>
          <w:color w:val="auto"/>
        </w:rPr>
        <w:t>II-2</w:t>
      </w:r>
    </w:p>
    <w:p>
      <w:pPr>
        <w:sectPr>
          <w:pgSz w:w="11900" w:h="16838" w:orient="portrait"/>
          <w:cols w:equalWidth="0" w:num="1">
            <w:col w:w="10926"/>
          </w:cols>
          <w:pgMar w:left="694" w:top="268" w:right="279" w:bottom="1440" w:gutter="0" w:footer="0" w:header="0"/>
        </w:sectPr>
      </w:pPr>
    </w:p>
    <w:bookmarkStart w:id="27" w:name="page28"/>
    <w:bookmarkEnd w:id="27"/>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IMPORTANT</w:t>
      </w:r>
    </w:p>
    <w:p>
      <w:pPr>
        <w:spacing w:after="0" w:line="225" w:lineRule="exact"/>
        <w:rPr>
          <w:sz w:val="20"/>
          <w:szCs w:val="20"/>
          <w:color w:val="auto"/>
        </w:rPr>
      </w:pPr>
    </w:p>
    <w:p>
      <w:pPr>
        <w:ind w:firstLine="456"/>
        <w:spacing w:after="0" w:line="286" w:lineRule="auto"/>
        <w:rPr>
          <w:sz w:val="20"/>
          <w:szCs w:val="20"/>
          <w:color w:val="auto"/>
        </w:rPr>
      </w:pPr>
      <w:r>
        <w:rPr>
          <w:rFonts w:ascii="Times New Roman" w:cs="Times New Roman" w:eastAsia="Times New Roman" w:hAnsi="Times New Roman"/>
          <w:sz w:val="18"/>
          <w:szCs w:val="18"/>
          <w:color w:val="auto"/>
        </w:rPr>
        <w:t xml:space="preserve">Tell your Board what you think! Your vote is important. No matter how many Shares you own, please give TSLX your proxy </w:t>
      </w:r>
      <w:r>
        <w:rPr>
          <w:rFonts w:ascii="Times New Roman" w:cs="Times New Roman" w:eastAsia="Times New Roman" w:hAnsi="Times New Roman"/>
          <w:sz w:val="18"/>
          <w:szCs w:val="18"/>
          <w:b w:val="1"/>
          <w:bCs w:val="1"/>
          <w:color w:val="auto"/>
        </w:rPr>
        <w:t>AGAINST</w:t>
      </w:r>
      <w:r>
        <w:rPr>
          <w:rFonts w:ascii="Times New Roman" w:cs="Times New Roman" w:eastAsia="Times New Roman" w:hAnsi="Times New Roman"/>
          <w:sz w:val="18"/>
          <w:szCs w:val="18"/>
          <w:color w:val="auto"/>
        </w:rPr>
        <w:t xml:space="preserve"> Proposals 1, 2 and 3 by taking three steps:</w:t>
      </w:r>
    </w:p>
    <w:p>
      <w:pPr>
        <w:spacing w:after="0" w:line="60" w:lineRule="exact"/>
        <w:rPr>
          <w:sz w:val="20"/>
          <w:szCs w:val="20"/>
          <w:color w:val="auto"/>
        </w:rPr>
      </w:pPr>
    </w:p>
    <w:p>
      <w:pPr>
        <w:ind w:left="900" w:hanging="325"/>
        <w:spacing w:after="0"/>
        <w:tabs>
          <w:tab w:leader="none" w:pos="9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SIGNING </w:t>
      </w:r>
      <w:r>
        <w:rPr>
          <w:rFonts w:ascii="Times New Roman" w:cs="Times New Roman" w:eastAsia="Times New Roman" w:hAnsi="Times New Roman"/>
          <w:sz w:val="18"/>
          <w:szCs w:val="18"/>
          <w:color w:val="auto"/>
        </w:rPr>
        <w:t>the enclosed</w:t>
      </w:r>
      <w:r>
        <w:rPr>
          <w:rFonts w:ascii="Times New Roman" w:cs="Times New Roman" w:eastAsia="Times New Roman" w:hAnsi="Times New Roman"/>
          <w:sz w:val="18"/>
          <w:szCs w:val="18"/>
          <w:b w:val="1"/>
          <w:bCs w:val="1"/>
          <w:color w:val="auto"/>
        </w:rPr>
        <w:t xml:space="preserve"> GOLD </w:t>
      </w:r>
      <w:r>
        <w:rPr>
          <w:rFonts w:ascii="Times New Roman" w:cs="Times New Roman" w:eastAsia="Times New Roman" w:hAnsi="Times New Roman"/>
          <w:sz w:val="18"/>
          <w:szCs w:val="18"/>
          <w:color w:val="auto"/>
        </w:rPr>
        <w:t>proxy card,</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DATING </w:t>
      </w:r>
      <w:r>
        <w:rPr>
          <w:rFonts w:ascii="Times New Roman" w:cs="Times New Roman" w:eastAsia="Times New Roman" w:hAnsi="Times New Roman"/>
          <w:sz w:val="18"/>
          <w:szCs w:val="18"/>
          <w:color w:val="auto"/>
        </w:rPr>
        <w:t>the enclosed</w:t>
      </w:r>
      <w:r>
        <w:rPr>
          <w:rFonts w:ascii="Times New Roman" w:cs="Times New Roman" w:eastAsia="Times New Roman" w:hAnsi="Times New Roman"/>
          <w:sz w:val="18"/>
          <w:szCs w:val="18"/>
          <w:b w:val="1"/>
          <w:bCs w:val="1"/>
          <w:color w:val="auto"/>
        </w:rPr>
        <w:t xml:space="preserve"> GOLD </w:t>
      </w:r>
      <w:r>
        <w:rPr>
          <w:rFonts w:ascii="Times New Roman" w:cs="Times New Roman" w:eastAsia="Times New Roman" w:hAnsi="Times New Roman"/>
          <w:sz w:val="18"/>
          <w:szCs w:val="18"/>
          <w:color w:val="auto"/>
        </w:rPr>
        <w:t>proxy card, and</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MAILING </w:t>
      </w:r>
      <w:r>
        <w:rPr>
          <w:rFonts w:ascii="Times New Roman" w:cs="Times New Roman" w:eastAsia="Times New Roman" w:hAnsi="Times New Roman"/>
          <w:sz w:val="18"/>
          <w:szCs w:val="18"/>
          <w:color w:val="auto"/>
        </w:rPr>
        <w:t>the enclosed</w:t>
      </w:r>
      <w:r>
        <w:rPr>
          <w:rFonts w:ascii="Times New Roman" w:cs="Times New Roman" w:eastAsia="Times New Roman" w:hAnsi="Times New Roman"/>
          <w:sz w:val="18"/>
          <w:szCs w:val="18"/>
          <w:b w:val="1"/>
          <w:bCs w:val="1"/>
          <w:color w:val="auto"/>
        </w:rPr>
        <w:t xml:space="preserve"> GOLD </w:t>
      </w:r>
      <w:r>
        <w:rPr>
          <w:rFonts w:ascii="Times New Roman" w:cs="Times New Roman" w:eastAsia="Times New Roman" w:hAnsi="Times New Roman"/>
          <w:sz w:val="18"/>
          <w:szCs w:val="18"/>
          <w:color w:val="auto"/>
        </w:rPr>
        <w:t>proxy card</w:t>
      </w:r>
      <w:r>
        <w:rPr>
          <w:rFonts w:ascii="Times New Roman" w:cs="Times New Roman" w:eastAsia="Times New Roman" w:hAnsi="Times New Roman"/>
          <w:sz w:val="18"/>
          <w:szCs w:val="18"/>
          <w:b w:val="1"/>
          <w:bCs w:val="1"/>
          <w:color w:val="auto"/>
        </w:rPr>
        <w:t xml:space="preserve"> TODAY </w:t>
      </w:r>
      <w:r>
        <w:rPr>
          <w:rFonts w:ascii="Times New Roman" w:cs="Times New Roman" w:eastAsia="Times New Roman" w:hAnsi="Times New Roman"/>
          <w:sz w:val="18"/>
          <w:szCs w:val="18"/>
          <w:color w:val="auto"/>
        </w:rPr>
        <w:t>in the envelope provided (no postage is required if mailed in the United States).</w:t>
      </w:r>
    </w:p>
    <w:p>
      <w:pPr>
        <w:spacing w:after="0" w:line="229" w:lineRule="exact"/>
        <w:rPr>
          <w:sz w:val="20"/>
          <w:szCs w:val="20"/>
          <w:color w:val="auto"/>
        </w:rPr>
      </w:pPr>
    </w:p>
    <w:p>
      <w:pPr>
        <w:ind w:right="60" w:firstLine="456"/>
        <w:spacing w:after="0" w:line="261" w:lineRule="auto"/>
        <w:rPr>
          <w:sz w:val="20"/>
          <w:szCs w:val="20"/>
          <w:color w:val="auto"/>
        </w:rPr>
      </w:pPr>
      <w:r>
        <w:rPr>
          <w:rFonts w:ascii="Times New Roman" w:cs="Times New Roman" w:eastAsia="Times New Roman" w:hAnsi="Times New Roman"/>
          <w:sz w:val="18"/>
          <w:szCs w:val="18"/>
          <w:color w:val="auto"/>
        </w:rPr>
        <w:t xml:space="preserve">If any of your Shares are held in the name of a brokerage firm, bank, bank nominee or other institution, only it can vote such Shares and only upon receipt of your specific instructions. Accordingly, please contact the person responsible for your account and instruct that person to execute the </w:t>
      </w:r>
      <w:r>
        <w:rPr>
          <w:rFonts w:ascii="Times New Roman" w:cs="Times New Roman" w:eastAsia="Times New Roman" w:hAnsi="Times New Roman"/>
          <w:sz w:val="18"/>
          <w:szCs w:val="18"/>
          <w:b w:val="1"/>
          <w:bCs w:val="1"/>
          <w:color w:val="auto"/>
        </w:rPr>
        <w:t>GOLD</w:t>
      </w:r>
      <w:r>
        <w:rPr>
          <w:rFonts w:ascii="Times New Roman" w:cs="Times New Roman" w:eastAsia="Times New Roman" w:hAnsi="Times New Roman"/>
          <w:sz w:val="18"/>
          <w:szCs w:val="18"/>
          <w:color w:val="auto"/>
        </w:rPr>
        <w:t xml:space="preserve"> proxy card representing your Shares. TSLX urges you to confirm in writing your instructions to TSLX in care of MacKenzie Partners at the address provided below so that TSLX will be aware of all instructions given and can attempt to ensure that such instructions are followed.</w:t>
      </w:r>
    </w:p>
    <w:p>
      <w:pPr>
        <w:spacing w:after="0" w:line="180" w:lineRule="exact"/>
        <w:rPr>
          <w:sz w:val="20"/>
          <w:szCs w:val="20"/>
          <w:color w:val="auto"/>
        </w:rPr>
      </w:pPr>
    </w:p>
    <w:p>
      <w:pPr>
        <w:ind w:right="120" w:firstLine="456"/>
        <w:spacing w:after="0" w:line="282" w:lineRule="auto"/>
        <w:rPr>
          <w:sz w:val="20"/>
          <w:szCs w:val="20"/>
          <w:color w:val="auto"/>
        </w:rPr>
      </w:pPr>
      <w:r>
        <w:rPr>
          <w:rFonts w:ascii="Times New Roman" w:cs="Times New Roman" w:eastAsia="Times New Roman" w:hAnsi="Times New Roman"/>
          <w:sz w:val="18"/>
          <w:szCs w:val="18"/>
          <w:color w:val="auto"/>
        </w:rPr>
        <w:t>If you have any questions or require any additional information concerning this Proxy Statement, please contact MacKenzie Partners at the address set forth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131445</wp:posOffset>
            </wp:positionV>
            <wp:extent cx="7254875" cy="131191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54875" cy="13119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105 Madison Avenue</w:t>
      </w:r>
    </w:p>
    <w:p>
      <w:pPr>
        <w:spacing w:after="0" w:line="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New York, New York 10016</w:t>
      </w:r>
    </w:p>
    <w:p>
      <w:pPr>
        <w:spacing w:after="0" w:line="9" w:lineRule="exact"/>
        <w:rPr>
          <w:sz w:val="20"/>
          <w:szCs w:val="20"/>
          <w:color w:val="auto"/>
        </w:rPr>
      </w:pPr>
    </w:p>
    <w:p>
      <w:pPr>
        <w:jc w:val="both"/>
        <w:ind w:left="4620" w:right="4600" w:firstLine="18"/>
        <w:spacing w:after="0" w:line="265" w:lineRule="auto"/>
        <w:tabs>
          <w:tab w:leader="none" w:pos="5078" w:val="left"/>
        </w:tabs>
        <w:numPr>
          <w:ilvl w:val="0"/>
          <w:numId w:val="29"/>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929-5500 (Call Collect) TPG@mackenziepartners.com</w:t>
      </w:r>
    </w:p>
    <w:p>
      <w:pPr>
        <w:ind w:left="5640"/>
        <w:spacing w:after="0"/>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8"/>
          <w:szCs w:val="18"/>
          <w:i w:val="1"/>
          <w:iCs w:val="1"/>
          <w:color w:val="auto"/>
        </w:rPr>
        <w:t>or</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CALL TOLL FREE (800) 322-2885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186055</wp:posOffset>
            </wp:positionV>
            <wp:extent cx="724662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PRELIMINARY COPY SUBJECT TO COMPLETION</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DATED SEPTEMBER 18, 2015</w:t>
      </w: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GOLD PROXY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TICC CAPITAL CORP.</w:t>
      </w: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SPECIAL MEETING OF STOCKHOLDERS</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THIS PROXY IS SOLICITED ON BEHALF OF</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TPG SPECIALTY LENDING, INC.</w:t>
      </w:r>
    </w:p>
    <w:p>
      <w:pPr>
        <w:sectPr>
          <w:pgSz w:w="11900" w:h="16838" w:orient="portrait"/>
          <w:cols w:equalWidth="0" w:num="1">
            <w:col w:w="11420"/>
          </w:cols>
          <w:pgMar w:left="240" w:top="266" w:right="239" w:bottom="1440" w:gutter="0" w:footer="0" w:header="0"/>
        </w:sectPr>
      </w:pPr>
    </w:p>
    <w:bookmarkStart w:id="28" w:name="page29"/>
    <w:bookmarkEnd w:id="28"/>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 R O X Y</w:t>
      </w:r>
    </w:p>
    <w:p>
      <w:pPr>
        <w:spacing w:after="0" w:line="229" w:lineRule="exact"/>
        <w:rPr>
          <w:sz w:val="20"/>
          <w:szCs w:val="20"/>
          <w:color w:val="auto"/>
        </w:rPr>
      </w:pPr>
    </w:p>
    <w:p>
      <w:pPr>
        <w:spacing w:after="0"/>
        <w:tabs>
          <w:tab w:leader="none" w:pos="2500" w:val="left"/>
          <w:tab w:leader="none" w:pos="3500" w:val="left"/>
        </w:tabs>
        <w:rPr>
          <w:sz w:val="20"/>
          <w:szCs w:val="20"/>
          <w:color w:val="auto"/>
        </w:rPr>
      </w:pPr>
      <w:r>
        <w:rPr>
          <w:rFonts w:ascii="Times New Roman" w:cs="Times New Roman" w:eastAsia="Times New Roman" w:hAnsi="Times New Roman"/>
          <w:sz w:val="18"/>
          <w:szCs w:val="18"/>
          <w:color w:val="auto"/>
        </w:rPr>
        <w:t>The undersigned appoints [</w:t>
      </w:r>
      <w:r>
        <w:rPr>
          <w:sz w:val="20"/>
          <w:szCs w:val="20"/>
          <w:color w:val="auto"/>
        </w:rPr>
        <w:tab/>
      </w:r>
      <w:r>
        <w:rPr>
          <w:rFonts w:ascii="Times New Roman" w:cs="Times New Roman" w:eastAsia="Times New Roman" w:hAnsi="Times New Roman"/>
          <w:sz w:val="18"/>
          <w:szCs w:val="18"/>
          <w:color w:val="auto"/>
        </w:rPr>
        <w:t>] and [</w:t>
      </w:r>
      <w:r>
        <w:rPr>
          <w:sz w:val="20"/>
          <w:szCs w:val="20"/>
          <w:color w:val="auto"/>
        </w:rPr>
        <w:tab/>
      </w:r>
      <w:r>
        <w:rPr>
          <w:rFonts w:ascii="Times New Roman" w:cs="Times New Roman" w:eastAsia="Times New Roman" w:hAnsi="Times New Roman"/>
          <w:sz w:val="18"/>
          <w:szCs w:val="18"/>
          <w:color w:val="auto"/>
        </w:rPr>
        <w:t>], and each of them, attorneys and agents with full power of substitution to vote all shares of common stock</w:t>
      </w:r>
    </w:p>
    <w:p>
      <w:pPr>
        <w:spacing w:after="0" w:line="27" w:lineRule="exact"/>
        <w:rPr>
          <w:sz w:val="20"/>
          <w:szCs w:val="20"/>
          <w:color w:val="auto"/>
        </w:rPr>
      </w:pPr>
    </w:p>
    <w:p>
      <w:pPr>
        <w:jc w:val="both"/>
        <w:ind w:right="160"/>
        <w:spacing w:after="0" w:line="261" w:lineRule="auto"/>
        <w:rPr>
          <w:sz w:val="20"/>
          <w:szCs w:val="20"/>
          <w:color w:val="auto"/>
        </w:rPr>
      </w:pPr>
      <w:r>
        <w:rPr>
          <w:rFonts w:ascii="Times New Roman" w:cs="Times New Roman" w:eastAsia="Times New Roman" w:hAnsi="Times New Roman"/>
          <w:sz w:val="18"/>
          <w:szCs w:val="18"/>
          <w:color w:val="auto"/>
        </w:rPr>
        <w:t>of TICC Capital Corp. (the “Company”) which the undersigned would be entitled to vote if personally present at the Special Meeting of Stockholders of the Company, and including at any adjournments or postponements thereof and at any meeting called in lieu thereof (the “Special Meeting”).</w:t>
      </w:r>
    </w:p>
    <w:p>
      <w:pPr>
        <w:spacing w:after="0" w:line="180"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The undersigned hereby revokes any other proxy or proxies heretofore given to vote or act with respect to the shares of common stock of the Company held by the undersigned, and hereby ratifies and confirms all action the herein named attorneys and proxies, their substitutes, or any of them may lawfully take by virtue hereof. If properly executed, this Proxy will be voted as directed on the reverse and in their discretion with respect to any other matters as may properly come before the Special Meeting that are unknown to TPG Specialty Lending, Inc. (“TSLX”) a reasonable time before this solicitation.</w:t>
      </w:r>
    </w:p>
    <w:p>
      <w:pPr>
        <w:spacing w:after="0" w:line="176" w:lineRule="exact"/>
        <w:rPr>
          <w:sz w:val="20"/>
          <w:szCs w:val="20"/>
          <w:color w:val="auto"/>
        </w:rPr>
      </w:pPr>
    </w:p>
    <w:p>
      <w:pPr>
        <w:ind w:right="40"/>
        <w:spacing w:after="0" w:line="268" w:lineRule="auto"/>
        <w:rPr>
          <w:sz w:val="20"/>
          <w:szCs w:val="20"/>
          <w:color w:val="auto"/>
        </w:rPr>
      </w:pPr>
      <w:r>
        <w:rPr>
          <w:rFonts w:ascii="Times New Roman" w:cs="Times New Roman" w:eastAsia="Times New Roman" w:hAnsi="Times New Roman"/>
          <w:sz w:val="18"/>
          <w:szCs w:val="18"/>
          <w:b w:val="1"/>
          <w:bCs w:val="1"/>
          <w:color w:val="auto"/>
        </w:rPr>
        <w:t>IF NO DIRECTION IS INDICATED WITH RESPECT TO THE PROPOSALS ON THE REVERSE, THIS PROXY WILL BE VOTED AGAINST PROPOSALS 1, 2 AND 3, and in the discretion of the proxies with respect to such other business as may properly come before the Special Meeting or any postponement or adjournment thereof.</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Proxy will be valid until the sooner of one year from the date indicated on the reverse side and the completion of the Special Meeting.</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IMPORTANT: PLEASE SIGN, DATE AND MAIL THIS PROXY CARD PROMPTLY!</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CONTINUED AND TO BE SIGNED ON REVERSE SIDE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182880</wp:posOffset>
            </wp:positionV>
            <wp:extent cx="724662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220" w:hanging="212"/>
        <w:spacing w:after="0"/>
        <w:tabs>
          <w:tab w:leader="none" w:pos="220" w:val="left"/>
        </w:tabs>
        <w:numPr>
          <w:ilvl w:val="0"/>
          <w:numId w:val="30"/>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Please mark vote as in this example</w:t>
      </w:r>
    </w:p>
    <w:p>
      <w:pPr>
        <w:spacing w:after="0" w:line="256" w:lineRule="exact"/>
        <w:rPr>
          <w:sz w:val="20"/>
          <w:szCs w:val="20"/>
          <w:color w:val="auto"/>
        </w:rPr>
      </w:pPr>
    </w:p>
    <w:p>
      <w:pPr>
        <w:ind w:left="460" w:right="260" w:hanging="452"/>
        <w:spacing w:after="0" w:line="282" w:lineRule="auto"/>
        <w:tabs>
          <w:tab w:leader="none" w:pos="460" w:val="left"/>
        </w:tabs>
        <w:numPr>
          <w:ilvl w:val="0"/>
          <w:numId w:val="3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Company’s proposal to approve a new advisory agreement between the Company and TICC Management, LCC, to take effect upon a change of control of TICC Management, LLC.</w:t>
      </w:r>
    </w:p>
    <w:p>
      <w:pPr>
        <w:sectPr>
          <w:pgSz w:w="11900" w:h="16838" w:orient="portrait"/>
          <w:cols w:equalWidth="0" w:num="1">
            <w:col w:w="11400"/>
          </w:cols>
          <w:pgMar w:left="240" w:top="266" w:right="259" w:bottom="1440" w:gutter="0" w:footer="0" w:header="0"/>
        </w:sectPr>
      </w:pPr>
    </w:p>
    <w:p>
      <w:pPr>
        <w:spacing w:after="0" w:line="185" w:lineRule="exact"/>
        <w:rPr>
          <w:sz w:val="20"/>
          <w:szCs w:val="20"/>
          <w:color w:val="auto"/>
        </w:rPr>
      </w:pPr>
    </w:p>
    <w:p>
      <w:pPr>
        <w:ind w:left="3140"/>
        <w:spacing w:after="0"/>
        <w:rPr>
          <w:sz w:val="20"/>
          <w:szCs w:val="20"/>
          <w:color w:val="auto"/>
        </w:rPr>
      </w:pPr>
      <w:r>
        <w:rPr>
          <w:rFonts w:ascii="Times New Roman" w:cs="Times New Roman" w:eastAsia="Times New Roman" w:hAnsi="Times New Roman"/>
          <w:sz w:val="18"/>
          <w:szCs w:val="18"/>
          <w:b w:val="1"/>
          <w:bCs w:val="1"/>
          <w:color w:val="auto"/>
        </w:rPr>
        <w:t>FOR</w:t>
      </w:r>
    </w:p>
    <w:p>
      <w:pPr>
        <w:spacing w:after="0" w:line="20" w:lineRule="exact"/>
        <w:rPr>
          <w:sz w:val="20"/>
          <w:szCs w:val="20"/>
          <w:color w:val="auto"/>
        </w:rPr>
      </w:pPr>
      <w:r>
        <w:rPr>
          <w:sz w:val="20"/>
          <w:szCs w:val="20"/>
          <w:color w:val="auto"/>
        </w:rPr>
        <w:br w:type="column"/>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AGAINST</w:t>
      </w:r>
    </w:p>
    <w:p>
      <w:pPr>
        <w:spacing w:after="0" w:line="20" w:lineRule="exact"/>
        <w:rPr>
          <w:sz w:val="20"/>
          <w:szCs w:val="20"/>
          <w:color w:val="auto"/>
        </w:rPr>
      </w:pPr>
      <w:r>
        <w:rPr>
          <w:sz w:val="20"/>
          <w:szCs w:val="20"/>
          <w:color w:val="auto"/>
        </w:rPr>
        <w:br w:type="column"/>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ABSTAIN</w:t>
      </w:r>
    </w:p>
    <w:p>
      <w:pPr>
        <w:spacing w:after="0" w:line="42" w:lineRule="exact"/>
        <w:rPr>
          <w:sz w:val="20"/>
          <w:szCs w:val="20"/>
          <w:color w:val="auto"/>
        </w:rPr>
      </w:pPr>
    </w:p>
    <w:p>
      <w:pPr>
        <w:sectPr>
          <w:pgSz w:w="11900" w:h="16838" w:orient="portrait"/>
          <w:cols w:equalWidth="0" w:num="3">
            <w:col w:w="4560" w:space="720"/>
            <w:col w:w="1620" w:space="720"/>
            <w:col w:w="3780"/>
          </w:cols>
          <w:pgMar w:left="240" w:top="266" w:right="259" w:bottom="1440" w:gutter="0" w:footer="0" w:header="0"/>
          <w:type w:val="continuous"/>
        </w:sectPr>
      </w:pPr>
    </w:p>
    <w:p>
      <w:pPr>
        <w:ind w:left="3240"/>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br w:type="column"/>
      </w:r>
    </w:p>
    <w:p>
      <w:pPr>
        <w:jc w:val="center"/>
        <w:ind w:right="1440"/>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br w:type="column"/>
      </w:r>
    </w:p>
    <w:p>
      <w:pPr>
        <w:spacing w:after="0" w:line="161" w:lineRule="exact"/>
        <w:rPr>
          <w:sz w:val="20"/>
          <w:szCs w:val="20"/>
          <w:color w:val="auto"/>
        </w:rPr>
      </w:pPr>
      <w:r>
        <w:rPr>
          <w:rFonts w:ascii="MS PGothic" w:cs="MS PGothic" w:eastAsia="MS PGothic" w:hAnsi="MS PGothic"/>
          <w:sz w:val="18"/>
          <w:szCs w:val="18"/>
          <w:color w:val="auto"/>
        </w:rPr>
        <w:t>☐</w:t>
      </w:r>
    </w:p>
    <w:p>
      <w:pPr>
        <w:spacing w:after="0" w:line="200" w:lineRule="exact"/>
        <w:rPr>
          <w:sz w:val="20"/>
          <w:szCs w:val="20"/>
          <w:color w:val="auto"/>
        </w:rPr>
      </w:pPr>
    </w:p>
    <w:p>
      <w:pPr>
        <w:sectPr>
          <w:pgSz w:w="11900" w:h="16838" w:orient="portrait"/>
          <w:cols w:equalWidth="0" w:num="3">
            <w:col w:w="4880" w:space="720"/>
            <w:col w:w="1600" w:space="720"/>
            <w:col w:w="3480"/>
          </w:cols>
          <w:pgMar w:left="240" w:top="266" w:right="259" w:bottom="1440" w:gutter="0" w:footer="0" w:header="0"/>
          <w:type w:val="continuous"/>
        </w:sectPr>
      </w:pPr>
    </w:p>
    <w:p>
      <w:pPr>
        <w:spacing w:after="0" w:line="3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b w:val="1"/>
          <w:bCs w:val="1"/>
          <w:color w:val="auto"/>
        </w:rPr>
        <w:t>TSLX recommends a vote “AGAINST” Proposal 1.</w:t>
      </w:r>
    </w:p>
    <w:p>
      <w:pPr>
        <w:sectPr>
          <w:pgSz w:w="11900" w:h="16838" w:orient="portrait"/>
          <w:cols w:equalWidth="0" w:num="1">
            <w:col w:w="11400"/>
          </w:cols>
          <w:pgMar w:left="240" w:top="266" w:right="259" w:bottom="1440" w:gutter="0" w:footer="0" w:header="0"/>
          <w:type w:val="continuous"/>
        </w:sectPr>
      </w:pPr>
    </w:p>
    <w:p>
      <w:pPr>
        <w:spacing w:after="0" w:line="268" w:lineRule="exact"/>
        <w:rPr>
          <w:sz w:val="20"/>
          <w:szCs w:val="20"/>
          <w:color w:val="auto"/>
        </w:rPr>
      </w:pPr>
    </w:p>
    <w:p>
      <w:pPr>
        <w:ind w:left="460" w:hanging="452"/>
        <w:spacing w:after="0" w:line="282" w:lineRule="auto"/>
        <w:tabs>
          <w:tab w:leader="none" w:pos="460" w:val="left"/>
        </w:tabs>
        <w:numPr>
          <w:ilvl w:val="0"/>
          <w:numId w:val="3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Company’s proposal to elect six director nominees named in the TICC Proxy Statement to serve as members of the Board for the terms specified in the TICC Proxy Statement.</w:t>
      </w:r>
    </w:p>
    <w:p>
      <w:pPr>
        <w:spacing w:after="0" w:line="185" w:lineRule="exact"/>
        <w:rPr>
          <w:sz w:val="20"/>
          <w:szCs w:val="20"/>
          <w:color w:val="auto"/>
        </w:rPr>
      </w:pPr>
    </w:p>
    <w:tbl>
      <w:tblPr>
        <w:tblLayout w:type="fixed"/>
        <w:tblInd w:w="3100" w:type="dxa"/>
        <w:tblCellMar>
          <w:top w:w="0" w:type="dxa"/>
          <w:left w:w="0" w:type="dxa"/>
          <w:bottom w:w="0" w:type="dxa"/>
          <w:right w:w="0" w:type="dxa"/>
        </w:tblCellMar>
      </w:tblPr>
      <w:tr>
        <w:trPr>
          <w:trHeight w:val="216"/>
        </w:trPr>
        <w:tc>
          <w:tcPr>
            <w:tcW w:w="1180" w:type="dxa"/>
            <w:vAlign w:val="bottom"/>
          </w:tcPr>
          <w:p>
            <w:pPr>
              <w:spacing w:after="0"/>
              <w:rPr>
                <w:sz w:val="18"/>
                <w:szCs w:val="18"/>
                <w:color w:val="auto"/>
              </w:rPr>
            </w:pPr>
          </w:p>
        </w:tc>
        <w:tc>
          <w:tcPr>
            <w:tcW w:w="2460" w:type="dxa"/>
            <w:vAlign w:val="bottom"/>
          </w:tcPr>
          <w:p>
            <w:pPr>
              <w:jc w:val="center"/>
              <w:ind w:left="130"/>
              <w:spacing w:after="0"/>
              <w:rPr>
                <w:sz w:val="20"/>
                <w:szCs w:val="20"/>
                <w:color w:val="auto"/>
              </w:rPr>
            </w:pPr>
            <w:r>
              <w:rPr>
                <w:rFonts w:ascii="Times New Roman" w:cs="Times New Roman" w:eastAsia="Times New Roman" w:hAnsi="Times New Roman"/>
                <w:sz w:val="18"/>
                <w:szCs w:val="18"/>
                <w:b w:val="1"/>
                <w:bCs w:val="1"/>
                <w:color w:val="auto"/>
                <w:w w:val="99"/>
              </w:rPr>
              <w:t>WITHHOLD</w:t>
            </w:r>
          </w:p>
        </w:tc>
        <w:tc>
          <w:tcPr>
            <w:tcW w:w="1980" w:type="dxa"/>
            <w:vAlign w:val="bottom"/>
          </w:tcPr>
          <w:p>
            <w:pPr>
              <w:spacing w:after="0"/>
              <w:rPr>
                <w:sz w:val="18"/>
                <w:szCs w:val="18"/>
                <w:color w:val="auto"/>
              </w:rPr>
            </w:pPr>
          </w:p>
        </w:tc>
      </w:tr>
      <w:tr>
        <w:trPr>
          <w:trHeight w:val="205"/>
        </w:trPr>
        <w:tc>
          <w:tcPr>
            <w:tcW w:w="1180" w:type="dxa"/>
            <w:vAlign w:val="bottom"/>
          </w:tcPr>
          <w:p>
            <w:pPr>
              <w:jc w:val="center"/>
              <w:ind w:right="710"/>
              <w:spacing w:after="0" w:line="205" w:lineRule="exact"/>
              <w:rPr>
                <w:sz w:val="20"/>
                <w:szCs w:val="20"/>
                <w:color w:val="auto"/>
              </w:rPr>
            </w:pPr>
            <w:r>
              <w:rPr>
                <w:rFonts w:ascii="Times New Roman" w:cs="Times New Roman" w:eastAsia="Times New Roman" w:hAnsi="Times New Roman"/>
                <w:sz w:val="18"/>
                <w:szCs w:val="18"/>
                <w:b w:val="1"/>
                <w:bCs w:val="1"/>
                <w:color w:val="auto"/>
                <w:w w:val="99"/>
              </w:rPr>
              <w:t>FOR</w:t>
            </w:r>
          </w:p>
        </w:tc>
        <w:tc>
          <w:tcPr>
            <w:tcW w:w="2460" w:type="dxa"/>
            <w:vAlign w:val="bottom"/>
          </w:tcPr>
          <w:p>
            <w:pPr>
              <w:jc w:val="center"/>
              <w:ind w:left="130"/>
              <w:spacing w:after="0" w:line="205" w:lineRule="exact"/>
              <w:rPr>
                <w:sz w:val="20"/>
                <w:szCs w:val="20"/>
                <w:color w:val="auto"/>
              </w:rPr>
            </w:pPr>
            <w:r>
              <w:rPr>
                <w:rFonts w:ascii="Times New Roman" w:cs="Times New Roman" w:eastAsia="Times New Roman" w:hAnsi="Times New Roman"/>
                <w:sz w:val="18"/>
                <w:szCs w:val="18"/>
                <w:b w:val="1"/>
                <w:bCs w:val="1"/>
                <w:color w:val="auto"/>
              </w:rPr>
              <w:t>AUTHORITY</w:t>
            </w:r>
          </w:p>
        </w:tc>
        <w:tc>
          <w:tcPr>
            <w:tcW w:w="1980" w:type="dxa"/>
            <w:vAlign w:val="bottom"/>
          </w:tcPr>
          <w:p>
            <w:pPr>
              <w:jc w:val="center"/>
              <w:ind w:left="470"/>
              <w:spacing w:after="0" w:line="205" w:lineRule="exact"/>
              <w:rPr>
                <w:sz w:val="20"/>
                <w:szCs w:val="20"/>
                <w:color w:val="auto"/>
              </w:rPr>
            </w:pPr>
            <w:r>
              <w:rPr>
                <w:rFonts w:ascii="Times New Roman" w:cs="Times New Roman" w:eastAsia="Times New Roman" w:hAnsi="Times New Roman"/>
                <w:sz w:val="18"/>
                <w:szCs w:val="18"/>
                <w:b w:val="1"/>
                <w:bCs w:val="1"/>
                <w:color w:val="auto"/>
                <w:w w:val="99"/>
              </w:rPr>
              <w:t>Nominee:</w:t>
            </w:r>
          </w:p>
        </w:tc>
      </w:tr>
      <w:tr>
        <w:trPr>
          <w:trHeight w:val="216"/>
        </w:trPr>
        <w:tc>
          <w:tcPr>
            <w:tcW w:w="1180" w:type="dxa"/>
            <w:vAlign w:val="bottom"/>
          </w:tcPr>
          <w:p>
            <w:pPr>
              <w:jc w:val="center"/>
              <w:ind w:right="710"/>
              <w:spacing w:after="0" w:line="181" w:lineRule="exact"/>
              <w:rPr>
                <w:sz w:val="20"/>
                <w:szCs w:val="20"/>
                <w:color w:val="auto"/>
              </w:rPr>
            </w:pPr>
            <w:r>
              <w:rPr>
                <w:rFonts w:ascii="MS PGothic" w:cs="MS PGothic" w:eastAsia="MS PGothic" w:hAnsi="MS PGothic"/>
                <w:sz w:val="18"/>
                <w:szCs w:val="18"/>
                <w:color w:val="auto"/>
                <w:w w:val="99"/>
              </w:rPr>
              <w:t>☐</w:t>
            </w:r>
          </w:p>
        </w:tc>
        <w:tc>
          <w:tcPr>
            <w:tcW w:w="2460" w:type="dxa"/>
            <w:vAlign w:val="bottom"/>
          </w:tcPr>
          <w:p>
            <w:pPr>
              <w:jc w:val="center"/>
              <w:ind w:left="130"/>
              <w:spacing w:after="0" w:line="181" w:lineRule="exact"/>
              <w:rPr>
                <w:sz w:val="20"/>
                <w:szCs w:val="20"/>
                <w:color w:val="auto"/>
              </w:rPr>
            </w:pPr>
            <w:r>
              <w:rPr>
                <w:rFonts w:ascii="MS PGothic" w:cs="MS PGothic" w:eastAsia="MS PGothic" w:hAnsi="MS PGothic"/>
                <w:sz w:val="18"/>
                <w:szCs w:val="18"/>
                <w:color w:val="auto"/>
                <w:w w:val="88"/>
              </w:rPr>
              <w:t>☐</w:t>
            </w:r>
          </w:p>
        </w:tc>
        <w:tc>
          <w:tcPr>
            <w:tcW w:w="1980" w:type="dxa"/>
            <w:vAlign w:val="bottom"/>
          </w:tcPr>
          <w:p>
            <w:pPr>
              <w:jc w:val="center"/>
              <w:ind w:left="470"/>
              <w:spacing w:after="0"/>
              <w:rPr>
                <w:sz w:val="20"/>
                <w:szCs w:val="20"/>
                <w:color w:val="auto"/>
              </w:rPr>
            </w:pPr>
            <w:r>
              <w:rPr>
                <w:rFonts w:ascii="Times New Roman" w:cs="Times New Roman" w:eastAsia="Times New Roman" w:hAnsi="Times New Roman"/>
                <w:sz w:val="18"/>
                <w:szCs w:val="18"/>
                <w:color w:val="auto"/>
              </w:rPr>
              <w:t>Dennis M. Schaney</w:t>
            </w:r>
          </w:p>
        </w:tc>
      </w:tr>
      <w:tr>
        <w:trPr>
          <w:trHeight w:val="216"/>
        </w:trPr>
        <w:tc>
          <w:tcPr>
            <w:tcW w:w="1180" w:type="dxa"/>
            <w:vAlign w:val="bottom"/>
          </w:tcPr>
          <w:p>
            <w:pPr>
              <w:jc w:val="center"/>
              <w:ind w:right="710"/>
              <w:spacing w:after="0" w:line="181" w:lineRule="exact"/>
              <w:rPr>
                <w:sz w:val="20"/>
                <w:szCs w:val="20"/>
                <w:color w:val="auto"/>
              </w:rPr>
            </w:pPr>
            <w:r>
              <w:rPr>
                <w:rFonts w:ascii="MS PGothic" w:cs="MS PGothic" w:eastAsia="MS PGothic" w:hAnsi="MS PGothic"/>
                <w:sz w:val="18"/>
                <w:szCs w:val="18"/>
                <w:color w:val="auto"/>
                <w:w w:val="99"/>
              </w:rPr>
              <w:t>☐</w:t>
            </w:r>
          </w:p>
        </w:tc>
        <w:tc>
          <w:tcPr>
            <w:tcW w:w="2460" w:type="dxa"/>
            <w:vAlign w:val="bottom"/>
          </w:tcPr>
          <w:p>
            <w:pPr>
              <w:jc w:val="center"/>
              <w:ind w:left="130"/>
              <w:spacing w:after="0" w:line="181" w:lineRule="exact"/>
              <w:rPr>
                <w:sz w:val="20"/>
                <w:szCs w:val="20"/>
                <w:color w:val="auto"/>
              </w:rPr>
            </w:pPr>
            <w:r>
              <w:rPr>
                <w:rFonts w:ascii="MS PGothic" w:cs="MS PGothic" w:eastAsia="MS PGothic" w:hAnsi="MS PGothic"/>
                <w:sz w:val="18"/>
                <w:szCs w:val="18"/>
                <w:color w:val="auto"/>
                <w:w w:val="88"/>
              </w:rPr>
              <w:t>☐</w:t>
            </w:r>
          </w:p>
        </w:tc>
        <w:tc>
          <w:tcPr>
            <w:tcW w:w="1980" w:type="dxa"/>
            <w:vAlign w:val="bottom"/>
          </w:tcPr>
          <w:p>
            <w:pPr>
              <w:jc w:val="center"/>
              <w:ind w:left="470"/>
              <w:spacing w:after="0"/>
              <w:rPr>
                <w:sz w:val="20"/>
                <w:szCs w:val="20"/>
                <w:color w:val="auto"/>
              </w:rPr>
            </w:pPr>
            <w:r>
              <w:rPr>
                <w:rFonts w:ascii="Times New Roman" w:cs="Times New Roman" w:eastAsia="Times New Roman" w:hAnsi="Times New Roman"/>
                <w:sz w:val="18"/>
                <w:szCs w:val="18"/>
                <w:color w:val="auto"/>
              </w:rPr>
              <w:t>Lee S. Hillman</w:t>
            </w:r>
          </w:p>
        </w:tc>
      </w:tr>
      <w:tr>
        <w:trPr>
          <w:trHeight w:val="216"/>
        </w:trPr>
        <w:tc>
          <w:tcPr>
            <w:tcW w:w="1180" w:type="dxa"/>
            <w:vAlign w:val="bottom"/>
          </w:tcPr>
          <w:p>
            <w:pPr>
              <w:jc w:val="center"/>
              <w:ind w:right="710"/>
              <w:spacing w:after="0" w:line="181" w:lineRule="exact"/>
              <w:rPr>
                <w:sz w:val="20"/>
                <w:szCs w:val="20"/>
                <w:color w:val="auto"/>
              </w:rPr>
            </w:pPr>
            <w:r>
              <w:rPr>
                <w:rFonts w:ascii="MS PGothic" w:cs="MS PGothic" w:eastAsia="MS PGothic" w:hAnsi="MS PGothic"/>
                <w:sz w:val="18"/>
                <w:szCs w:val="18"/>
                <w:color w:val="auto"/>
                <w:w w:val="99"/>
              </w:rPr>
              <w:t>☐</w:t>
            </w:r>
          </w:p>
        </w:tc>
        <w:tc>
          <w:tcPr>
            <w:tcW w:w="2460" w:type="dxa"/>
            <w:vAlign w:val="bottom"/>
          </w:tcPr>
          <w:p>
            <w:pPr>
              <w:jc w:val="center"/>
              <w:ind w:left="130"/>
              <w:spacing w:after="0" w:line="181" w:lineRule="exact"/>
              <w:rPr>
                <w:sz w:val="20"/>
                <w:szCs w:val="20"/>
                <w:color w:val="auto"/>
              </w:rPr>
            </w:pPr>
            <w:r>
              <w:rPr>
                <w:rFonts w:ascii="MS PGothic" w:cs="MS PGothic" w:eastAsia="MS PGothic" w:hAnsi="MS PGothic"/>
                <w:sz w:val="18"/>
                <w:szCs w:val="18"/>
                <w:color w:val="auto"/>
                <w:w w:val="88"/>
              </w:rPr>
              <w:t>☐</w:t>
            </w:r>
          </w:p>
        </w:tc>
        <w:tc>
          <w:tcPr>
            <w:tcW w:w="1980" w:type="dxa"/>
            <w:vAlign w:val="bottom"/>
          </w:tcPr>
          <w:p>
            <w:pPr>
              <w:jc w:val="center"/>
              <w:ind w:left="470"/>
              <w:spacing w:after="0"/>
              <w:rPr>
                <w:sz w:val="20"/>
                <w:szCs w:val="20"/>
                <w:color w:val="auto"/>
              </w:rPr>
            </w:pPr>
            <w:r>
              <w:rPr>
                <w:rFonts w:ascii="Times New Roman" w:cs="Times New Roman" w:eastAsia="Times New Roman" w:hAnsi="Times New Roman"/>
                <w:sz w:val="18"/>
                <w:szCs w:val="18"/>
                <w:color w:val="auto"/>
                <w:w w:val="98"/>
              </w:rPr>
              <w:t>Ronald J. Kramer</w:t>
            </w:r>
          </w:p>
        </w:tc>
      </w:tr>
      <w:tr>
        <w:trPr>
          <w:trHeight w:val="216"/>
        </w:trPr>
        <w:tc>
          <w:tcPr>
            <w:tcW w:w="1180" w:type="dxa"/>
            <w:vAlign w:val="bottom"/>
          </w:tcPr>
          <w:p>
            <w:pPr>
              <w:jc w:val="center"/>
              <w:ind w:right="710"/>
              <w:spacing w:after="0" w:line="181" w:lineRule="exact"/>
              <w:rPr>
                <w:sz w:val="20"/>
                <w:szCs w:val="20"/>
                <w:color w:val="auto"/>
              </w:rPr>
            </w:pPr>
            <w:r>
              <w:rPr>
                <w:rFonts w:ascii="MS PGothic" w:cs="MS PGothic" w:eastAsia="MS PGothic" w:hAnsi="MS PGothic"/>
                <w:sz w:val="18"/>
                <w:szCs w:val="18"/>
                <w:color w:val="auto"/>
                <w:w w:val="99"/>
              </w:rPr>
              <w:t>☐</w:t>
            </w:r>
          </w:p>
        </w:tc>
        <w:tc>
          <w:tcPr>
            <w:tcW w:w="2460" w:type="dxa"/>
            <w:vAlign w:val="bottom"/>
          </w:tcPr>
          <w:p>
            <w:pPr>
              <w:jc w:val="center"/>
              <w:ind w:left="130"/>
              <w:spacing w:after="0" w:line="181" w:lineRule="exact"/>
              <w:rPr>
                <w:sz w:val="20"/>
                <w:szCs w:val="20"/>
                <w:color w:val="auto"/>
              </w:rPr>
            </w:pPr>
            <w:r>
              <w:rPr>
                <w:rFonts w:ascii="MS PGothic" w:cs="MS PGothic" w:eastAsia="MS PGothic" w:hAnsi="MS PGothic"/>
                <w:sz w:val="18"/>
                <w:szCs w:val="18"/>
                <w:color w:val="auto"/>
                <w:w w:val="88"/>
              </w:rPr>
              <w:t>☐</w:t>
            </w:r>
          </w:p>
        </w:tc>
        <w:tc>
          <w:tcPr>
            <w:tcW w:w="1980" w:type="dxa"/>
            <w:vAlign w:val="bottom"/>
          </w:tcPr>
          <w:p>
            <w:pPr>
              <w:jc w:val="center"/>
              <w:ind w:left="470"/>
              <w:spacing w:after="0"/>
              <w:rPr>
                <w:sz w:val="20"/>
                <w:szCs w:val="20"/>
                <w:color w:val="auto"/>
              </w:rPr>
            </w:pPr>
            <w:r>
              <w:rPr>
                <w:rFonts w:ascii="Times New Roman" w:cs="Times New Roman" w:eastAsia="Times New Roman" w:hAnsi="Times New Roman"/>
                <w:sz w:val="18"/>
                <w:szCs w:val="18"/>
                <w:color w:val="auto"/>
              </w:rPr>
              <w:t>Gary Katcher</w:t>
            </w:r>
          </w:p>
        </w:tc>
      </w:tr>
      <w:tr>
        <w:trPr>
          <w:trHeight w:val="216"/>
        </w:trPr>
        <w:tc>
          <w:tcPr>
            <w:tcW w:w="1180" w:type="dxa"/>
            <w:vAlign w:val="bottom"/>
          </w:tcPr>
          <w:p>
            <w:pPr>
              <w:jc w:val="center"/>
              <w:ind w:right="710"/>
              <w:spacing w:after="0" w:line="181" w:lineRule="exact"/>
              <w:rPr>
                <w:sz w:val="20"/>
                <w:szCs w:val="20"/>
                <w:color w:val="auto"/>
              </w:rPr>
            </w:pPr>
            <w:r>
              <w:rPr>
                <w:rFonts w:ascii="MS PGothic" w:cs="MS PGothic" w:eastAsia="MS PGothic" w:hAnsi="MS PGothic"/>
                <w:sz w:val="18"/>
                <w:szCs w:val="18"/>
                <w:color w:val="auto"/>
                <w:w w:val="99"/>
              </w:rPr>
              <w:t>☐</w:t>
            </w:r>
          </w:p>
        </w:tc>
        <w:tc>
          <w:tcPr>
            <w:tcW w:w="2460" w:type="dxa"/>
            <w:vAlign w:val="bottom"/>
          </w:tcPr>
          <w:p>
            <w:pPr>
              <w:jc w:val="center"/>
              <w:ind w:left="130"/>
              <w:spacing w:after="0" w:line="181" w:lineRule="exact"/>
              <w:rPr>
                <w:sz w:val="20"/>
                <w:szCs w:val="20"/>
                <w:color w:val="auto"/>
              </w:rPr>
            </w:pPr>
            <w:r>
              <w:rPr>
                <w:rFonts w:ascii="MS PGothic" w:cs="MS PGothic" w:eastAsia="MS PGothic" w:hAnsi="MS PGothic"/>
                <w:sz w:val="18"/>
                <w:szCs w:val="18"/>
                <w:color w:val="auto"/>
                <w:w w:val="88"/>
              </w:rPr>
              <w:t>☐</w:t>
            </w:r>
          </w:p>
        </w:tc>
        <w:tc>
          <w:tcPr>
            <w:tcW w:w="1980" w:type="dxa"/>
            <w:vAlign w:val="bottom"/>
          </w:tcPr>
          <w:p>
            <w:pPr>
              <w:jc w:val="center"/>
              <w:ind w:left="470"/>
              <w:spacing w:after="0"/>
              <w:rPr>
                <w:sz w:val="20"/>
                <w:szCs w:val="20"/>
                <w:color w:val="auto"/>
              </w:rPr>
            </w:pPr>
            <w:r>
              <w:rPr>
                <w:rFonts w:ascii="Times New Roman" w:cs="Times New Roman" w:eastAsia="Times New Roman" w:hAnsi="Times New Roman"/>
                <w:sz w:val="18"/>
                <w:szCs w:val="18"/>
                <w:color w:val="auto"/>
              </w:rPr>
              <w:t>Thomas J. Gahan</w:t>
            </w:r>
          </w:p>
        </w:tc>
      </w:tr>
      <w:tr>
        <w:trPr>
          <w:trHeight w:val="283"/>
        </w:trPr>
        <w:tc>
          <w:tcPr>
            <w:tcW w:w="1180" w:type="dxa"/>
            <w:vAlign w:val="bottom"/>
          </w:tcPr>
          <w:p>
            <w:pPr>
              <w:jc w:val="center"/>
              <w:ind w:right="710"/>
              <w:spacing w:after="0" w:line="181" w:lineRule="exact"/>
              <w:rPr>
                <w:sz w:val="20"/>
                <w:szCs w:val="20"/>
                <w:color w:val="auto"/>
              </w:rPr>
            </w:pPr>
            <w:r>
              <w:rPr>
                <w:rFonts w:ascii="MS PGothic" w:cs="MS PGothic" w:eastAsia="MS PGothic" w:hAnsi="MS PGothic"/>
                <w:sz w:val="18"/>
                <w:szCs w:val="18"/>
                <w:color w:val="auto"/>
                <w:w w:val="99"/>
              </w:rPr>
              <w:t>☐</w:t>
            </w:r>
          </w:p>
        </w:tc>
        <w:tc>
          <w:tcPr>
            <w:tcW w:w="2460" w:type="dxa"/>
            <w:vAlign w:val="bottom"/>
          </w:tcPr>
          <w:p>
            <w:pPr>
              <w:jc w:val="center"/>
              <w:ind w:left="130"/>
              <w:spacing w:after="0" w:line="181" w:lineRule="exact"/>
              <w:rPr>
                <w:sz w:val="20"/>
                <w:szCs w:val="20"/>
                <w:color w:val="auto"/>
              </w:rPr>
            </w:pPr>
            <w:r>
              <w:rPr>
                <w:rFonts w:ascii="MS PGothic" w:cs="MS PGothic" w:eastAsia="MS PGothic" w:hAnsi="MS PGothic"/>
                <w:sz w:val="18"/>
                <w:szCs w:val="18"/>
                <w:color w:val="auto"/>
                <w:w w:val="88"/>
              </w:rPr>
              <w:t>☐</w:t>
            </w:r>
          </w:p>
        </w:tc>
        <w:tc>
          <w:tcPr>
            <w:tcW w:w="1980" w:type="dxa"/>
            <w:vAlign w:val="bottom"/>
          </w:tcPr>
          <w:p>
            <w:pPr>
              <w:jc w:val="center"/>
              <w:ind w:left="470"/>
              <w:spacing w:after="0"/>
              <w:rPr>
                <w:sz w:val="20"/>
                <w:szCs w:val="20"/>
                <w:color w:val="auto"/>
              </w:rPr>
            </w:pPr>
            <w:r>
              <w:rPr>
                <w:rFonts w:ascii="Times New Roman" w:cs="Times New Roman" w:eastAsia="Times New Roman" w:hAnsi="Times New Roman"/>
                <w:sz w:val="18"/>
                <w:szCs w:val="18"/>
                <w:color w:val="auto"/>
              </w:rPr>
              <w:t>Richard J. Byrne</w:t>
            </w:r>
          </w:p>
        </w:tc>
      </w:tr>
    </w:tbl>
    <w:p>
      <w:pPr>
        <w:spacing w:after="0" w:line="17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TSLX recommends a vote “WITHHOLD AUTHORITY” each of the director nominees described in Proposal 2.</w:t>
      </w:r>
    </w:p>
    <w:p>
      <w:pPr>
        <w:sectPr>
          <w:pgSz w:w="11900" w:h="16838" w:orient="portrait"/>
          <w:cols w:equalWidth="0" w:num="1">
            <w:col w:w="11400"/>
          </w:cols>
          <w:pgMar w:left="240" w:top="266" w:right="259" w:bottom="1440" w:gutter="0" w:footer="0" w:header="0"/>
          <w:type w:val="continuous"/>
        </w:sectPr>
      </w:pPr>
    </w:p>
    <w:bookmarkStart w:id="29" w:name="page30"/>
    <w:bookmarkEnd w:id="29"/>
    <w:p>
      <w:pPr>
        <w:ind w:left="460" w:hanging="452"/>
        <w:spacing w:after="0"/>
        <w:tabs>
          <w:tab w:leader="none" w:pos="460" w:val="left"/>
        </w:tabs>
        <w:numPr>
          <w:ilvl w:val="0"/>
          <w:numId w:val="33"/>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Company’s proposal to approve the adjournment of the Special Meeting, if necessary or appropriate, to solicit additional proxies.</w:t>
      </w:r>
    </w:p>
    <w:p>
      <w:pPr>
        <w:sectPr>
          <w:pgSz w:w="11900" w:h="16838" w:orient="portrait"/>
          <w:cols w:equalWidth="0" w:num="1">
            <w:col w:w="11000"/>
          </w:cols>
          <w:pgMar w:left="240" w:top="270" w:right="659" w:bottom="1440" w:gutter="0" w:footer="0" w:header="0"/>
        </w:sectPr>
      </w:pPr>
    </w:p>
    <w:p>
      <w:pPr>
        <w:spacing w:after="0" w:line="260" w:lineRule="exact"/>
        <w:rPr>
          <w:sz w:val="20"/>
          <w:szCs w:val="20"/>
          <w:color w:val="auto"/>
        </w:rPr>
      </w:pPr>
    </w:p>
    <w:p>
      <w:pPr>
        <w:ind w:left="3140"/>
        <w:spacing w:after="0"/>
        <w:rPr>
          <w:sz w:val="20"/>
          <w:szCs w:val="20"/>
          <w:color w:val="auto"/>
        </w:rPr>
      </w:pPr>
      <w:r>
        <w:rPr>
          <w:rFonts w:ascii="Times New Roman" w:cs="Times New Roman" w:eastAsia="Times New Roman" w:hAnsi="Times New Roman"/>
          <w:sz w:val="18"/>
          <w:szCs w:val="18"/>
          <w:b w:val="1"/>
          <w:bCs w:val="1"/>
          <w:color w:val="auto"/>
        </w:rPr>
        <w:t>FOR</w:t>
      </w:r>
    </w:p>
    <w:p>
      <w:pPr>
        <w:spacing w:after="0" w:line="20" w:lineRule="exact"/>
        <w:rPr>
          <w:sz w:val="20"/>
          <w:szCs w:val="20"/>
          <w:color w:val="auto"/>
        </w:rPr>
      </w:pPr>
      <w:r>
        <w:rPr>
          <w:sz w:val="20"/>
          <w:szCs w:val="20"/>
          <w:color w:val="auto"/>
        </w:rPr>
        <w:br w:type="column"/>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AGAINST</w:t>
      </w:r>
    </w:p>
    <w:p>
      <w:pPr>
        <w:spacing w:after="0" w:line="20" w:lineRule="exact"/>
        <w:rPr>
          <w:sz w:val="20"/>
          <w:szCs w:val="20"/>
          <w:color w:val="auto"/>
        </w:rPr>
      </w:pPr>
      <w:r>
        <w:rPr>
          <w:sz w:val="20"/>
          <w:szCs w:val="20"/>
          <w:color w:val="auto"/>
        </w:rPr>
        <w:br w:type="column"/>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ABSTAIN</w:t>
      </w:r>
    </w:p>
    <w:p>
      <w:pPr>
        <w:spacing w:after="0" w:line="42" w:lineRule="exact"/>
        <w:rPr>
          <w:sz w:val="20"/>
          <w:szCs w:val="20"/>
          <w:color w:val="auto"/>
        </w:rPr>
      </w:pPr>
    </w:p>
    <w:p>
      <w:pPr>
        <w:sectPr>
          <w:pgSz w:w="11900" w:h="16838" w:orient="portrait"/>
          <w:cols w:equalWidth="0" w:num="3">
            <w:col w:w="4560" w:space="720"/>
            <w:col w:w="1620" w:space="720"/>
            <w:col w:w="3380"/>
          </w:cols>
          <w:pgMar w:left="240" w:top="270" w:right="659" w:bottom="1440" w:gutter="0" w:footer="0" w:header="0"/>
          <w:type w:val="continuous"/>
        </w:sectPr>
      </w:pPr>
    </w:p>
    <w:p>
      <w:pPr>
        <w:ind w:left="3240"/>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br w:type="column"/>
      </w:r>
    </w:p>
    <w:p>
      <w:pPr>
        <w:jc w:val="center"/>
        <w:ind w:right="1440"/>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br w:type="column"/>
      </w:r>
    </w:p>
    <w:p>
      <w:pPr>
        <w:spacing w:after="0" w:line="161" w:lineRule="exact"/>
        <w:rPr>
          <w:sz w:val="20"/>
          <w:szCs w:val="20"/>
          <w:color w:val="auto"/>
        </w:rPr>
      </w:pPr>
      <w:r>
        <w:rPr>
          <w:rFonts w:ascii="MS PGothic" w:cs="MS PGothic" w:eastAsia="MS PGothic" w:hAnsi="MS PGothic"/>
          <w:sz w:val="18"/>
          <w:szCs w:val="18"/>
          <w:color w:val="auto"/>
        </w:rPr>
        <w:t>☐</w:t>
      </w:r>
    </w:p>
    <w:p>
      <w:pPr>
        <w:spacing w:after="0" w:line="200" w:lineRule="exact"/>
        <w:rPr>
          <w:sz w:val="20"/>
          <w:szCs w:val="20"/>
          <w:color w:val="auto"/>
        </w:rPr>
      </w:pPr>
    </w:p>
    <w:p>
      <w:pPr>
        <w:sectPr>
          <w:pgSz w:w="11900" w:h="16838" w:orient="portrait"/>
          <w:cols w:equalWidth="0" w:num="3">
            <w:col w:w="4880" w:space="720"/>
            <w:col w:w="1600" w:space="720"/>
            <w:col w:w="3080"/>
          </w:cols>
          <w:pgMar w:left="240" w:top="270" w:right="659" w:bottom="1440" w:gutter="0" w:footer="0" w:header="0"/>
          <w:type w:val="continuous"/>
        </w:sectPr>
      </w:pPr>
    </w:p>
    <w:p>
      <w:pPr>
        <w:spacing w:after="0" w:line="3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b w:val="1"/>
          <w:bCs w:val="1"/>
          <w:color w:val="auto"/>
        </w:rPr>
        <w:t>TSLX recommends a vote “AGAINST” Proposal 3.</w:t>
      </w:r>
    </w:p>
    <w:p>
      <w:pPr>
        <w:sectPr>
          <w:pgSz w:w="11900" w:h="16838" w:orient="portrait"/>
          <w:cols w:equalWidth="0" w:num="1">
            <w:col w:w="11000"/>
          </w:cols>
          <w:pgMar w:left="240" w:top="270" w:right="659" w:bottom="1440" w:gutter="0" w:footer="0" w:header="0"/>
          <w:type w:val="continuous"/>
        </w:sectPr>
      </w:pPr>
    </w:p>
    <w:p>
      <w:pPr>
        <w:spacing w:after="0" w:line="237"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color w:val="auto"/>
        </w:rPr>
        <w:t>IN THEIR DISCRETION, THE PROXIES ARE AUTHORIZED TO VOTE UPON SUCH OTHER MATTERS AS MAY PROPERLY COME BEFORE THE SPECIAL MEETING.</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622300</wp:posOffset>
            </wp:positionH>
            <wp:positionV relativeFrom="paragraph">
              <wp:posOffset>17145</wp:posOffset>
            </wp:positionV>
            <wp:extent cx="228092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22809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240665</wp:posOffset>
            </wp:positionV>
            <wp:extent cx="2898775"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223520</wp:posOffset>
            </wp:positionV>
            <wp:extent cx="2898775"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(Signature, if held jointly)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223520</wp:posOffset>
            </wp:positionV>
            <wp:extent cx="2898775"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w:t>
      </w:r>
    </w:p>
    <w:p>
      <w:pPr>
        <w:spacing w:after="0" w:line="221"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color w:val="auto"/>
        </w:rPr>
        <w:t>WHEN SHARES ARE HELD JOINTLY, JOINT OWNERS SHOULD EACH SIGN. EXECUTORS, ADMINISTRATORS, TRUSTEES, ETC., SHOULD INDICATE THE CAPACITY IN WHICH SIGNING. PLEASE SIGN EXACTLY AS NAME APPEARS ON THIS PROXY.</w:t>
      </w:r>
    </w:p>
    <w:sectPr>
      <w:pgSz w:w="11900" w:h="16838" w:orient="portrait"/>
      <w:cols w:equalWidth="0" w:num="1">
        <w:col w:w="11000"/>
      </w:cols>
      <w:pgMar w:left="240" w:top="270" w:right="6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5E45D32"/>
    <w:multiLevelType w:val="hybridMultilevel"/>
    <w:lvl w:ilvl="0">
      <w:lvlJc w:val="left"/>
      <w:lvlText w:val="☒"/>
      <w:numFmt w:val="bullet"/>
      <w:start w:val="1"/>
    </w:lvl>
  </w:abstractNum>
  <w:abstractNum w:abstractNumId="1">
    <w:nsid w:val="519B500D"/>
    <w:multiLevelType w:val="hybridMultilevel"/>
    <w:lvl w:ilvl="0">
      <w:lvlJc w:val="left"/>
      <w:lvlText w:val="☐"/>
      <w:numFmt w:val="bullet"/>
      <w:start w:val="1"/>
    </w:lvl>
  </w:abstractNum>
  <w:abstractNum w:abstractNumId="2">
    <w:nsid w:val="431BD7B7"/>
    <w:multiLevelType w:val="hybridMultilevel"/>
    <w:lvl w:ilvl="0">
      <w:lvlJc w:val="left"/>
      <w:lvlText w:val="☒"/>
      <w:numFmt w:val="bullet"/>
      <w:start w:val="1"/>
    </w:lvl>
  </w:abstractNum>
  <w:abstractNum w:abstractNumId="3">
    <w:nsid w:val="3F2DBA31"/>
    <w:multiLevelType w:val="hybridMultilevel"/>
    <w:lvl w:ilvl="0">
      <w:lvlJc w:val="left"/>
      <w:lvlText w:val="☐"/>
      <w:numFmt w:val="bullet"/>
      <w:start w:val="1"/>
    </w:lvl>
    <w:lvl w:ilvl="1">
      <w:lvlJc w:val="left"/>
      <w:lvlText w:val="(%2)"/>
      <w:numFmt w:val="decimal"/>
      <w:start w:val="1"/>
    </w:lvl>
  </w:abstractNum>
  <w:abstractNum w:abstractNumId="4">
    <w:nsid w:val="7C83E458"/>
    <w:multiLevelType w:val="hybridMultilevel"/>
    <w:lvl w:ilvl="0">
      <w:lvlJc w:val="left"/>
      <w:lvlText w:val="(%1)"/>
      <w:numFmt w:val="decimal"/>
      <w:start w:val="2"/>
    </w:lvl>
  </w:abstractNum>
  <w:abstractNum w:abstractNumId="5">
    <w:nsid w:val="257130A3"/>
    <w:multiLevelType w:val="hybridMultilevel"/>
    <w:lvl w:ilvl="0">
      <w:lvlJc w:val="left"/>
      <w:lvlText w:val="%1."/>
      <w:numFmt w:val="decimal"/>
      <w:start w:val="1"/>
    </w:lvl>
  </w:abstractNum>
  <w:abstractNum w:abstractNumId="6">
    <w:nsid w:val="62BBD95A"/>
    <w:multiLevelType w:val="hybridMultilevel"/>
    <w:lvl w:ilvl="0">
      <w:lvlJc w:val="left"/>
      <w:lvlText w:val="(%1)"/>
      <w:numFmt w:val="decimal"/>
      <w:start w:val="2"/>
    </w:lvl>
  </w:abstractNum>
  <w:abstractNum w:abstractNumId="7">
    <w:nsid w:val="436C6125"/>
    <w:multiLevelType w:val="hybridMultilevel"/>
    <w:lvl w:ilvl="0">
      <w:lvlJc w:val="left"/>
      <w:lvlText w:val="["/>
      <w:numFmt w:val="bullet"/>
      <w:start w:val="1"/>
    </w:lvl>
  </w:abstractNum>
  <w:abstractNum w:abstractNumId="8">
    <w:nsid w:val="628C895D"/>
    <w:multiLevelType w:val="hybridMultilevel"/>
    <w:lvl w:ilvl="0">
      <w:lvlJc w:val="left"/>
      <w:lvlText w:val="•"/>
      <w:numFmt w:val="bullet"/>
      <w:start w:val="1"/>
    </w:lvl>
  </w:abstractNum>
  <w:abstractNum w:abstractNumId="9">
    <w:nsid w:val="333AB105"/>
    <w:multiLevelType w:val="hybridMultilevel"/>
    <w:lvl w:ilvl="0">
      <w:lvlJc w:val="left"/>
      <w:lvlText w:val="(%1)"/>
      <w:numFmt w:val="decimal"/>
      <w:start w:val="212"/>
    </w:lvl>
  </w:abstractNum>
  <w:abstractNum w:abstractNumId="10">
    <w:nsid w:val="721DA317"/>
    <w:multiLevelType w:val="hybridMultilevel"/>
    <w:lvl w:ilvl="0">
      <w:lvlJc w:val="left"/>
      <w:lvlText w:val="•"/>
      <w:numFmt w:val="bullet"/>
      <w:start w:val="1"/>
    </w:lvl>
  </w:abstractNum>
  <w:abstractNum w:abstractNumId="11">
    <w:nsid w:val="2443A858"/>
    <w:multiLevelType w:val="hybridMultilevel"/>
    <w:lvl w:ilvl="0">
      <w:lvlJc w:val="left"/>
      <w:lvlText w:val="1"/>
      <w:numFmt w:val="bullet"/>
      <w:start w:val="1"/>
    </w:lvl>
  </w:abstractNum>
  <w:abstractNum w:abstractNumId="12">
    <w:nsid w:val="2D1D5AE9"/>
    <w:multiLevelType w:val="hybridMultilevel"/>
    <w:lvl w:ilvl="0">
      <w:lvlJc w:val="left"/>
      <w:lvlText w:val="•"/>
      <w:numFmt w:val="bullet"/>
      <w:start w:val="1"/>
    </w:lvl>
  </w:abstractNum>
  <w:abstractNum w:abstractNumId="13">
    <w:nsid w:val="6763845E"/>
    <w:multiLevelType w:val="hybridMultilevel"/>
    <w:lvl w:ilvl="0">
      <w:lvlJc w:val="left"/>
      <w:lvlText w:val="•"/>
      <w:numFmt w:val="bullet"/>
      <w:start w:val="1"/>
    </w:lvl>
  </w:abstractNum>
  <w:abstractNum w:abstractNumId="14">
    <w:nsid w:val="75A2A8D4"/>
    <w:multiLevelType w:val="hybridMultilevel"/>
    <w:lvl w:ilvl="0">
      <w:lvlJc w:val="left"/>
      <w:lvlText w:val="2"/>
      <w:numFmt w:val="bullet"/>
      <w:start w:val="1"/>
    </w:lvl>
  </w:abstractNum>
  <w:abstractNum w:abstractNumId="15">
    <w:nsid w:val="8EDBDAB"/>
    <w:multiLevelType w:val="hybridMultilevel"/>
    <w:lvl w:ilvl="0">
      <w:lvlJc w:val="left"/>
      <w:lvlText w:val="•"/>
      <w:numFmt w:val="bullet"/>
      <w:start w:val="1"/>
    </w:lvl>
  </w:abstractNum>
  <w:abstractNum w:abstractNumId="16">
    <w:nsid w:val="79838CB2"/>
    <w:multiLevelType w:val="hybridMultilevel"/>
    <w:lvl w:ilvl="0">
      <w:lvlJc w:val="left"/>
      <w:lvlText w:val="%1."/>
      <w:numFmt w:val="decimal"/>
      <w:start w:val="1"/>
    </w:lvl>
  </w:abstractNum>
  <w:abstractNum w:abstractNumId="17">
    <w:nsid w:val="4353D0CD"/>
    <w:multiLevelType w:val="hybridMultilevel"/>
    <w:lvl w:ilvl="0">
      <w:lvlJc w:val="left"/>
      <w:lvlText w:val="%1."/>
      <w:numFmt w:val="decimal"/>
      <w:start w:val="2"/>
    </w:lvl>
  </w:abstractNum>
  <w:abstractNum w:abstractNumId="18">
    <w:nsid w:val="B03E0C6"/>
    <w:multiLevelType w:val="hybridMultilevel"/>
    <w:lvl w:ilvl="0">
      <w:lvlJc w:val="left"/>
      <w:lvlText w:val="•"/>
      <w:numFmt w:val="bullet"/>
      <w:start w:val="1"/>
    </w:lvl>
  </w:abstractNum>
  <w:abstractNum w:abstractNumId="19">
    <w:nsid w:val="189A769B"/>
    <w:multiLevelType w:val="hybridMultilevel"/>
    <w:lvl w:ilvl="0">
      <w:lvlJc w:val="left"/>
      <w:lvlText w:val="3"/>
      <w:numFmt w:val="bullet"/>
      <w:start w:val="1"/>
    </w:lvl>
  </w:abstractNum>
  <w:abstractNum w:abstractNumId="20">
    <w:nsid w:val="54E49EB4"/>
    <w:multiLevelType w:val="hybridMultilevel"/>
    <w:lvl w:ilvl="0">
      <w:lvlJc w:val="left"/>
      <w:lvlText w:val="4"/>
      <w:numFmt w:val="bullet"/>
      <w:start w:val="1"/>
    </w:lvl>
  </w:abstractNum>
  <w:abstractNum w:abstractNumId="21">
    <w:nsid w:val="71F32454"/>
    <w:multiLevelType w:val="hybridMultilevel"/>
    <w:lvl w:ilvl="0">
      <w:lvlJc w:val="left"/>
      <w:lvlText w:val="%1."/>
      <w:numFmt w:val="decimal"/>
      <w:start w:val="3"/>
    </w:lvl>
  </w:abstractNum>
  <w:abstractNum w:abstractNumId="22">
    <w:nsid w:val="2CA88611"/>
    <w:multiLevelType w:val="hybridMultilevel"/>
    <w:lvl w:ilvl="0">
      <w:lvlJc w:val="left"/>
      <w:lvlText w:val="•"/>
      <w:numFmt w:val="bullet"/>
      <w:start w:val="1"/>
    </w:lvl>
  </w:abstractNum>
  <w:abstractNum w:abstractNumId="23">
    <w:nsid w:val="836C40E"/>
    <w:multiLevelType w:val="hybridMultilevel"/>
    <w:lvl w:ilvl="0">
      <w:lvlJc w:val="left"/>
      <w:lvlText w:val="*"/>
      <w:numFmt w:val="bullet"/>
      <w:start w:val="1"/>
    </w:lvl>
  </w:abstractNum>
  <w:abstractNum w:abstractNumId="24">
    <w:nsid w:val="2901D82"/>
    <w:multiLevelType w:val="hybridMultilevel"/>
    <w:lvl w:ilvl="0">
      <w:lvlJc w:val="left"/>
      <w:lvlText w:val="(%1)"/>
      <w:numFmt w:val="decimal"/>
      <w:start w:val="1"/>
    </w:lvl>
  </w:abstractNum>
  <w:abstractNum w:abstractNumId="25">
    <w:nsid w:val="3A95F874"/>
    <w:multiLevelType w:val="hybridMultilevel"/>
    <w:lvl w:ilvl="0">
      <w:lvlJc w:val="left"/>
      <w:lvlText w:val="(%1)"/>
      <w:numFmt w:val="decimal"/>
      <w:start w:val="2"/>
    </w:lvl>
  </w:abstractNum>
  <w:abstractNum w:abstractNumId="26">
    <w:nsid w:val="8138641"/>
    <w:multiLevelType w:val="hybridMultilevel"/>
    <w:lvl w:ilvl="0">
      <w:lvlJc w:val="left"/>
      <w:lvlText w:val="(%1)"/>
      <w:numFmt w:val="decimal"/>
      <w:start w:val="1"/>
    </w:lvl>
  </w:abstractNum>
  <w:abstractNum w:abstractNumId="27">
    <w:nsid w:val="1E7FF521"/>
    <w:multiLevelType w:val="hybridMultilevel"/>
    <w:lvl w:ilvl="0">
      <w:lvlJc w:val="left"/>
      <w:lvlText w:val="•"/>
      <w:numFmt w:val="bullet"/>
      <w:start w:val="1"/>
    </w:lvl>
  </w:abstractNum>
  <w:abstractNum w:abstractNumId="28">
    <w:nsid w:val="7C3DBD3D"/>
    <w:multiLevelType w:val="hybridMultilevel"/>
    <w:lvl w:ilvl="0">
      <w:lvlJc w:val="left"/>
      <w:lvlText w:val="(%1)"/>
      <w:numFmt w:val="decimal"/>
      <w:start w:val="212"/>
    </w:lvl>
  </w:abstractNum>
  <w:abstractNum w:abstractNumId="29">
    <w:nsid w:val="737B8DDC"/>
    <w:multiLevelType w:val="hybridMultilevel"/>
    <w:lvl w:ilvl="0">
      <w:lvlJc w:val="left"/>
      <w:lvlText w:val="☒"/>
      <w:numFmt w:val="bullet"/>
      <w:start w:val="1"/>
    </w:lvl>
  </w:abstractNum>
  <w:abstractNum w:abstractNumId="30">
    <w:nsid w:val="6CEAF087"/>
    <w:multiLevelType w:val="hybridMultilevel"/>
    <w:lvl w:ilvl="0">
      <w:lvlJc w:val="left"/>
      <w:lvlText w:val="%1."/>
      <w:numFmt w:val="decimal"/>
      <w:start w:val="1"/>
    </w:lvl>
  </w:abstractNum>
  <w:abstractNum w:abstractNumId="31">
    <w:nsid w:val="22221A70"/>
    <w:multiLevelType w:val="hybridMultilevel"/>
    <w:lvl w:ilvl="0">
      <w:lvlJc w:val="left"/>
      <w:lvlText w:val="%1."/>
      <w:numFmt w:val="decimal"/>
      <w:start w:val="2"/>
    </w:lvl>
  </w:abstractNum>
  <w:abstractNum w:abstractNumId="32">
    <w:nsid w:val="4516DDE9"/>
    <w:multiLevelType w:val="hybridMultilevel"/>
    <w:lvl w:ilvl="0">
      <w:lvlJc w:val="left"/>
      <w:lvlText w:val="%1."/>
      <w:numFmt w:val="decimal"/>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2019-12-20T22:38:34Z</dcterms:created>
  <dcterms:modified xsi:type="dcterms:W3CDTF">2019-12-20T22:38:34Z</dcterms:modified>
</cp:coreProperties>
</file>