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95250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940" w:right="120" w:hanging="835"/>
        <w:spacing w:after="0" w:line="237" w:lineRule="auto"/>
        <w:tabs>
          <w:tab w:leader="none" w:pos="9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940" w:right="140" w:hanging="835"/>
        <w:spacing w:after="0" w:line="262" w:lineRule="auto"/>
        <w:tabs>
          <w:tab w:leader="none" w:pos="9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4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Sixth Street Specialty Lending,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460" w:type="dxa"/>
        <w:tblCellMar>
          <w:top w:w="0" w:type="dxa"/>
          <w:left w:w="0" w:type="dxa"/>
          <w:bottom w:w="0" w:type="dxa"/>
          <w:right w:w="0" w:type="dxa"/>
        </w:tblCellMar>
      </w:tblPr>
      <w:tr>
        <w:trPr>
          <w:trHeight w:val="214"/>
        </w:trPr>
        <w:tc>
          <w:tcPr>
            <w:tcW w:w="456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8"/>
        </w:trPr>
        <w:tc>
          <w:tcPr>
            <w:tcW w:w="4560" w:type="dxa"/>
            <w:vAlign w:val="bottom"/>
          </w:tcPr>
          <w:p>
            <w:pPr>
              <w:jc w:val="center"/>
              <w:ind w:right="1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80" w:type="dxa"/>
            <w:vAlign w:val="bottom"/>
          </w:tcPr>
          <w:p>
            <w:pPr>
              <w:jc w:val="center"/>
              <w:ind w:left="17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56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80" w:type="dxa"/>
            <w:vAlign w:val="bottom"/>
          </w:tcPr>
          <w:p>
            <w:pPr>
              <w:jc w:val="center"/>
              <w:ind w:left="17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456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1100</w:t>
            </w:r>
          </w:p>
        </w:tc>
        <w:tc>
          <w:tcPr>
            <w:tcW w:w="2980" w:type="dxa"/>
            <w:vAlign w:val="bottom"/>
          </w:tcPr>
          <w:p>
            <w:pPr>
              <w:spacing w:after="0"/>
              <w:rPr>
                <w:sz w:val="22"/>
                <w:szCs w:val="22"/>
                <w:color w:val="auto"/>
              </w:rPr>
            </w:pPr>
          </w:p>
        </w:tc>
      </w:tr>
      <w:tr>
        <w:trPr>
          <w:trHeight w:val="214"/>
        </w:trPr>
        <w:tc>
          <w:tcPr>
            <w:tcW w:w="4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9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4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80" w:type="dxa"/>
            <w:vAlign w:val="bottom"/>
          </w:tcPr>
          <w:p>
            <w:pPr>
              <w:jc w:val="center"/>
              <w:ind w:left="17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2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141"/>
        </w:trPr>
        <w:tc>
          <w:tcPr>
            <w:tcW w:w="3780" w:type="dxa"/>
            <w:vAlign w:val="bottom"/>
            <w:tcBorders>
              <w:bottom w:val="single" w:sz="8" w:color="auto"/>
            </w:tcBorders>
          </w:tcPr>
          <w:p>
            <w:pPr>
              <w:spacing w:after="0"/>
              <w:rPr>
                <w:sz w:val="12"/>
                <w:szCs w:val="12"/>
                <w:color w:val="auto"/>
              </w:rPr>
            </w:pPr>
          </w:p>
        </w:tc>
        <w:tc>
          <w:tcPr>
            <w:tcW w:w="372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r>
      <w:tr>
        <w:trPr>
          <w:trHeight w:val="102"/>
        </w:trPr>
        <w:tc>
          <w:tcPr>
            <w:tcW w:w="3780" w:type="dxa"/>
            <w:vAlign w:val="bottom"/>
            <w:tcBorders>
              <w:left w:val="single" w:sz="8" w:color="auto"/>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Title of each class</w:t>
            </w:r>
          </w:p>
        </w:tc>
        <w:tc>
          <w:tcPr>
            <w:tcW w:w="3720" w:type="dxa"/>
            <w:vAlign w:val="bottom"/>
            <w:tcBorders>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Trading Symbol(s)</w:t>
            </w:r>
          </w:p>
        </w:tc>
        <w:tc>
          <w:tcPr>
            <w:tcW w:w="3740" w:type="dxa"/>
            <w:vAlign w:val="bottom"/>
            <w:tcBorders>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9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TSLX</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58"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4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11" w:right="339" w:bottom="1440" w:gutter="0" w:footer="0" w:header="0"/>
        </w:sectPr>
      </w:pPr>
    </w:p>
    <w:p>
      <w:pPr>
        <w:spacing w:after="0" w:line="78" w:lineRule="exact"/>
        <w:rPr>
          <w:sz w:val="24"/>
          <w:szCs w:val="24"/>
          <w:color w:val="auto"/>
        </w:rPr>
      </w:pPr>
    </w:p>
    <w:p>
      <w:pPr>
        <w:spacing w:after="0" w:line="161" w:lineRule="exact"/>
        <w:tabs>
          <w:tab w:leader="none" w:pos="2880" w:val="left"/>
          <w:tab w:leader="none" w:pos="79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57" w:lineRule="exact"/>
        <w:rPr>
          <w:sz w:val="24"/>
          <w:szCs w:val="24"/>
          <w:color w:val="auto"/>
        </w:rPr>
      </w:pPr>
    </w:p>
    <w:p>
      <w:pPr>
        <w:spacing w:after="0" w:line="161" w:lineRule="exact"/>
        <w:tabs>
          <w:tab w:leader="none" w:pos="2880" w:val="left"/>
          <w:tab w:leader="none" w:pos="790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33" w:lineRule="exact"/>
        <w:rPr>
          <w:sz w:val="24"/>
          <w:szCs w:val="24"/>
          <w:color w:val="auto"/>
        </w:rPr>
      </w:pPr>
    </w:p>
    <w:p>
      <w:pPr>
        <w:ind w:left="79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53"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jc w:val="both"/>
        <w:ind w:right="3040"/>
        <w:spacing w:after="0" w:line="22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number of shares of the registrant’s common stock, $.01 par value per share, outstanding at November 3, 2026 was 95,713,159.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680" w:space="120"/>
            <w:col w:w="440"/>
          </w:cols>
          <w:pgMar w:left="320" w:top="141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8"/>
            <w:vMerge w:val="restart"/>
          </w:tcPr>
          <w:p>
            <w:pPr>
              <w:jc w:val="center"/>
              <w:ind w:right="43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00" w:type="dxa"/>
            <w:vAlign w:val="bottom"/>
          </w:tcPr>
          <w:p>
            <w:pPr>
              <w:spacing w:after="0"/>
              <w:rPr>
                <w:sz w:val="13"/>
                <w:szCs w:val="13"/>
                <w:color w:val="auto"/>
              </w:rPr>
            </w:pP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gridSpan w:val="8"/>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740" w:type="dxa"/>
            <w:vAlign w:val="bottom"/>
            <w:tcBorders>
              <w:top w:val="single" w:sz="8" w:color="0000FF"/>
            </w:tcBorders>
            <w:gridSpan w:val="3"/>
          </w:tcPr>
          <w:p>
            <w:pPr>
              <w:spacing w:after="0"/>
              <w:rPr>
                <w:sz w:val="24"/>
                <w:szCs w:val="24"/>
                <w:color w:val="auto"/>
              </w:rPr>
            </w:pPr>
          </w:p>
        </w:tc>
        <w:tc>
          <w:tcPr>
            <w:tcW w:w="6940" w:type="dxa"/>
            <w:vAlign w:val="bottom"/>
            <w:gridSpan w:val="13"/>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4"/>
                <w:szCs w:val="24"/>
                <w:color w:val="auto"/>
              </w:rPr>
            </w:pPr>
          </w:p>
        </w:tc>
        <w:tc>
          <w:tcPr>
            <w:tcW w:w="66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September 30, 2026 (Unaudited) and December 31, 2025</w:t>
            </w:r>
          </w:p>
        </w:tc>
        <w:tc>
          <w:tcPr>
            <w:tcW w:w="20" w:type="dxa"/>
            <w:vAlign w:val="bottom"/>
            <w:tcBorders>
              <w:bottom w:val="single" w:sz="8" w:color="0000EE"/>
            </w:tcBorders>
          </w:tcPr>
          <w:p>
            <w:pPr>
              <w:spacing w:after="0"/>
              <w:rPr>
                <w:sz w:val="24"/>
                <w:szCs w:val="24"/>
                <w:color w:val="auto"/>
              </w:rPr>
            </w:pPr>
          </w:p>
        </w:tc>
        <w:tc>
          <w:tcPr>
            <w:tcW w:w="2540" w:type="dxa"/>
            <w:vAlign w:val="bottom"/>
            <w:gridSpan w:val="5"/>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4"/>
                <w:szCs w:val="24"/>
                <w:color w:val="auto"/>
              </w:rPr>
            </w:pPr>
          </w:p>
        </w:tc>
        <w:tc>
          <w:tcPr>
            <w:tcW w:w="85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and nine months ended September 30, 2026 and 2025 (Unaudited)</w:t>
            </w:r>
          </w:p>
        </w:tc>
        <w:tc>
          <w:tcPr>
            <w:tcW w:w="6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4"/>
                <w:szCs w:val="24"/>
                <w:color w:val="auto"/>
              </w:rPr>
            </w:pPr>
          </w:p>
        </w:tc>
        <w:tc>
          <w:tcPr>
            <w:tcW w:w="9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Consolidated Schedules of Investments as of September 30, 2026 (Unaudited) and December 31, 2025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4"/>
                <w:szCs w:val="24"/>
                <w:color w:val="auto"/>
              </w:rPr>
            </w:pPr>
          </w:p>
        </w:tc>
        <w:tc>
          <w:tcPr>
            <w:tcW w:w="85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Consolidated Statements of Changes in Net Assets for the three and nine months ended September 30, 2026 and 2025</w:t>
            </w:r>
          </w:p>
        </w:tc>
        <w:tc>
          <w:tcPr>
            <w:tcW w:w="6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10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spacing w:after="0"/>
              <w:rPr>
                <w:sz w:val="24"/>
                <w:szCs w:val="24"/>
                <w:color w:val="auto"/>
              </w:rPr>
            </w:pPr>
          </w:p>
        </w:tc>
        <w:tc>
          <w:tcPr>
            <w:tcW w:w="79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2026 and 2025 (Unaudited)</w:t>
            </w:r>
          </w:p>
        </w:tc>
        <w:tc>
          <w:tcPr>
            <w:tcW w:w="1300" w:type="dxa"/>
            <w:vAlign w:val="bottom"/>
            <w:gridSpan w:val="3"/>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4"/>
                <w:szCs w:val="24"/>
                <w:color w:val="auto"/>
              </w:rPr>
            </w:pPr>
          </w:p>
        </w:tc>
        <w:tc>
          <w:tcPr>
            <w:tcW w:w="40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20" w:type="dxa"/>
            <w:vAlign w:val="bottom"/>
            <w:tcBorders>
              <w:bottom w:val="single" w:sz="8" w:color="0000EE"/>
            </w:tcBorders>
          </w:tcPr>
          <w:p>
            <w:pPr>
              <w:spacing w:after="0"/>
              <w:rPr>
                <w:sz w:val="24"/>
                <w:szCs w:val="24"/>
                <w:color w:val="auto"/>
              </w:rPr>
            </w:pPr>
          </w:p>
        </w:tc>
        <w:tc>
          <w:tcPr>
            <w:tcW w:w="5120" w:type="dxa"/>
            <w:vAlign w:val="bottom"/>
            <w:gridSpan w:val="10"/>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tcPr>
          <w:p>
            <w:pPr>
              <w:spacing w:after="0"/>
              <w:rPr>
                <w:sz w:val="24"/>
                <w:szCs w:val="24"/>
                <w:color w:val="auto"/>
              </w:rPr>
            </w:pPr>
          </w:p>
        </w:tc>
        <w:tc>
          <w:tcPr>
            <w:tcW w:w="2740" w:type="dxa"/>
            <w:vAlign w:val="bottom"/>
            <w:gridSpan w:val="7"/>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300" w:type="dxa"/>
            <w:vAlign w:val="bottom"/>
            <w:gridSpan w:val="14"/>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2"/>
          </w:tcPr>
          <w:p>
            <w:pPr>
              <w:spacing w:after="0"/>
              <w:rPr>
                <w:sz w:val="24"/>
                <w:szCs w:val="24"/>
                <w:color w:val="auto"/>
              </w:rPr>
            </w:pPr>
          </w:p>
        </w:tc>
        <w:tc>
          <w:tcPr>
            <w:tcW w:w="7880" w:type="dxa"/>
            <w:vAlign w:val="bottom"/>
            <w:gridSpan w:val="18"/>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3"/>
          </w:tcPr>
          <w:p>
            <w:pPr>
              <w:spacing w:after="0"/>
              <w:rPr>
                <w:sz w:val="24"/>
                <w:szCs w:val="24"/>
                <w:color w:val="auto"/>
              </w:rPr>
            </w:pPr>
          </w:p>
        </w:tc>
        <w:tc>
          <w:tcPr>
            <w:tcW w:w="4860" w:type="dxa"/>
            <w:vAlign w:val="bottom"/>
            <w:gridSpan w:val="9"/>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20" w:type="dxa"/>
            <w:vAlign w:val="bottom"/>
            <w:gridSpan w:val="15"/>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9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4"/>
          </w:tcPr>
          <w:p>
            <w:pPr>
              <w:spacing w:after="0"/>
              <w:rPr>
                <w:sz w:val="24"/>
                <w:szCs w:val="24"/>
                <w:color w:val="auto"/>
              </w:rPr>
            </w:pPr>
          </w:p>
        </w:tc>
        <w:tc>
          <w:tcPr>
            <w:tcW w:w="7900" w:type="dxa"/>
            <w:vAlign w:val="bottom"/>
            <w:gridSpan w:val="19"/>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90"/>
        </w:trPr>
        <w:tc>
          <w:tcPr>
            <w:tcW w:w="102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53"/>
        </w:trPr>
        <w:tc>
          <w:tcPr>
            <w:tcW w:w="10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380" w:type="dxa"/>
            <w:vAlign w:val="bottom"/>
            <w:gridSpan w:val="17"/>
          </w:tcPr>
          <w:p>
            <w:pPr>
              <w:jc w:val="right"/>
              <w:ind w:right="1768"/>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Sixth Street Specialty Lending, Inc. (the "Company", "we", "us", or "our") has filed with the Securities and Exchange Commission (the “SEC”), the following factors, among others, could cause actual results to differ materially from forward-looking statements or historical performance:</w:t>
      </w:r>
    </w:p>
    <w:p>
      <w:pPr>
        <w:spacing w:after="0" w:line="68" w:lineRule="exact"/>
        <w:rPr>
          <w:sz w:val="20"/>
          <w:szCs w:val="20"/>
          <w:color w:val="auto"/>
        </w:rPr>
      </w:pPr>
    </w:p>
    <w:p>
      <w:pPr>
        <w:ind w:left="520" w:right="42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53" w:lineRule="exact"/>
        <w:rPr>
          <w:rFonts w:ascii="Times New Roman" w:cs="Times New Roman" w:eastAsia="Times New Roman" w:hAnsi="Times New Roman"/>
          <w:sz w:val="18"/>
          <w:szCs w:val="18"/>
          <w:color w:val="auto"/>
        </w:rPr>
      </w:pPr>
    </w:p>
    <w:p>
      <w:pPr>
        <w:ind w:left="520" w:right="220" w:hanging="257"/>
        <w:spacing w:after="0" w:line="312" w:lineRule="auto"/>
        <w:tabs>
          <w:tab w:leader="none" w:pos="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31" w:lineRule="exact"/>
        <w:rPr>
          <w:rFonts w:ascii="Times New Roman" w:cs="Times New Roman" w:eastAsia="Times New Roman" w:hAnsi="Times New Roman"/>
          <w:sz w:val="17"/>
          <w:szCs w:val="17"/>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w:t>
      </w:r>
    </w:p>
    <w:p>
      <w:pPr>
        <w:spacing w:after="0" w:line="117" w:lineRule="exact"/>
        <w:rPr>
          <w:rFonts w:ascii="Times New Roman" w:cs="Times New Roman" w:eastAsia="Times New Roman" w:hAnsi="Times New Roman"/>
          <w:sz w:val="18"/>
          <w:szCs w:val="18"/>
          <w:color w:val="auto"/>
        </w:rPr>
      </w:pPr>
    </w:p>
    <w:p>
      <w:pPr>
        <w:ind w:left="520" w:right="20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w:t>
      </w:r>
    </w:p>
    <w:p>
      <w:pPr>
        <w:spacing w:after="0" w:line="53" w:lineRule="exact"/>
        <w:rPr>
          <w:rFonts w:ascii="Times New Roman" w:cs="Times New Roman" w:eastAsia="Times New Roman" w:hAnsi="Times New Roman"/>
          <w:sz w:val="18"/>
          <w:szCs w:val="18"/>
          <w:color w:val="auto"/>
        </w:rPr>
      </w:pPr>
    </w:p>
    <w:p>
      <w:pPr>
        <w:ind w:left="520" w:right="260" w:hanging="257"/>
        <w:spacing w:after="0" w:line="266"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including the effects of trade policies, government regulation and geopolitical conflicts may adversely affect our operations and the operations of our portfolio companies; and</w:t>
      </w:r>
    </w:p>
    <w:p>
      <w:pPr>
        <w:spacing w:after="0" w:line="67" w:lineRule="exact"/>
        <w:rPr>
          <w:rFonts w:ascii="Times New Roman" w:cs="Times New Roman" w:eastAsia="Times New Roman" w:hAnsi="Times New Roman"/>
          <w:sz w:val="18"/>
          <w:szCs w:val="18"/>
          <w:color w:val="auto"/>
        </w:rPr>
      </w:pPr>
    </w:p>
    <w:p>
      <w:pPr>
        <w:ind w:left="520" w:right="100" w:hanging="257"/>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report, in our Annual Report on Form 10-K for the year ended December 31, 2025, filed with the SEC on February 12, 2026, and elsewhere in our filings with the SEC.</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“TSLX” and “TAO” marks are marks of Sixth Street.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5"/>
                <w:szCs w:val="15"/>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7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tcBorders>
            <w:shd w:val="clear" w:color="auto" w:fill="CFF0FC"/>
          </w:tcPr>
          <w:p>
            <w:pPr>
              <w:spacing w:after="0"/>
              <w:rPr>
                <w:sz w:val="12"/>
                <w:szCs w:val="12"/>
                <w:color w:val="auto"/>
              </w:rPr>
            </w:pPr>
          </w:p>
        </w:tc>
        <w:tc>
          <w:tcPr>
            <w:tcW w:w="1600" w:type="dxa"/>
            <w:vAlign w:val="bottom"/>
            <w:tcBorders>
              <w:top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5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at fair value</w:t>
            </w: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 (amortized cost of $3,195,950 and $3,244,762, respectively)</w:t>
            </w:r>
          </w:p>
        </w:tc>
        <w:tc>
          <w:tcPr>
            <w:tcW w:w="1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3,206,959</w:t>
            </w: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3,288,945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Non-controlled, affiliated investments (amortized cost of $75,641 and $0, respectively)</w:t>
            </w:r>
          </w:p>
        </w:tc>
        <w:tc>
          <w:tcPr>
            <w:tcW w:w="1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79,990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30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Controlled, affiliated investments (amortized cost of $136,049 and $78,520, respectively)</w:t>
            </w:r>
          </w:p>
        </w:tc>
        <w:tc>
          <w:tcPr>
            <w:tcW w:w="18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106,086</w:t>
            </w:r>
          </w:p>
        </w:tc>
        <w:tc>
          <w:tcPr>
            <w:tcW w:w="3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58,372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investments at fair value (amortized cost of $3,407,640 and $3,323,282, respectively)</w:t>
            </w:r>
          </w:p>
        </w:tc>
        <w:tc>
          <w:tcPr>
            <w:tcW w:w="180" w:type="dxa"/>
            <w:vAlign w:val="bottom"/>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3,393,035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3,347,317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(restricted cash of $35,403 and $16,727, respectively)</w:t>
            </w:r>
          </w:p>
        </w:tc>
        <w:tc>
          <w:tcPr>
            <w:tcW w:w="1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40,499</w:t>
            </w: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and dividends receivable</w:t>
            </w:r>
          </w:p>
        </w:tc>
        <w:tc>
          <w:tcPr>
            <w:tcW w:w="1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38,609</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8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9,623</w:t>
            </w:r>
          </w:p>
        </w:tc>
        <w:tc>
          <w:tcPr>
            <w:tcW w:w="3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20,544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3,481,766</w:t>
            </w:r>
          </w:p>
        </w:tc>
        <w:tc>
          <w:tcPr>
            <w:tcW w:w="300" w:type="dxa"/>
            <w:vAlign w:val="bottom"/>
          </w:tcPr>
          <w:p>
            <w:pPr>
              <w:spacing w:after="0"/>
              <w:rPr>
                <w:sz w:val="12"/>
                <w:szCs w:val="12"/>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3,421,655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shd w:val="clear" w:color="auto" w:fill="CFF0FC"/>
          </w:tcPr>
          <w:p>
            <w:pPr>
              <w:spacing w:after="0"/>
              <w:rPr>
                <w:sz w:val="11"/>
                <w:szCs w:val="11"/>
                <w:color w:val="auto"/>
              </w:rPr>
            </w:pPr>
          </w:p>
        </w:tc>
        <w:tc>
          <w:tcPr>
            <w:tcW w:w="16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Debt (net of deferred financing costs of $27,234 and $24,411, respectively)</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1,871,877</w:t>
            </w:r>
          </w:p>
        </w:tc>
        <w:tc>
          <w:tcPr>
            <w:tcW w:w="300" w:type="dxa"/>
            <w:vAlign w:val="bottom"/>
          </w:tcPr>
          <w:p>
            <w:pPr>
              <w:spacing w:after="0"/>
              <w:rPr>
                <w:sz w:val="12"/>
                <w:szCs w:val="12"/>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1,743,234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Management fees payable to affiliate</w:t>
            </w:r>
          </w:p>
        </w:tc>
        <w:tc>
          <w:tcPr>
            <w:tcW w:w="1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12,745</w:t>
            </w: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1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18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6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payables to affiliate</w:t>
            </w:r>
          </w:p>
        </w:tc>
        <w:tc>
          <w:tcPr>
            <w:tcW w:w="18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4,312</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34,717</w:t>
            </w:r>
          </w:p>
        </w:tc>
        <w:tc>
          <w:tcPr>
            <w:tcW w:w="3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44,404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1,932,476</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1,813,934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8)</w:t>
            </w:r>
          </w:p>
        </w:tc>
        <w:tc>
          <w:tcPr>
            <w:tcW w:w="18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Assets</w:t>
            </w: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3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Preferred stock, $0.01 par value; 100,000,000 shares authorized; no shares</w:t>
            </w:r>
          </w:p>
        </w:tc>
        <w:tc>
          <w:tcPr>
            <w:tcW w:w="180" w:type="dxa"/>
            <w:vAlign w:val="bottom"/>
            <w:shd w:val="clear" w:color="auto" w:fill="CFF0FC"/>
          </w:tcPr>
          <w:p>
            <w:pPr>
              <w:spacing w:after="0"/>
              <w:rPr>
                <w:sz w:val="10"/>
                <w:szCs w:val="10"/>
                <w:color w:val="auto"/>
              </w:rPr>
            </w:pPr>
          </w:p>
        </w:tc>
        <w:tc>
          <w:tcPr>
            <w:tcW w:w="190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16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issued and outstanding</w:t>
            </w:r>
          </w:p>
        </w:tc>
        <w:tc>
          <w:tcPr>
            <w:tcW w:w="180" w:type="dxa"/>
            <w:vAlign w:val="bottom"/>
            <w:shd w:val="clear" w:color="auto" w:fill="CFF0FC"/>
          </w:tcPr>
          <w:p>
            <w:pPr>
              <w:spacing w:after="0"/>
              <w:rPr>
                <w:sz w:val="14"/>
                <w:szCs w:val="14"/>
                <w:color w:val="auto"/>
              </w:rPr>
            </w:pPr>
          </w:p>
        </w:tc>
        <w:tc>
          <w:tcPr>
            <w:tcW w:w="190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$0.01 par value; 400,000,000 shares authorized, 96,408,347</w:t>
            </w:r>
          </w:p>
        </w:tc>
        <w:tc>
          <w:tcPr>
            <w:tcW w:w="1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95,369,400 shares issued, respectively; and 95,713,159 and 94,705,150</w:t>
            </w:r>
          </w:p>
        </w:tc>
        <w:tc>
          <w:tcPr>
            <w:tcW w:w="18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outstanding, respectively</w:t>
            </w:r>
          </w:p>
        </w:tc>
        <w:tc>
          <w:tcPr>
            <w:tcW w:w="1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FF0FC"/>
          </w:tcPr>
          <w:p>
            <w:pPr>
              <w:spacing w:after="0"/>
              <w:rPr>
                <w:sz w:val="12"/>
                <w:szCs w:val="12"/>
                <w:color w:val="auto"/>
              </w:rPr>
            </w:pPr>
          </w:p>
        </w:tc>
        <w:tc>
          <w:tcPr>
            <w:tcW w:w="1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1,553,178</w:t>
            </w:r>
          </w:p>
        </w:tc>
        <w:tc>
          <w:tcPr>
            <w:tcW w:w="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1,535,583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Treasury stock at cost; 695,188 and 664,250 shares held, respectively</w:t>
            </w:r>
          </w:p>
        </w:tc>
        <w:tc>
          <w:tcPr>
            <w:tcW w:w="180" w:type="dxa"/>
            <w:vAlign w:val="bottom"/>
          </w:tcPr>
          <w:p>
            <w:pPr>
              <w:spacing w:after="0"/>
              <w:rPr>
                <w:sz w:val="12"/>
                <w:szCs w:val="12"/>
                <w:color w:val="auto"/>
              </w:rPr>
            </w:pPr>
          </w:p>
        </w:tc>
        <w:tc>
          <w:tcPr>
            <w:tcW w:w="1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(10,959)</w:t>
            </w:r>
          </w:p>
        </w:tc>
        <w:tc>
          <w:tcPr>
            <w:tcW w:w="180" w:type="dxa"/>
            <w:vAlign w:val="bottom"/>
          </w:tcPr>
          <w:p>
            <w:pPr>
              <w:spacing w:after="0"/>
              <w:rPr>
                <w:sz w:val="12"/>
                <w:szCs w:val="12"/>
                <w:color w:val="auto"/>
              </w:rPr>
            </w:pPr>
          </w:p>
        </w:tc>
        <w:tc>
          <w:tcPr>
            <w:tcW w:w="1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(10,459)</w:t>
            </w:r>
          </w:p>
        </w:tc>
        <w:tc>
          <w:tcPr>
            <w:tcW w:w="0" w:type="dxa"/>
            <w:vAlign w:val="bottom"/>
          </w:tcPr>
          <w:p>
            <w:pPr>
              <w:spacing w:after="0"/>
              <w:rPr>
                <w:sz w:val="1"/>
                <w:szCs w:val="1"/>
                <w:color w:val="auto"/>
              </w:rPr>
            </w:pPr>
          </w:p>
        </w:tc>
      </w:tr>
      <w:tr>
        <w:trPr>
          <w:trHeight w:val="148"/>
        </w:trPr>
        <w:tc>
          <w:tcPr>
            <w:tcW w:w="7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Distributable earnings</w:t>
            </w:r>
          </w:p>
        </w:tc>
        <w:tc>
          <w:tcPr>
            <w:tcW w:w="180" w:type="dxa"/>
            <w:vAlign w:val="bottom"/>
            <w:tcBorders>
              <w:bottom w:val="single" w:sz="8" w:color="auto"/>
            </w:tcBorders>
            <w:shd w:val="clear" w:color="auto" w:fill="CFF0FC"/>
          </w:tcPr>
          <w:p>
            <w:pPr>
              <w:spacing w:after="0"/>
              <w:rPr>
                <w:sz w:val="12"/>
                <w:szCs w:val="12"/>
                <w:color w:val="auto"/>
              </w:rPr>
            </w:pPr>
          </w:p>
        </w:tc>
        <w:tc>
          <w:tcPr>
            <w:tcW w:w="1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6,107</w:t>
            </w:r>
          </w:p>
        </w:tc>
        <w:tc>
          <w:tcPr>
            <w:tcW w:w="3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81,643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1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1,549,290</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1,607,721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30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1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3,481,766</w:t>
            </w:r>
          </w:p>
        </w:tc>
        <w:tc>
          <w:tcPr>
            <w:tcW w:w="3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3,421,655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300" w:type="dxa"/>
            <w:vAlign w:val="bottom"/>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16.19</w:t>
            </w:r>
          </w:p>
        </w:tc>
        <w:tc>
          <w:tcPr>
            <w:tcW w:w="300" w:type="dxa"/>
            <w:vAlign w:val="bottom"/>
          </w:tcPr>
          <w:p>
            <w:pPr>
              <w:spacing w:after="0"/>
              <w:rPr>
                <w:sz w:val="11"/>
                <w:szCs w:val="11"/>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-2580005</wp:posOffset>
            </wp:positionV>
            <wp:extent cx="77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-2580005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-2193925</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-1405255</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-351155</wp:posOffset>
            </wp:positionV>
            <wp:extent cx="77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-145415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-128270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3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340" w:type="dxa"/>
            <w:vAlign w:val="bottom"/>
          </w:tcPr>
          <w:p>
            <w:pPr>
              <w:spacing w:after="0"/>
              <w:rPr>
                <w:sz w:val="12"/>
                <w:szCs w:val="12"/>
                <w:color w:val="auto"/>
              </w:rPr>
            </w:pPr>
          </w:p>
        </w:tc>
        <w:tc>
          <w:tcPr>
            <w:tcW w:w="152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2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2"/>
                <w:szCs w:val="12"/>
                <w:color w:val="auto"/>
              </w:rPr>
            </w:pPr>
          </w:p>
        </w:tc>
      </w:tr>
      <w:tr>
        <w:trPr>
          <w:trHeight w:val="142"/>
        </w:trPr>
        <w:tc>
          <w:tcPr>
            <w:tcW w:w="4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380" w:type="dxa"/>
            <w:vAlign w:val="bottom"/>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from non-controlled, non-affiliated investments: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7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from investments</w:t>
            </w:r>
          </w:p>
        </w:tc>
        <w:tc>
          <w:tcPr>
            <w:tcW w:w="720" w:type="dxa"/>
            <w:vAlign w:val="bottom"/>
            <w:gridSpan w:val="2"/>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84,362</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5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92,221</w:t>
            </w: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249,311</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295,098</w:t>
            </w:r>
          </w:p>
        </w:tc>
        <w:tc>
          <w:tcPr>
            <w:tcW w:w="100" w:type="dxa"/>
            <w:vAlign w:val="bottom"/>
            <w:shd w:val="clear" w:color="auto" w:fill="CFF0FC"/>
          </w:tcPr>
          <w:p>
            <w:pPr>
              <w:spacing w:after="0"/>
              <w:rPr>
                <w:sz w:val="12"/>
                <w:szCs w:val="12"/>
                <w:color w:val="auto"/>
              </w:rPr>
            </w:pPr>
          </w:p>
        </w:tc>
      </w:tr>
      <w:tr>
        <w:trPr>
          <w:trHeight w:val="149"/>
        </w:trPr>
        <w:tc>
          <w:tcPr>
            <w:tcW w:w="4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Paid-in-kind interest income</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6,288</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6,883</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19,979</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18,026</w:t>
            </w:r>
          </w:p>
        </w:tc>
        <w:tc>
          <w:tcPr>
            <w:tcW w:w="100" w:type="dxa"/>
            <w:vAlign w:val="bottom"/>
          </w:tcPr>
          <w:p>
            <w:pPr>
              <w:spacing w:after="0"/>
              <w:rPr>
                <w:sz w:val="12"/>
                <w:szCs w:val="12"/>
                <w:color w:val="auto"/>
              </w:rPr>
            </w:pPr>
          </w:p>
        </w:tc>
      </w:tr>
      <w:tr>
        <w:trPr>
          <w:trHeight w:val="148"/>
        </w:trPr>
        <w:tc>
          <w:tcPr>
            <w:tcW w:w="47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 income</w:t>
            </w: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w:t>
            </w:r>
          </w:p>
        </w:tc>
        <w:tc>
          <w:tcPr>
            <w:tcW w:w="100" w:type="dxa"/>
            <w:vAlign w:val="bottom"/>
            <w:shd w:val="clear" w:color="auto" w:fill="CFF0FC"/>
          </w:tcPr>
          <w:p>
            <w:pPr>
              <w:spacing w:after="0"/>
              <w:rPr>
                <w:sz w:val="12"/>
                <w:szCs w:val="12"/>
                <w:color w:val="auto"/>
              </w:rPr>
            </w:pPr>
          </w:p>
        </w:tc>
      </w:tr>
      <w:tr>
        <w:trPr>
          <w:trHeight w:val="148"/>
        </w:trPr>
        <w:tc>
          <w:tcPr>
            <w:tcW w:w="4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3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w:t>
            </w:r>
          </w:p>
        </w:tc>
        <w:tc>
          <w:tcPr>
            <w:tcW w:w="2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7,397</w:t>
            </w:r>
          </w:p>
        </w:tc>
        <w:tc>
          <w:tcPr>
            <w:tcW w:w="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8,717</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18,465</w:t>
            </w:r>
          </w:p>
        </w:tc>
        <w:tc>
          <w:tcPr>
            <w:tcW w:w="100" w:type="dxa"/>
            <w:vAlign w:val="bottom"/>
          </w:tcPr>
          <w:p>
            <w:pPr>
              <w:spacing w:after="0"/>
              <w:rPr>
                <w:sz w:val="12"/>
                <w:szCs w:val="12"/>
                <w:color w:val="auto"/>
              </w:rPr>
            </w:pPr>
          </w:p>
        </w:tc>
      </w:tr>
      <w:tr>
        <w:trPr>
          <w:trHeight w:val="142"/>
        </w:trPr>
        <w:tc>
          <w:tcPr>
            <w:tcW w:w="4780" w:type="dxa"/>
            <w:vAlign w:val="bottom"/>
            <w:shd w:val="clear" w:color="auto" w:fill="CFF0FC"/>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investment income from non-controlled, non-affiliated investments</w:t>
            </w: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93,478</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106,769</w:t>
            </w: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278,752</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333,152</w:t>
            </w:r>
          </w:p>
        </w:tc>
        <w:tc>
          <w:tcPr>
            <w:tcW w:w="100" w:type="dxa"/>
            <w:vAlign w:val="bottom"/>
            <w:shd w:val="clear" w:color="auto" w:fill="CFF0FC"/>
          </w:tcPr>
          <w:p>
            <w:pPr>
              <w:spacing w:after="0"/>
              <w:rPr>
                <w:sz w:val="12"/>
                <w:szCs w:val="12"/>
                <w:color w:val="auto"/>
              </w:rPr>
            </w:pPr>
          </w:p>
        </w:tc>
      </w:tr>
      <w:tr>
        <w:trPr>
          <w:trHeight w:val="149"/>
        </w:trPr>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from non-controlled, affiliated investments: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78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 income</w:t>
            </w:r>
          </w:p>
        </w:tc>
        <w:tc>
          <w:tcPr>
            <w:tcW w:w="38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3,260</w:t>
            </w:r>
          </w:p>
        </w:tc>
        <w:tc>
          <w:tcPr>
            <w:tcW w:w="2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5,173</w:t>
            </w: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78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investment income from non-controlled, affiliated investments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3,260</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5,173</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Investment income from controlled, affiliated investments:</w:t>
            </w: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from investments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2,215</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2,672</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6,255</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7,649</w:t>
            </w:r>
          </w:p>
        </w:tc>
        <w:tc>
          <w:tcPr>
            <w:tcW w:w="100" w:type="dxa"/>
            <w:vAlign w:val="bottom"/>
          </w:tcPr>
          <w:p>
            <w:pPr>
              <w:spacing w:after="0"/>
              <w:rPr>
                <w:sz w:val="12"/>
                <w:szCs w:val="12"/>
                <w:color w:val="auto"/>
              </w:rPr>
            </w:pPr>
          </w:p>
        </w:tc>
      </w:tr>
      <w:tr>
        <w:trPr>
          <w:trHeight w:val="149"/>
        </w:trPr>
        <w:tc>
          <w:tcPr>
            <w:tcW w:w="478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38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34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78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investment income from controlled, affiliated investments</w:t>
            </w:r>
          </w:p>
        </w:tc>
        <w:tc>
          <w:tcPr>
            <w:tcW w:w="3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2,218</w:t>
            </w:r>
          </w:p>
        </w:tc>
        <w:tc>
          <w:tcPr>
            <w:tcW w:w="2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2,675</w:t>
            </w:r>
          </w:p>
        </w:tc>
        <w:tc>
          <w:tcPr>
            <w:tcW w:w="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6,272</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7,656</w:t>
            </w:r>
          </w:p>
        </w:tc>
        <w:tc>
          <w:tcPr>
            <w:tcW w:w="100" w:type="dxa"/>
            <w:vAlign w:val="bottom"/>
          </w:tcPr>
          <w:p>
            <w:pPr>
              <w:spacing w:after="0"/>
              <w:rPr>
                <w:sz w:val="12"/>
                <w:szCs w:val="12"/>
                <w:color w:val="auto"/>
              </w:rPr>
            </w:pPr>
          </w:p>
        </w:tc>
      </w:tr>
      <w:tr>
        <w:trPr>
          <w:trHeight w:val="142"/>
        </w:trPr>
        <w:tc>
          <w:tcPr>
            <w:tcW w:w="478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38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98,956</w:t>
            </w:r>
          </w:p>
        </w:tc>
        <w:tc>
          <w:tcPr>
            <w:tcW w:w="2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109,444</w:t>
            </w:r>
          </w:p>
        </w:tc>
        <w:tc>
          <w:tcPr>
            <w:tcW w:w="34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290,197</w:t>
            </w: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340,808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7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30,489</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31,385</w:t>
            </w: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88,832</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98,003</w:t>
            </w:r>
          </w:p>
        </w:tc>
        <w:tc>
          <w:tcPr>
            <w:tcW w:w="100" w:type="dxa"/>
            <w:vAlign w:val="bottom"/>
            <w:shd w:val="clear" w:color="auto" w:fill="CFF0FC"/>
          </w:tcPr>
          <w:p>
            <w:pPr>
              <w:spacing w:after="0"/>
              <w:rPr>
                <w:sz w:val="12"/>
                <w:szCs w:val="12"/>
                <w:color w:val="auto"/>
              </w:rPr>
            </w:pPr>
          </w:p>
        </w:tc>
      </w:tr>
      <w:tr>
        <w:trPr>
          <w:trHeight w:val="148"/>
        </w:trPr>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Management fees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13,268</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38,821</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39,082</w:t>
            </w:r>
          </w:p>
        </w:tc>
        <w:tc>
          <w:tcPr>
            <w:tcW w:w="100" w:type="dxa"/>
            <w:vAlign w:val="bottom"/>
          </w:tcPr>
          <w:p>
            <w:pPr>
              <w:spacing w:after="0"/>
              <w:rPr>
                <w:sz w:val="12"/>
                <w:szCs w:val="12"/>
                <w:color w:val="auto"/>
              </w:rPr>
            </w:pPr>
          </w:p>
        </w:tc>
      </w:tr>
      <w:tr>
        <w:trPr>
          <w:trHeight w:val="148"/>
        </w:trPr>
        <w:tc>
          <w:tcPr>
            <w:tcW w:w="4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w:t>
            </w: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8,825</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10,527</w:t>
            </w: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25,949</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33,132</w:t>
            </w:r>
          </w:p>
        </w:tc>
        <w:tc>
          <w:tcPr>
            <w:tcW w:w="100" w:type="dxa"/>
            <w:vAlign w:val="bottom"/>
            <w:shd w:val="clear" w:color="auto" w:fill="CFF0FC"/>
          </w:tcPr>
          <w:p>
            <w:pPr>
              <w:spacing w:after="0"/>
              <w:rPr>
                <w:sz w:val="12"/>
                <w:szCs w:val="12"/>
                <w:color w:val="auto"/>
              </w:rPr>
            </w:pPr>
          </w:p>
        </w:tc>
      </w:tr>
      <w:tr>
        <w:trPr>
          <w:trHeight w:val="149"/>
        </w:trPr>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(1,054)</w:t>
            </w:r>
          </w:p>
        </w:tc>
        <w:tc>
          <w:tcPr>
            <w:tcW w:w="36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(3,303)</w:t>
            </w:r>
          </w:p>
        </w:tc>
      </w:tr>
      <w:tr>
        <w:trPr>
          <w:trHeight w:val="148"/>
        </w:trPr>
        <w:tc>
          <w:tcPr>
            <w:tcW w:w="4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2,497</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6,660</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6,544</w:t>
            </w:r>
          </w:p>
        </w:tc>
        <w:tc>
          <w:tcPr>
            <w:tcW w:w="100" w:type="dxa"/>
            <w:vAlign w:val="bottom"/>
            <w:shd w:val="clear" w:color="auto" w:fill="CFF0FC"/>
          </w:tcPr>
          <w:p>
            <w:pPr>
              <w:spacing w:after="0"/>
              <w:rPr>
                <w:sz w:val="12"/>
                <w:szCs w:val="12"/>
                <w:color w:val="auto"/>
              </w:rPr>
            </w:pPr>
          </w:p>
        </w:tc>
      </w:tr>
      <w:tr>
        <w:trPr>
          <w:trHeight w:val="148"/>
        </w:trPr>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Directors’ fees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12"/>
                <w:szCs w:val="12"/>
                <w:color w:val="auto"/>
              </w:rPr>
            </w:pPr>
          </w:p>
        </w:tc>
      </w:tr>
      <w:tr>
        <w:trPr>
          <w:trHeight w:val="148"/>
        </w:trPr>
        <w:tc>
          <w:tcPr>
            <w:tcW w:w="47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general and administrative</w:t>
            </w:r>
          </w:p>
        </w:tc>
        <w:tc>
          <w:tcPr>
            <w:tcW w:w="38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w:t>
            </w:r>
          </w:p>
        </w:tc>
        <w:tc>
          <w:tcPr>
            <w:tcW w:w="26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w:t>
            </w:r>
          </w:p>
        </w:tc>
        <w:tc>
          <w:tcPr>
            <w:tcW w:w="34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4,489</w:t>
            </w:r>
          </w:p>
        </w:tc>
        <w:tc>
          <w:tcPr>
            <w:tcW w:w="22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4,124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478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expenses</w:t>
            </w:r>
          </w:p>
        </w:tc>
        <w:tc>
          <w:tcPr>
            <w:tcW w:w="3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56,675</w:t>
            </w:r>
          </w:p>
        </w:tc>
        <w:tc>
          <w:tcPr>
            <w:tcW w:w="2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57,674</w:t>
            </w:r>
          </w:p>
        </w:tc>
        <w:tc>
          <w:tcPr>
            <w:tcW w:w="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165,473</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178,284</w:t>
            </w:r>
          </w:p>
        </w:tc>
        <w:tc>
          <w:tcPr>
            <w:tcW w:w="100" w:type="dxa"/>
            <w:vAlign w:val="bottom"/>
          </w:tcPr>
          <w:p>
            <w:pPr>
              <w:spacing w:after="0"/>
              <w:rPr>
                <w:sz w:val="12"/>
                <w:szCs w:val="12"/>
                <w:color w:val="auto"/>
              </w:rPr>
            </w:pPr>
          </w:p>
        </w:tc>
      </w:tr>
      <w:tr>
        <w:trPr>
          <w:trHeight w:val="142"/>
        </w:trPr>
        <w:tc>
          <w:tcPr>
            <w:tcW w:w="4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Management and incentive fees waived (Note 3)</w:t>
            </w: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(523)</w:t>
            </w:r>
          </w:p>
        </w:tc>
        <w:tc>
          <w:tcPr>
            <w:tcW w:w="6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(284)</w:t>
            </w:r>
          </w:p>
        </w:tc>
        <w:tc>
          <w:tcPr>
            <w:tcW w:w="3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(1,311)</w:t>
            </w:r>
          </w:p>
        </w:tc>
        <w:tc>
          <w:tcPr>
            <w:tcW w:w="5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(990)</w:t>
            </w:r>
          </w:p>
        </w:tc>
      </w:tr>
      <w:tr>
        <w:trPr>
          <w:trHeight w:val="142"/>
        </w:trPr>
        <w:tc>
          <w:tcPr>
            <w:tcW w:w="4780" w:type="dxa"/>
            <w:vAlign w:val="bottom"/>
            <w:tcBorders>
              <w:top w:val="single" w:sz="8" w:color="CFF0FC"/>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Net Expenses</w:t>
            </w:r>
          </w:p>
        </w:tc>
        <w:tc>
          <w:tcPr>
            <w:tcW w:w="380" w:type="dxa"/>
            <w:vAlign w:val="bottom"/>
            <w:tcBorders>
              <w:top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56,152</w:t>
            </w:r>
          </w:p>
        </w:tc>
        <w:tc>
          <w:tcPr>
            <w:tcW w:w="260" w:type="dxa"/>
            <w:vAlign w:val="bottom"/>
            <w:tcBorders>
              <w:top w:val="single" w:sz="8" w:color="CFF0FC"/>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57,390</w:t>
            </w:r>
          </w:p>
        </w:tc>
        <w:tc>
          <w:tcPr>
            <w:tcW w:w="340" w:type="dxa"/>
            <w:vAlign w:val="bottom"/>
            <w:tcBorders>
              <w:top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164,162</w:t>
            </w:r>
          </w:p>
        </w:tc>
        <w:tc>
          <w:tcPr>
            <w:tcW w:w="220" w:type="dxa"/>
            <w:vAlign w:val="bottom"/>
            <w:tcBorders>
              <w:top w:val="single" w:sz="8" w:color="CFF0FC"/>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177,294</w:t>
            </w:r>
          </w:p>
        </w:tc>
        <w:tc>
          <w:tcPr>
            <w:tcW w:w="100" w:type="dxa"/>
            <w:vAlign w:val="bottom"/>
            <w:tcBorders>
              <w:top w:val="single" w:sz="8" w:color="CFF0FC"/>
            </w:tcBorders>
          </w:tcPr>
          <w:p>
            <w:pPr>
              <w:spacing w:after="0"/>
              <w:rPr>
                <w:sz w:val="12"/>
                <w:szCs w:val="12"/>
                <w:color w:val="auto"/>
              </w:rPr>
            </w:pPr>
          </w:p>
        </w:tc>
      </w:tr>
      <w:tr>
        <w:trPr>
          <w:trHeight w:val="142"/>
        </w:trPr>
        <w:tc>
          <w:tcPr>
            <w:tcW w:w="4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 Before Income Taxes</w:t>
            </w: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42,804</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52,054</w:t>
            </w: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126,035</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163,514</w:t>
            </w:r>
          </w:p>
        </w:tc>
        <w:tc>
          <w:tcPr>
            <w:tcW w:w="100" w:type="dxa"/>
            <w:vAlign w:val="bottom"/>
            <w:shd w:val="clear" w:color="auto" w:fill="CFF0FC"/>
          </w:tcPr>
          <w:p>
            <w:pPr>
              <w:spacing w:after="0"/>
              <w:rPr>
                <w:sz w:val="12"/>
                <w:szCs w:val="12"/>
                <w:color w:val="auto"/>
              </w:rPr>
            </w:pPr>
          </w:p>
        </w:tc>
      </w:tr>
      <w:tr>
        <w:trPr>
          <w:trHeight w:val="148"/>
        </w:trPr>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taxes, including excise taxes</w:t>
            </w:r>
          </w:p>
        </w:tc>
        <w:tc>
          <w:tcPr>
            <w:tcW w:w="3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2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1,374</w:t>
            </w:r>
          </w:p>
        </w:tc>
        <w:tc>
          <w:tcPr>
            <w:tcW w:w="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3,705</w:t>
            </w: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4,016</w:t>
            </w:r>
          </w:p>
        </w:tc>
        <w:tc>
          <w:tcPr>
            <w:tcW w:w="100" w:type="dxa"/>
            <w:vAlign w:val="bottom"/>
          </w:tcPr>
          <w:p>
            <w:pPr>
              <w:spacing w:after="0"/>
              <w:rPr>
                <w:sz w:val="12"/>
                <w:szCs w:val="12"/>
                <w:color w:val="auto"/>
              </w:rPr>
            </w:pPr>
          </w:p>
        </w:tc>
      </w:tr>
      <w:tr>
        <w:trPr>
          <w:trHeight w:val="142"/>
        </w:trPr>
        <w:tc>
          <w:tcPr>
            <w:tcW w:w="4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41,604</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50,680</w:t>
            </w: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122,330</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159,498</w:t>
            </w:r>
          </w:p>
        </w:tc>
        <w:tc>
          <w:tcPr>
            <w:tcW w:w="100" w:type="dxa"/>
            <w:vAlign w:val="bottom"/>
            <w:shd w:val="clear" w:color="auto" w:fill="CFF0FC"/>
          </w:tcPr>
          <w:p>
            <w:pPr>
              <w:spacing w:after="0"/>
              <w:rPr>
                <w:sz w:val="12"/>
                <w:szCs w:val="12"/>
                <w:color w:val="auto"/>
              </w:rPr>
            </w:pPr>
          </w:p>
        </w:tc>
      </w:tr>
      <w:tr>
        <w:trPr>
          <w:trHeight w:val="149"/>
        </w:trPr>
        <w:tc>
          <w:tcPr>
            <w:tcW w:w="4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and Realized Gains (Losses)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w:t>
            </w: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4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(3,887)</w:t>
            </w:r>
          </w:p>
        </w:tc>
        <w:tc>
          <w:tcPr>
            <w:tcW w:w="36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(33,175)</w:t>
            </w:r>
          </w:p>
        </w:tc>
        <w:tc>
          <w:tcPr>
            <w:tcW w:w="5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60,466</w:t>
            </w:r>
          </w:p>
        </w:tc>
        <w:tc>
          <w:tcPr>
            <w:tcW w:w="100" w:type="dxa"/>
            <w:vAlign w:val="bottom"/>
          </w:tcPr>
          <w:p>
            <w:pPr>
              <w:spacing w:after="0"/>
              <w:rPr>
                <w:sz w:val="12"/>
                <w:szCs w:val="12"/>
                <w:color w:val="auto"/>
              </w:rPr>
            </w:pPr>
          </w:p>
        </w:tc>
      </w:tr>
      <w:tr>
        <w:trPr>
          <w:trHeight w:val="148"/>
        </w:trPr>
        <w:tc>
          <w:tcPr>
            <w:tcW w:w="47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Non-controlled, affiliated investments</w:t>
            </w: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1,908</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4,349</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Controlled, affiliated investments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(5,021)</w:t>
            </w:r>
          </w:p>
        </w:tc>
        <w:tc>
          <w:tcPr>
            <w:tcW w:w="6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(3,019)</w:t>
            </w:r>
          </w:p>
        </w:tc>
        <w:tc>
          <w:tcPr>
            <w:tcW w:w="36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(9,814)</w:t>
            </w:r>
          </w:p>
        </w:tc>
        <w:tc>
          <w:tcPr>
            <w:tcW w:w="5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(7,385)</w:t>
            </w:r>
          </w:p>
        </w:tc>
      </w:tr>
      <w:tr>
        <w:trPr>
          <w:trHeight w:val="149"/>
        </w:trPr>
        <w:tc>
          <w:tcPr>
            <w:tcW w:w="47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Translation of other assets and liabilities in foreign currencies</w:t>
            </w: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3,797</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15,114</w:t>
            </w: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(36,052)</w:t>
            </w:r>
          </w:p>
        </w:tc>
      </w:tr>
      <w:tr>
        <w:trPr>
          <w:trHeight w:val="148"/>
        </w:trPr>
        <w:tc>
          <w:tcPr>
            <w:tcW w:w="4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6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54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7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(913)</w:t>
            </w:r>
          </w:p>
        </w:tc>
        <w:tc>
          <w:tcPr>
            <w:tcW w:w="6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(1,640)</w:t>
            </w:r>
          </w:p>
        </w:tc>
        <w:tc>
          <w:tcPr>
            <w:tcW w:w="5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100" w:type="dxa"/>
            <w:vAlign w:val="bottom"/>
            <w:shd w:val="clear" w:color="auto" w:fill="CFF0FC"/>
          </w:tcPr>
          <w:p>
            <w:pPr>
              <w:spacing w:after="0"/>
              <w:rPr>
                <w:sz w:val="12"/>
                <w:szCs w:val="12"/>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478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net change in unrealized gains (losses)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2,469</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(5,545)</w:t>
            </w:r>
          </w:p>
        </w:tc>
        <w:tc>
          <w:tcPr>
            <w:tcW w:w="360" w:type="dxa"/>
            <w:vAlign w:val="bottom"/>
          </w:tcPr>
          <w:p>
            <w:pPr>
              <w:spacing w:after="0"/>
              <w:rPr>
                <w:sz w:val="12"/>
                <w:szCs w:val="12"/>
                <w:color w:val="auto"/>
              </w:rPr>
            </w:pPr>
          </w:p>
        </w:tc>
        <w:tc>
          <w:tcPr>
            <w:tcW w:w="11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(25,237)</w:t>
            </w:r>
          </w:p>
        </w:tc>
        <w:tc>
          <w:tcPr>
            <w:tcW w:w="5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17,634</w:t>
            </w:r>
          </w:p>
        </w:tc>
        <w:tc>
          <w:tcPr>
            <w:tcW w:w="100" w:type="dxa"/>
            <w:vAlign w:val="bottom"/>
          </w:tcPr>
          <w:p>
            <w:pPr>
              <w:spacing w:after="0"/>
              <w:rPr>
                <w:sz w:val="12"/>
                <w:szCs w:val="12"/>
                <w:color w:val="auto"/>
              </w:rPr>
            </w:pPr>
          </w:p>
        </w:tc>
      </w:tr>
      <w:tr>
        <w:trPr>
          <w:trHeight w:val="142"/>
        </w:trPr>
        <w:tc>
          <w:tcPr>
            <w:tcW w:w="4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Realized gains (losses):</w:t>
            </w:r>
          </w:p>
        </w:tc>
        <w:tc>
          <w:tcPr>
            <w:tcW w:w="380" w:type="dxa"/>
            <w:vAlign w:val="bottom"/>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4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Non-controlled, non-affiliated investments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(9,753)</w:t>
            </w:r>
          </w:p>
        </w:tc>
        <w:tc>
          <w:tcPr>
            <w:tcW w:w="6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(48,215)</w:t>
            </w:r>
          </w:p>
        </w:tc>
        <w:tc>
          <w:tcPr>
            <w:tcW w:w="5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(34,919)</w:t>
            </w:r>
          </w:p>
        </w:tc>
      </w:tr>
      <w:tr>
        <w:trPr>
          <w:trHeight w:val="149"/>
        </w:trPr>
        <w:tc>
          <w:tcPr>
            <w:tcW w:w="47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currency transactions</w:t>
            </w: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3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5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(719)</w:t>
            </w:r>
          </w:p>
        </w:tc>
      </w:tr>
      <w:tr>
        <w:trPr>
          <w:trHeight w:val="148"/>
        </w:trPr>
        <w:tc>
          <w:tcPr>
            <w:tcW w:w="47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rate swaps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7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3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(937)</w:t>
            </w:r>
          </w:p>
        </w:tc>
      </w:tr>
      <w:tr>
        <w:trPr>
          <w:trHeight w:val="20"/>
        </w:trPr>
        <w:tc>
          <w:tcPr>
            <w:tcW w:w="478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478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net realized gains (losses)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(9,628)</w:t>
            </w:r>
          </w:p>
        </w:tc>
        <w:tc>
          <w:tcPr>
            <w:tcW w:w="620" w:type="dxa"/>
            <w:vAlign w:val="bottom"/>
          </w:tcPr>
          <w:p>
            <w:pPr>
              <w:spacing w:after="0"/>
              <w:rPr>
                <w:sz w:val="12"/>
                <w:szCs w:val="12"/>
                <w:color w:val="auto"/>
              </w:rPr>
            </w:pPr>
          </w:p>
        </w:tc>
        <w:tc>
          <w:tcPr>
            <w:tcW w:w="10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(535)</w:t>
            </w:r>
          </w:p>
        </w:tc>
        <w:tc>
          <w:tcPr>
            <w:tcW w:w="360" w:type="dxa"/>
            <w:vAlign w:val="bottom"/>
          </w:tcPr>
          <w:p>
            <w:pPr>
              <w:spacing w:after="0"/>
              <w:rPr>
                <w:sz w:val="12"/>
                <w:szCs w:val="12"/>
                <w:color w:val="auto"/>
              </w:rPr>
            </w:pPr>
          </w:p>
        </w:tc>
        <w:tc>
          <w:tcPr>
            <w:tcW w:w="11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(48,165)</w:t>
            </w:r>
          </w:p>
        </w:tc>
        <w:tc>
          <w:tcPr>
            <w:tcW w:w="540" w:type="dxa"/>
            <w:vAlign w:val="bottom"/>
          </w:tcPr>
          <w:p>
            <w:pPr>
              <w:spacing w:after="0"/>
              <w:rPr>
                <w:sz w:val="12"/>
                <w:szCs w:val="12"/>
                <w:color w:val="auto"/>
              </w:rPr>
            </w:pPr>
          </w:p>
        </w:tc>
        <w:tc>
          <w:tcPr>
            <w:tcW w:w="8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(36,575)</w:t>
            </w:r>
          </w:p>
        </w:tc>
      </w:tr>
      <w:tr>
        <w:trPr>
          <w:trHeight w:val="20"/>
        </w:trPr>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78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Total Net Unrealized and Realized Gains (Losses)</w:t>
            </w: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(7,159)</w:t>
            </w:r>
          </w:p>
        </w:tc>
        <w:tc>
          <w:tcPr>
            <w:tcW w:w="6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(6,080)</w:t>
            </w:r>
          </w:p>
        </w:tc>
        <w:tc>
          <w:tcPr>
            <w:tcW w:w="3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(73,402)</w:t>
            </w:r>
          </w:p>
        </w:tc>
        <w:tc>
          <w:tcPr>
            <w:tcW w:w="5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(18,941)</w:t>
            </w:r>
          </w:p>
        </w:tc>
      </w:tr>
      <w:tr>
        <w:trPr>
          <w:trHeight w:val="20"/>
        </w:trPr>
        <w:tc>
          <w:tcPr>
            <w:tcW w:w="478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478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 in Net Assets Resulting from Operations</w:t>
            </w:r>
          </w:p>
        </w:tc>
        <w:tc>
          <w:tcPr>
            <w:tcW w:w="720" w:type="dxa"/>
            <w:vAlign w:val="bottom"/>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34,445</w:t>
            </w:r>
          </w:p>
        </w:tc>
        <w:tc>
          <w:tcPr>
            <w:tcW w:w="260" w:type="dxa"/>
            <w:vAlign w:val="bottom"/>
          </w:tcPr>
          <w:p>
            <w:pPr>
              <w:spacing w:after="0"/>
              <w:rPr>
                <w:sz w:val="12"/>
                <w:szCs w:val="12"/>
                <w:color w:val="auto"/>
              </w:rPr>
            </w:pPr>
          </w:p>
        </w:tc>
        <w:tc>
          <w:tcPr>
            <w:tcW w:w="620" w:type="dxa"/>
            <w:vAlign w:val="bottom"/>
          </w:tcPr>
          <w:p>
            <w:pPr>
              <w:jc w:val="right"/>
              <w:ind w:right="5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44,600</w:t>
            </w:r>
          </w:p>
        </w:tc>
        <w:tc>
          <w:tcPr>
            <w:tcW w:w="340" w:type="dxa"/>
            <w:vAlign w:val="bottom"/>
          </w:tcPr>
          <w:p>
            <w:pPr>
              <w:spacing w:after="0"/>
              <w:rPr>
                <w:sz w:val="12"/>
                <w:szCs w:val="12"/>
                <w:color w:val="auto"/>
              </w:rPr>
            </w:pPr>
          </w:p>
        </w:tc>
        <w:tc>
          <w:tcPr>
            <w:tcW w:w="360" w:type="dxa"/>
            <w:vAlign w:val="bottom"/>
          </w:tcPr>
          <w:p>
            <w:pPr>
              <w:jc w:val="right"/>
              <w:ind w:right="240"/>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48,928</w:t>
            </w:r>
          </w:p>
        </w:tc>
        <w:tc>
          <w:tcPr>
            <w:tcW w:w="22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140,557</w:t>
            </w:r>
          </w:p>
        </w:tc>
        <w:tc>
          <w:tcPr>
            <w:tcW w:w="100" w:type="dxa"/>
            <w:vAlign w:val="bottom"/>
          </w:tcPr>
          <w:p>
            <w:pPr>
              <w:spacing w:after="0"/>
              <w:rPr>
                <w:sz w:val="12"/>
                <w:szCs w:val="12"/>
                <w:color w:val="auto"/>
              </w:rPr>
            </w:pPr>
          </w:p>
        </w:tc>
      </w:tr>
      <w:tr>
        <w:trPr>
          <w:trHeight w:val="20"/>
        </w:trPr>
        <w:tc>
          <w:tcPr>
            <w:tcW w:w="4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47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Earnings per common share—basic and diluted</w:t>
            </w:r>
          </w:p>
        </w:tc>
        <w:tc>
          <w:tcPr>
            <w:tcW w:w="720" w:type="dxa"/>
            <w:vAlign w:val="bottom"/>
            <w:gridSpan w:val="2"/>
            <w:shd w:val="clear" w:color="auto" w:fill="CFF0FC"/>
          </w:tcPr>
          <w:p>
            <w:pPr>
              <w:jc w:val="right"/>
              <w:ind w:right="2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0.36</w:t>
            </w:r>
          </w:p>
        </w:tc>
        <w:tc>
          <w:tcPr>
            <w:tcW w:w="26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50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0.47</w:t>
            </w:r>
          </w:p>
        </w:tc>
        <w:tc>
          <w:tcPr>
            <w:tcW w:w="340" w:type="dxa"/>
            <w:vAlign w:val="bottom"/>
            <w:shd w:val="clear" w:color="auto" w:fill="CFF0FC"/>
          </w:tcPr>
          <w:p>
            <w:pPr>
              <w:spacing w:after="0"/>
              <w:rPr>
                <w:sz w:val="11"/>
                <w:szCs w:val="11"/>
                <w:color w:val="auto"/>
              </w:rPr>
            </w:pPr>
          </w:p>
        </w:tc>
        <w:tc>
          <w:tcPr>
            <w:tcW w:w="36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0.51</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FF0FC"/>
          </w:tcPr>
          <w:p>
            <w:pPr>
              <w:spacing w:after="0"/>
              <w:rPr>
                <w:sz w:val="11"/>
                <w:szCs w:val="11"/>
                <w:color w:val="auto"/>
              </w:rPr>
            </w:pPr>
          </w:p>
        </w:tc>
      </w:tr>
      <w:tr>
        <w:trPr>
          <w:trHeight w:val="142"/>
        </w:trPr>
        <w:tc>
          <w:tcPr>
            <w:tcW w:w="47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Weighted average shares of common stock outstanding—basic and diluted</w:t>
            </w:r>
          </w:p>
        </w:tc>
        <w:tc>
          <w:tcPr>
            <w:tcW w:w="380" w:type="dxa"/>
            <w:vAlign w:val="bottom"/>
            <w:tcBorders>
              <w:top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95,347,161</w:t>
            </w:r>
          </w:p>
        </w:tc>
        <w:tc>
          <w:tcPr>
            <w:tcW w:w="260" w:type="dxa"/>
            <w:vAlign w:val="bottom"/>
            <w:tcBorders>
              <w:top w:val="single" w:sz="8" w:color="CFF0FC"/>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94,245,993</w:t>
            </w:r>
          </w:p>
        </w:tc>
        <w:tc>
          <w:tcPr>
            <w:tcW w:w="340" w:type="dxa"/>
            <w:vAlign w:val="bottom"/>
            <w:tcBorders>
              <w:top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95,028,344</w:t>
            </w:r>
          </w:p>
        </w:tc>
        <w:tc>
          <w:tcPr>
            <w:tcW w:w="220" w:type="dxa"/>
            <w:vAlign w:val="bottom"/>
            <w:tcBorders>
              <w:top w:val="single" w:sz="8" w:color="CFF0FC"/>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93,964,387</w:t>
            </w:r>
          </w:p>
        </w:tc>
        <w:tc>
          <w:tcPr>
            <w:tcW w:w="100" w:type="dxa"/>
            <w:vAlign w:val="bottom"/>
            <w:tcBorders>
              <w:top w:val="single" w:sz="8" w:color="CFF0FC"/>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-3839845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-3839845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-3839845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-3453765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-3453765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-3453765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-3248025</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-3248025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-3248025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-2485390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-2485390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-2485390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-2279650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-2279650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-2279650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-1122045</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-1122045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-1122045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-539115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-539115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-539115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-333375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-333375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-333375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-110490</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-110490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-110490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Schedule of Investments as of September 30, 2026</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Initial</w:t>
            </w:r>
          </w:p>
        </w:tc>
        <w:tc>
          <w:tcPr>
            <w:tcW w:w="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Reference</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8"/>
                <w:szCs w:val="18"/>
                <w:b w:val="1"/>
                <w:bCs w:val="1"/>
                <w:color w:val="auto"/>
                <w:vertAlign w:val="superscript"/>
              </w:rPr>
              <w:t>(1)</w:t>
            </w:r>
          </w:p>
        </w:tc>
        <w:tc>
          <w:tcPr>
            <w:tcW w:w="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6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Rate and</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80"/>
              <w:spacing w:after="0" w:line="139"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76"/>
        </w:trPr>
        <w:tc>
          <w:tcPr>
            <w:tcW w:w="28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60" w:type="dxa"/>
            <w:vAlign w:val="bottom"/>
          </w:tcPr>
          <w:p>
            <w:pPr>
              <w:spacing w:after="0"/>
              <w:rPr>
                <w:sz w:val="15"/>
                <w:szCs w:val="15"/>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80" w:type="dxa"/>
            <w:vAlign w:val="bottom"/>
          </w:tcPr>
          <w:p>
            <w:pPr>
              <w:spacing w:after="0"/>
              <w:rPr>
                <w:sz w:val="15"/>
                <w:szCs w:val="15"/>
                <w:color w:val="auto"/>
              </w:rPr>
            </w:pPr>
          </w:p>
        </w:tc>
        <w:tc>
          <w:tcPr>
            <w:tcW w:w="640" w:type="dxa"/>
            <w:vAlign w:val="bottom"/>
          </w:tcPr>
          <w:p>
            <w:pPr>
              <w:jc w:val="right"/>
              <w:ind w:right="2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Cost</w:t>
            </w:r>
            <w:r>
              <w:rPr>
                <w:rFonts w:ascii="Times New Roman" w:cs="Times New Roman" w:eastAsia="Times New Roman" w:hAnsi="Times New Roman"/>
                <w:sz w:val="8"/>
                <w:szCs w:val="8"/>
                <w:b w:val="1"/>
                <w:bCs w:val="1"/>
                <w:color w:val="auto"/>
              </w:rPr>
              <w:t xml:space="preserve"> (2)(8)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93"/>
              <w:spacing w:after="0" w:line="176" w:lineRule="exact"/>
              <w:rPr>
                <w:sz w:val="20"/>
                <w:szCs w:val="20"/>
                <w:color w:val="auto"/>
              </w:rPr>
            </w:pPr>
            <w:r>
              <w:rPr>
                <w:rFonts w:ascii="Times New Roman" w:cs="Times New Roman" w:eastAsia="Times New Roman" w:hAnsi="Times New Roman"/>
                <w:sz w:val="13"/>
                <w:szCs w:val="13"/>
                <w:b w:val="1"/>
                <w:bCs w:val="1"/>
                <w:color w:val="auto"/>
                <w:w w:val="96"/>
              </w:rPr>
              <w:t xml:space="preserve">Value </w:t>
            </w:r>
            <w:r>
              <w:rPr>
                <w:rFonts w:ascii="Times New Roman" w:cs="Times New Roman" w:eastAsia="Times New Roman" w:hAnsi="Times New Roman"/>
                <w:sz w:val="18"/>
                <w:szCs w:val="18"/>
                <w:b w:val="1"/>
                <w:bCs w:val="1"/>
                <w:color w:val="auto"/>
                <w:w w:val="96"/>
                <w:vertAlign w:val="superscript"/>
              </w:rPr>
              <w:t>(9)</w:t>
            </w:r>
          </w:p>
        </w:tc>
        <w:tc>
          <w:tcPr>
            <w:tcW w:w="16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of Net Assets</w:t>
            </w:r>
          </w:p>
        </w:tc>
        <w:tc>
          <w:tcPr>
            <w:tcW w:w="0" w:type="dxa"/>
            <w:vAlign w:val="bottom"/>
          </w:tcPr>
          <w:p>
            <w:pPr>
              <w:spacing w:after="0"/>
              <w:rPr>
                <w:sz w:val="1"/>
                <w:szCs w:val="1"/>
                <w:color w:val="auto"/>
              </w:rPr>
            </w:pPr>
          </w:p>
        </w:tc>
      </w:tr>
      <w:tr>
        <w:trPr>
          <w:trHeight w:val="142"/>
        </w:trPr>
        <w:tc>
          <w:tcPr>
            <w:tcW w:w="28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Debt Investments</w:t>
            </w:r>
          </w:p>
        </w:tc>
        <w:tc>
          <w:tcPr>
            <w:tcW w:w="40" w:type="dxa"/>
            <w:vAlign w:val="bottom"/>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820" w:type="dxa"/>
            <w:vAlign w:val="bottom"/>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82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Artisan Bidco, Inc. </w:t>
            </w:r>
            <w:r>
              <w:rPr>
                <w:rFonts w:ascii="Times New Roman" w:cs="Times New Roman" w:eastAsia="Times New Roman" w:hAnsi="Times New Roman"/>
                <w:sz w:val="18"/>
                <w:szCs w:val="18"/>
                <w:color w:val="auto"/>
                <w:vertAlign w:val="superscript"/>
              </w:rPr>
              <w:t>(3)</w:t>
            </w:r>
          </w:p>
        </w:tc>
        <w:tc>
          <w:tcPr>
            <w:tcW w:w="40" w:type="dxa"/>
            <w:vAlign w:val="bottom"/>
          </w:tcPr>
          <w:p>
            <w:pPr>
              <w:spacing w:after="0"/>
              <w:rPr>
                <w:sz w:val="14"/>
                <w:szCs w:val="14"/>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($38,143 par, due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11/7/2023</w:t>
            </w:r>
          </w:p>
        </w:tc>
        <w:tc>
          <w:tcPr>
            <w:tcW w:w="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+ 7.00%</w:t>
            </w: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10.74%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37,701</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37,476</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11/2029)</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loan (EUR 17,247 par, due</w:t>
            </w:r>
          </w:p>
        </w:tc>
        <w:tc>
          <w:tcPr>
            <w:tcW w:w="8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11/7/2023</w:t>
            </w: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E + 7.00%</w:t>
            </w:r>
          </w:p>
        </w:tc>
        <w:tc>
          <w:tcPr>
            <w:tcW w:w="1480" w:type="dxa"/>
            <w:vAlign w:val="bottom"/>
            <w:gridSpan w:val="3"/>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9.31%</w:t>
            </w:r>
          </w:p>
        </w:tc>
        <w:tc>
          <w:tcPr>
            <w:tcW w:w="72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18,321</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19,248</w:t>
            </w:r>
          </w:p>
        </w:tc>
        <w:tc>
          <w:tcPr>
            <w:tcW w:w="120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spacing w:after="0"/>
              <w:rPr>
                <w:sz w:val="12"/>
                <w:szCs w:val="12"/>
                <w:color w:val="auto"/>
              </w:rPr>
            </w:pPr>
          </w:p>
        </w:tc>
        <w:tc>
          <w:tcPr>
            <w:tcW w:w="22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11/2029)</w:t>
            </w: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16,945)</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revolving loan ($5,145 par,</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11/7/2023</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SOFR + 7.00%</w:t>
            </w:r>
          </w:p>
        </w:tc>
        <w:tc>
          <w:tcPr>
            <w:tcW w:w="148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10.73%</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5,086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5,045</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Azurite Intermediate Holdings, Inc. </w:t>
            </w:r>
            <w:r>
              <w:rPr>
                <w:rFonts w:ascii="Times New Roman" w:cs="Times New Roman" w:eastAsia="Times New Roman" w:hAnsi="Times New Roman"/>
                <w:sz w:val="18"/>
                <w:szCs w:val="18"/>
                <w:color w:val="auto"/>
                <w:vertAlign w:val="superscript"/>
              </w:rPr>
              <w:t>(3)</w:t>
            </w:r>
          </w:p>
        </w:tc>
        <w:tc>
          <w:tcPr>
            <w:tcW w:w="40" w:type="dxa"/>
            <w:vAlign w:val="bottom"/>
          </w:tcPr>
          <w:p>
            <w:pPr>
              <w:spacing w:after="0"/>
              <w:rPr>
                <w:sz w:val="14"/>
                <w:szCs w:val="14"/>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11/2029)</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loan ($42,536 par, due</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3/19/2024</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SOFR + 6.00%</w:t>
            </w:r>
          </w:p>
        </w:tc>
        <w:tc>
          <w:tcPr>
            <w:tcW w:w="148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9.90%</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42,010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41,945</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BCTO Ignition Purchaser, Inc. </w:t>
            </w:r>
            <w:r>
              <w:rPr>
                <w:rFonts w:ascii="Times New Roman" w:cs="Times New Roman" w:eastAsia="Times New Roman" w:hAnsi="Times New Roman"/>
                <w:sz w:val="18"/>
                <w:szCs w:val="18"/>
                <w:color w:val="auto"/>
                <w:vertAlign w:val="superscript"/>
              </w:rPr>
              <w:t>(3)</w:t>
            </w: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3/2031)</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holdco loan ($59,207 par, due</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4/18/2023</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SOFR + 7.50%</w:t>
            </w:r>
          </w:p>
        </w:tc>
        <w:tc>
          <w:tcPr>
            <w:tcW w:w="160" w:type="dxa"/>
            <w:vAlign w:val="bottom"/>
          </w:tcPr>
          <w:p>
            <w:pPr>
              <w:spacing w:after="0"/>
              <w:rPr>
                <w:sz w:val="11"/>
                <w:szCs w:val="11"/>
                <w:color w:val="auto"/>
              </w:rPr>
            </w:pPr>
          </w:p>
        </w:tc>
        <w:tc>
          <w:tcPr>
            <w:tcW w:w="132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11.23% PIK</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58,396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59,799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Cascade Parent Limited </w:t>
            </w:r>
            <w:r>
              <w:rPr>
                <w:rFonts w:ascii="Times New Roman" w:cs="Times New Roman" w:eastAsia="Times New Roman" w:hAnsi="Times New Roman"/>
                <w:sz w:val="18"/>
                <w:szCs w:val="18"/>
                <w:color w:val="auto"/>
                <w:vertAlign w:val="superscript"/>
              </w:rPr>
              <w:t>(3)(4)</w:t>
            </w: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10/2030)</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loan ($44,444 par, due</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8/17/2026</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SOFR + 6.75%</w:t>
            </w:r>
          </w:p>
        </w:tc>
        <w:tc>
          <w:tcPr>
            <w:tcW w:w="148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10.49%</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42,495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42,444</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Crewline Buyer, Inc. </w:t>
            </w:r>
            <w:r>
              <w:rPr>
                <w:rFonts w:ascii="Times New Roman" w:cs="Times New Roman" w:eastAsia="Times New Roman" w:hAnsi="Times New Roman"/>
                <w:sz w:val="18"/>
                <w:szCs w:val="18"/>
                <w:color w:val="auto"/>
                <w:vertAlign w:val="superscript"/>
              </w:rPr>
              <w:t>(3)</w:t>
            </w: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8/2030)</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loan ($58,384 par, due</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11/8/2023</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SOFR + 6.75%</w:t>
            </w:r>
          </w:p>
        </w:tc>
        <w:tc>
          <w:tcPr>
            <w:tcW w:w="148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10.57%</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57,302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55,653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Crucible Buyer, Inc. </w:t>
            </w:r>
            <w:r>
              <w:rPr>
                <w:rFonts w:ascii="Times New Roman" w:cs="Times New Roman" w:eastAsia="Times New Roman" w:hAnsi="Times New Roman"/>
                <w:sz w:val="18"/>
                <w:szCs w:val="18"/>
                <w:color w:val="auto"/>
                <w:vertAlign w:val="superscript"/>
              </w:rPr>
              <w:t>(3)</w:t>
            </w: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11/2030)</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loan ($35,779 par, due</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8/31/2026</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SOFR + 5.00%</w:t>
            </w:r>
          </w:p>
        </w:tc>
        <w:tc>
          <w:tcPr>
            <w:tcW w:w="148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8.76%</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35,406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35,483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8/2033)</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revolving loan ($615 par, due</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8/31/2026</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SOFR + 5.00%</w:t>
            </w:r>
          </w:p>
        </w:tc>
        <w:tc>
          <w:tcPr>
            <w:tcW w:w="148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8.76%</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560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592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8/2032)</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revolving loan ($492 par, due</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8/31/2026</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P + 4.00%</w:t>
            </w:r>
          </w:p>
        </w:tc>
        <w:tc>
          <w:tcPr>
            <w:tcW w:w="148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11.00%</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492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473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Elements Finco Limited </w:t>
            </w:r>
            <w:r>
              <w:rPr>
                <w:rFonts w:ascii="Times New Roman" w:cs="Times New Roman" w:eastAsia="Times New Roman" w:hAnsi="Times New Roman"/>
                <w:sz w:val="18"/>
                <w:szCs w:val="18"/>
                <w:color w:val="auto"/>
                <w:vertAlign w:val="superscript"/>
              </w:rPr>
              <w:t>(3)(4)</w:t>
            </w: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8/2032)</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loan ($2,309 par, due 4/2031)</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4/29/2024</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SOFR + 5.25%</w:t>
            </w:r>
          </w:p>
        </w:tc>
        <w:tc>
          <w:tcPr>
            <w:tcW w:w="160" w:type="dxa"/>
            <w:vAlign w:val="bottom"/>
          </w:tcPr>
          <w:p>
            <w:pPr>
              <w:spacing w:after="0"/>
              <w:rPr>
                <w:sz w:val="11"/>
                <w:szCs w:val="11"/>
                <w:color w:val="auto"/>
              </w:rPr>
            </w:pPr>
          </w:p>
        </w:tc>
        <w:tc>
          <w:tcPr>
            <w:tcW w:w="132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9.15% (incl. 2.25%</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2,297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2,205</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PIK)</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First-lien loan ($1,848 par, due 4/2031)</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4/29/2024</w:t>
            </w: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SOFR + 5.00%</w:t>
            </w:r>
          </w:p>
        </w:tc>
        <w:tc>
          <w:tcPr>
            <w:tcW w:w="1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8.90%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1,842</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loan (GBP 10,727 par, due</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4/29/2024</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S + 5.50%</w:t>
            </w:r>
          </w:p>
        </w:tc>
        <w:tc>
          <w:tcPr>
            <w:tcW w:w="160" w:type="dxa"/>
            <w:vAlign w:val="bottom"/>
          </w:tcPr>
          <w:p>
            <w:pPr>
              <w:spacing w:after="0"/>
              <w:rPr>
                <w:sz w:val="11"/>
                <w:szCs w:val="11"/>
                <w:color w:val="auto"/>
              </w:rPr>
            </w:pPr>
          </w:p>
        </w:tc>
        <w:tc>
          <w:tcPr>
            <w:tcW w:w="132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9.23% (incl. 2.50%</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13,381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13,680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4/2031)</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PIK)</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ExtraHop Networks, Inc. </w:t>
            </w:r>
            <w:r>
              <w:rPr>
                <w:rFonts w:ascii="Times New Roman" w:cs="Times New Roman" w:eastAsia="Times New Roman" w:hAnsi="Times New Roman"/>
                <w:sz w:val="18"/>
                <w:szCs w:val="18"/>
                <w:color w:val="auto"/>
                <w:vertAlign w:val="superscript"/>
              </w:rPr>
              <w:t>(3)(5)</w:t>
            </w:r>
          </w:p>
        </w:tc>
        <w:tc>
          <w:tcPr>
            <w:tcW w:w="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10,298)</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loan ($75,718 par, due</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7/22/2021</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SOFR + 6.65%</w:t>
            </w:r>
          </w:p>
        </w:tc>
        <w:tc>
          <w:tcPr>
            <w:tcW w:w="148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10.41%</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75,479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75,150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7/2027)</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revolving loan ($758 par, due</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7/22/2021</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SOFR + 6.65%</w:t>
            </w:r>
          </w:p>
        </w:tc>
        <w:tc>
          <w:tcPr>
            <w:tcW w:w="148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10.62%</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752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750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Lynx BidCo </w:t>
            </w:r>
            <w:r>
              <w:rPr>
                <w:rFonts w:ascii="Times New Roman" w:cs="Times New Roman" w:eastAsia="Times New Roman" w:hAnsi="Times New Roman"/>
                <w:sz w:val="18"/>
                <w:szCs w:val="18"/>
                <w:color w:val="auto"/>
                <w:vertAlign w:val="superscript"/>
              </w:rPr>
              <w:t>(3)(4)</w:t>
            </w: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7/2027)</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loan ($1,519 par, due 7/2031)</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7/5/2024</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SOFR + 6.25%</w:t>
            </w:r>
          </w:p>
        </w:tc>
        <w:tc>
          <w:tcPr>
            <w:tcW w:w="160" w:type="dxa"/>
            <w:vAlign w:val="bottom"/>
          </w:tcPr>
          <w:p>
            <w:pPr>
              <w:spacing w:after="0"/>
              <w:rPr>
                <w:sz w:val="11"/>
                <w:szCs w:val="11"/>
                <w:color w:val="auto"/>
              </w:rPr>
            </w:pPr>
          </w:p>
        </w:tc>
        <w:tc>
          <w:tcPr>
            <w:tcW w:w="132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10.32% (incl. 5.61%</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1,476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1,506</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PIK)</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loan (EUR 27,947 par, due</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7/5/2024</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E + 6.25%</w:t>
            </w:r>
          </w:p>
        </w:tc>
        <w:tc>
          <w:tcPr>
            <w:tcW w:w="160" w:type="dxa"/>
            <w:vAlign w:val="bottom"/>
          </w:tcPr>
          <w:p>
            <w:pPr>
              <w:spacing w:after="0"/>
              <w:rPr>
                <w:sz w:val="11"/>
                <w:szCs w:val="11"/>
                <w:color w:val="auto"/>
              </w:rPr>
            </w:pPr>
          </w:p>
        </w:tc>
        <w:tc>
          <w:tcPr>
            <w:tcW w:w="132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8.84% (incl. 5.61%</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32,026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31,589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7/2031)</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PIK)</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Mitnick Corporate Purchaser, Inc. </w:t>
            </w:r>
            <w:r>
              <w:rPr>
                <w:rFonts w:ascii="Times New Roman" w:cs="Times New Roman" w:eastAsia="Times New Roman" w:hAnsi="Times New Roman"/>
                <w:sz w:val="18"/>
                <w:szCs w:val="18"/>
                <w:color w:val="auto"/>
                <w:vertAlign w:val="superscript"/>
              </w:rPr>
              <w:t>(3)(13)</w:t>
            </w:r>
          </w:p>
        </w:tc>
        <w:tc>
          <w:tcPr>
            <w:tcW w:w="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27,811)</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0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First-lien loan ($320 par, due 5/2029)</w:t>
            </w:r>
          </w:p>
        </w:tc>
        <w:tc>
          <w:tcPr>
            <w:tcW w:w="8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5/2/2022</w:t>
            </w:r>
          </w:p>
        </w:tc>
        <w:tc>
          <w:tcPr>
            <w:tcW w:w="60" w:type="dxa"/>
            <w:vAlign w:val="bottom"/>
          </w:tcPr>
          <w:p>
            <w:pPr>
              <w:spacing w:after="0"/>
              <w:rPr>
                <w:sz w:val="10"/>
                <w:szCs w:val="10"/>
                <w:color w:val="auto"/>
              </w:rPr>
            </w:pPr>
          </w:p>
        </w:tc>
        <w:tc>
          <w:tcPr>
            <w:tcW w:w="92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SOFR + 4.75%</w:t>
            </w:r>
          </w:p>
        </w:tc>
        <w:tc>
          <w:tcPr>
            <w:tcW w:w="1480" w:type="dxa"/>
            <w:vAlign w:val="bottom"/>
            <w:gridSpan w:val="3"/>
          </w:tcPr>
          <w:p>
            <w:pPr>
              <w:jc w:val="right"/>
              <w:ind w:right="80"/>
              <w:spacing w:after="0" w:line="126" w:lineRule="exact"/>
              <w:rPr>
                <w:sz w:val="20"/>
                <w:szCs w:val="20"/>
                <w:color w:val="auto"/>
              </w:rPr>
            </w:pPr>
            <w:r>
              <w:rPr>
                <w:rFonts w:ascii="Times New Roman" w:cs="Times New Roman" w:eastAsia="Times New Roman" w:hAnsi="Times New Roman"/>
                <w:sz w:val="13"/>
                <w:szCs w:val="13"/>
                <w:color w:val="auto"/>
              </w:rPr>
              <w:t>8.67%</w:t>
            </w:r>
          </w:p>
        </w:tc>
        <w:tc>
          <w:tcPr>
            <w:tcW w:w="7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320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62</w:t>
            </w:r>
          </w:p>
        </w:tc>
        <w:tc>
          <w:tcPr>
            <w:tcW w:w="120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72"/>
        </w:trPr>
        <w:tc>
          <w:tcPr>
            <w:tcW w:w="282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Price Fx Inc. </w:t>
            </w:r>
            <w:r>
              <w:rPr>
                <w:rFonts w:ascii="Times New Roman" w:cs="Times New Roman" w:eastAsia="Times New Roman" w:hAnsi="Times New Roman"/>
                <w:sz w:val="18"/>
                <w:szCs w:val="18"/>
                <w:color w:val="auto"/>
                <w:vertAlign w:val="superscript"/>
              </w:rPr>
              <w:t>(3)(4)</w:t>
            </w:r>
          </w:p>
        </w:tc>
        <w:tc>
          <w:tcPr>
            <w:tcW w:w="40" w:type="dxa"/>
            <w:vAlign w:val="bottom"/>
          </w:tcPr>
          <w:p>
            <w:pPr>
              <w:spacing w:after="0"/>
              <w:rPr>
                <w:sz w:val="14"/>
                <w:szCs w:val="14"/>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(EUR 910 par, due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10/27/2023</w:t>
            </w:r>
          </w:p>
        </w:tc>
        <w:tc>
          <w:tcPr>
            <w:tcW w:w="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 + 7.00%</w:t>
            </w: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9.45%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10/2029)</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915)</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loan (EUR 910 par, due</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12/19/2024</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E + 6.25%</w:t>
            </w:r>
          </w:p>
        </w:tc>
        <w:tc>
          <w:tcPr>
            <w:tcW w:w="148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8.70%</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930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1,039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USA DeBusk, LLC </w:t>
            </w:r>
            <w:r>
              <w:rPr>
                <w:rFonts w:ascii="Times New Roman" w:cs="Times New Roman" w:eastAsia="Times New Roman" w:hAnsi="Times New Roman"/>
                <w:sz w:val="18"/>
                <w:szCs w:val="18"/>
                <w:color w:val="auto"/>
                <w:vertAlign w:val="superscript"/>
              </w:rPr>
              <w:t>(3)</w:t>
            </w: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10/2029)</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915)</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($9,421 par, due 4/2031)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4/30/2024</w:t>
            </w:r>
          </w:p>
        </w:tc>
        <w:tc>
          <w:tcPr>
            <w:tcW w:w="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+ 5.25%</w:t>
            </w: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9.04%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9,491</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revolving loan ($1,191 par,</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4/30/2024</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SOFR + 5.25%</w:t>
            </w:r>
          </w:p>
        </w:tc>
        <w:tc>
          <w:tcPr>
            <w:tcW w:w="148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9.10%</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1,179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1,202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Wrangler TopCo, LLC </w:t>
            </w:r>
            <w:r>
              <w:rPr>
                <w:rFonts w:ascii="Times New Roman" w:cs="Times New Roman" w:eastAsia="Times New Roman" w:hAnsi="Times New Roman"/>
                <w:sz w:val="18"/>
                <w:szCs w:val="18"/>
                <w:color w:val="auto"/>
                <w:vertAlign w:val="superscript"/>
              </w:rPr>
              <w:t>(3)</w:t>
            </w:r>
          </w:p>
        </w:tc>
        <w:tc>
          <w:tcPr>
            <w:tcW w:w="40" w:type="dxa"/>
            <w:vAlign w:val="bottom"/>
          </w:tcPr>
          <w:p>
            <w:pPr>
              <w:spacing w:after="0"/>
              <w:rPr>
                <w:sz w:val="14"/>
                <w:szCs w:val="14"/>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4/2030)</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($5,924 par, due 9/2029)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7/7/2023</w:t>
            </w:r>
          </w:p>
        </w:tc>
        <w:tc>
          <w:tcPr>
            <w:tcW w:w="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+ 5.50%</w:t>
            </w: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9.25%</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5,941</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443,592</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443,573</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28.6%</w:t>
            </w:r>
          </w:p>
        </w:tc>
        <w:tc>
          <w:tcPr>
            <w:tcW w:w="0" w:type="dxa"/>
            <w:vAlign w:val="bottom"/>
          </w:tcPr>
          <w:p>
            <w:pPr>
              <w:spacing w:after="0"/>
              <w:rPr>
                <w:sz w:val="1"/>
                <w:szCs w:val="1"/>
                <w:color w:val="auto"/>
              </w:rPr>
            </w:pPr>
          </w:p>
        </w:tc>
      </w:tr>
      <w:tr>
        <w:trPr>
          <w:trHeight w:val="115"/>
        </w:trPr>
        <w:tc>
          <w:tcPr>
            <w:tcW w:w="28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Chemicals</w:t>
            </w:r>
          </w:p>
        </w:tc>
        <w:tc>
          <w:tcPr>
            <w:tcW w:w="40" w:type="dxa"/>
            <w:vAlign w:val="bottom"/>
            <w:tcBorders>
              <w:top w:val="single" w:sz="8" w:color="CFF0FC"/>
            </w:tcBorders>
          </w:tcPr>
          <w:p>
            <w:pPr>
              <w:spacing w:after="0"/>
              <w:rPr>
                <w:sz w:val="10"/>
                <w:szCs w:val="10"/>
                <w:color w:val="auto"/>
              </w:rPr>
            </w:pPr>
          </w:p>
        </w:tc>
        <w:tc>
          <w:tcPr>
            <w:tcW w:w="220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74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92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14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82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Erling Lux Bidco SARL </w:t>
            </w:r>
            <w:r>
              <w:rPr>
                <w:rFonts w:ascii="Times New Roman" w:cs="Times New Roman" w:eastAsia="Times New Roman" w:hAnsi="Times New Roman"/>
                <w:sz w:val="18"/>
                <w:szCs w:val="18"/>
                <w:color w:val="auto"/>
                <w:vertAlign w:val="superscript"/>
              </w:rPr>
              <w:t>(3)(4)</w:t>
            </w:r>
          </w:p>
        </w:tc>
        <w:tc>
          <w:tcPr>
            <w:tcW w:w="40" w:type="dxa"/>
            <w:vAlign w:val="bottom"/>
          </w:tcPr>
          <w:p>
            <w:pPr>
              <w:spacing w:after="0"/>
              <w:rPr>
                <w:sz w:val="14"/>
                <w:szCs w:val="14"/>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(EUR 11,047 par, due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9/6/2022</w:t>
            </w:r>
          </w:p>
        </w:tc>
        <w:tc>
          <w:tcPr>
            <w:tcW w:w="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 + 7.00%</w:t>
            </w: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9.46%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11,210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12,457</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9/2028)</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10,967)</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loan (GBP 19,087 par, due</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9/6/2022</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S + 7.00%</w:t>
            </w:r>
          </w:p>
        </w:tc>
        <w:tc>
          <w:tcPr>
            <w:tcW w:w="148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10.73%</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22,706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25,229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9/2028)</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18,992)</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loan (NOK 7,123 par, due</w:t>
            </w:r>
          </w:p>
        </w:tc>
        <w:tc>
          <w:tcPr>
            <w:tcW w:w="8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9/6/2022</w:t>
            </w:r>
          </w:p>
        </w:tc>
        <w:tc>
          <w:tcPr>
            <w:tcW w:w="6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N + 7.00%</w:t>
            </w:r>
          </w:p>
        </w:tc>
        <w:tc>
          <w:tcPr>
            <w:tcW w:w="1480" w:type="dxa"/>
            <w:vAlign w:val="bottom"/>
            <w:gridSpan w:val="3"/>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11.62%</w:t>
            </w:r>
          </w:p>
        </w:tc>
        <w:tc>
          <w:tcPr>
            <w:tcW w:w="72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684</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739</w:t>
            </w:r>
          </w:p>
        </w:tc>
        <w:tc>
          <w:tcPr>
            <w:tcW w:w="120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spacing w:after="0"/>
              <w:rPr>
                <w:sz w:val="12"/>
                <w:szCs w:val="12"/>
                <w:color w:val="auto"/>
              </w:rPr>
            </w:pPr>
          </w:p>
        </w:tc>
        <w:tc>
          <w:tcPr>
            <w:tcW w:w="22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9/2028)</w:t>
            </w: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(NOK</w:t>
            </w: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7,088)</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revolving loan (GBP 319 par,</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9/6/2022</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S + 7.00%</w:t>
            </w:r>
          </w:p>
        </w:tc>
        <w:tc>
          <w:tcPr>
            <w:tcW w:w="148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10.73%</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384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422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9/2028)</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(GBP 318)</w:t>
            </w: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34,984</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38,847</w:t>
            </w:r>
          </w:p>
        </w:tc>
        <w:tc>
          <w:tcPr>
            <w:tcW w:w="12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15"/>
        </w:trPr>
        <w:tc>
          <w:tcPr>
            <w:tcW w:w="28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Communications</w:t>
            </w:r>
          </w:p>
        </w:tc>
        <w:tc>
          <w:tcPr>
            <w:tcW w:w="40" w:type="dxa"/>
            <w:vAlign w:val="bottom"/>
            <w:tcBorders>
              <w:top w:val="single" w:sz="8" w:color="CFF0FC"/>
            </w:tcBorders>
          </w:tcPr>
          <w:p>
            <w:pPr>
              <w:spacing w:after="0"/>
              <w:rPr>
                <w:sz w:val="10"/>
                <w:szCs w:val="10"/>
                <w:color w:val="auto"/>
              </w:rPr>
            </w:pPr>
          </w:p>
        </w:tc>
        <w:tc>
          <w:tcPr>
            <w:tcW w:w="220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74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92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14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82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Aurelia Netherlands B.V. </w:t>
            </w:r>
            <w:r>
              <w:rPr>
                <w:rFonts w:ascii="Times New Roman" w:cs="Times New Roman" w:eastAsia="Times New Roman" w:hAnsi="Times New Roman"/>
                <w:sz w:val="18"/>
                <w:szCs w:val="18"/>
                <w:color w:val="auto"/>
                <w:vertAlign w:val="superscript"/>
              </w:rPr>
              <w:t>(3)(4)</w:t>
            </w:r>
          </w:p>
        </w:tc>
        <w:tc>
          <w:tcPr>
            <w:tcW w:w="40" w:type="dxa"/>
            <w:vAlign w:val="bottom"/>
          </w:tcPr>
          <w:p>
            <w:pPr>
              <w:spacing w:after="0"/>
              <w:rPr>
                <w:sz w:val="14"/>
                <w:szCs w:val="14"/>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(EUR 32,904 par, due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5/22/2024</w:t>
            </w:r>
          </w:p>
        </w:tc>
        <w:tc>
          <w:tcPr>
            <w:tcW w:w="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 + 4.75%</w:t>
            </w: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7.16%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35,063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37,187</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5/2031)</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Education</w:t>
            </w:r>
          </w:p>
        </w:tc>
        <w:tc>
          <w:tcPr>
            <w:tcW w:w="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32,739)</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82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EMS Linq, Inc. </w:t>
            </w:r>
            <w:r>
              <w:rPr>
                <w:rFonts w:ascii="Times New Roman" w:cs="Times New Roman" w:eastAsia="Times New Roman" w:hAnsi="Times New Roman"/>
                <w:sz w:val="18"/>
                <w:szCs w:val="18"/>
                <w:color w:val="auto"/>
                <w:vertAlign w:val="superscript"/>
              </w:rPr>
              <w:t>(3)</w:t>
            </w:r>
          </w:p>
        </w:tc>
        <w:tc>
          <w:tcPr>
            <w:tcW w:w="40" w:type="dxa"/>
            <w:vAlign w:val="bottom"/>
          </w:tcPr>
          <w:p>
            <w:pPr>
              <w:spacing w:after="0"/>
              <w:rPr>
                <w:sz w:val="14"/>
                <w:szCs w:val="14"/>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First-lien loan ($56,216 par, due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12/22/2021</w:t>
            </w:r>
          </w:p>
        </w:tc>
        <w:tc>
          <w:tcPr>
            <w:tcW w:w="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SOFR + 6.35%</w:t>
            </w: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10.17%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55,933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54,248</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12/2027)</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First-lien revolving loan ($1,089 par,</w:t>
            </w:r>
          </w:p>
        </w:tc>
        <w:tc>
          <w:tcPr>
            <w:tcW w:w="8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12/22/2021</w:t>
            </w:r>
          </w:p>
        </w:tc>
        <w:tc>
          <w:tcPr>
            <w:tcW w:w="6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SOFR + 6.35%</w:t>
            </w:r>
          </w:p>
        </w:tc>
        <w:tc>
          <w:tcPr>
            <w:tcW w:w="148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10.17%</w:t>
            </w: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1,053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782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3"/>
        </w:trPr>
        <w:tc>
          <w:tcPr>
            <w:tcW w:w="2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12/2027)</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-6558280</wp:posOffset>
            </wp:positionV>
            <wp:extent cx="7132320" cy="93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-5803900</wp:posOffset>
            </wp:positionV>
            <wp:extent cx="713232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-5426710</wp:posOffset>
            </wp:positionV>
            <wp:extent cx="713232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-5049520</wp:posOffset>
            </wp:positionV>
            <wp:extent cx="713232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-4672330</wp:posOffset>
            </wp:positionV>
            <wp:extent cx="713232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-3917950</wp:posOffset>
            </wp:positionV>
            <wp:extent cx="713232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-3540760</wp:posOffset>
            </wp:positionV>
            <wp:extent cx="713232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-3069590</wp:posOffset>
            </wp:positionV>
            <wp:extent cx="7132320" cy="1028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-2778125</wp:posOffset>
            </wp:positionV>
            <wp:extent cx="713232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-2486660</wp:posOffset>
            </wp:positionV>
            <wp:extent cx="713232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-1997710</wp:posOffset>
            </wp:positionV>
            <wp:extent cx="7132320" cy="282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-755015</wp:posOffset>
            </wp:positionV>
            <wp:extent cx="7132320" cy="283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-2100580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-2100580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-2100580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-857885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-857885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-857885</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Kangaroo Bidco AS </w:t>
            </w:r>
            <w:r>
              <w:rPr>
                <w:rFonts w:ascii="Times New Roman" w:cs="Times New Roman" w:eastAsia="Times New Roman" w:hAnsi="Times New Roman"/>
                <w:sz w:val="18"/>
                <w:szCs w:val="18"/>
                <w:color w:val="auto"/>
                <w:vertAlign w:val="superscript"/>
              </w:rPr>
              <w:t>(3)(4)</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First-lien loan ($30,625 par, due</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11/2/2023</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SOFR +</w:t>
            </w: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9.91%</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30,362</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Severin Acquisition, LLC </w:t>
            </w:r>
            <w:r>
              <w:rPr>
                <w:rFonts w:ascii="Times New Roman" w:cs="Times New Roman" w:eastAsia="Times New Roman" w:hAnsi="Times New Roman"/>
                <w:sz w:val="18"/>
                <w:szCs w:val="18"/>
                <w:color w:val="auto"/>
                <w:vertAlign w:val="superscript"/>
              </w:rPr>
              <w:t>(3)</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11/2030)</w:t>
            </w:r>
          </w:p>
        </w:tc>
        <w:tc>
          <w:tcPr>
            <w:tcW w:w="800" w:type="dxa"/>
            <w:vAlign w:val="bottom"/>
          </w:tcPr>
          <w:p>
            <w:pPr>
              <w:spacing w:after="0"/>
              <w:rPr>
                <w:sz w:val="14"/>
                <w:szCs w:val="14"/>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6.25%</w:t>
            </w: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loan ($16,297 par, due</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10/1/2024</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+ 4.75%</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8.65%</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16,280</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15,480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660" w:type="dxa"/>
            <w:vAlign w:val="bottom"/>
          </w:tcPr>
          <w:p>
            <w:pPr>
              <w:ind w:left="420"/>
              <w:spacing w:after="0" w:line="148" w:lineRule="exact"/>
              <w:rPr>
                <w:sz w:val="20"/>
                <w:szCs w:val="20"/>
                <w:color w:val="auto"/>
              </w:rPr>
            </w:pPr>
            <w:r>
              <w:rPr>
                <w:rFonts w:ascii="Times New Roman" w:cs="Times New Roman" w:eastAsia="Times New Roman" w:hAnsi="Times New Roman"/>
                <w:sz w:val="13"/>
                <w:szCs w:val="13"/>
                <w:color w:val="auto"/>
              </w:rPr>
              <w:t>10/2031)</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40" w:type="dxa"/>
            <w:vAlign w:val="bottom"/>
            <w:shd w:val="clear" w:color="auto" w:fill="CFF0FC"/>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103,316</w:t>
            </w:r>
          </w:p>
        </w:tc>
        <w:tc>
          <w:tcPr>
            <w:tcW w:w="10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100,872</w:t>
            </w:r>
          </w:p>
        </w:tc>
        <w:tc>
          <w:tcPr>
            <w:tcW w:w="12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15"/>
        </w:trPr>
        <w:tc>
          <w:tcPr>
            <w:tcW w:w="244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Electronics</w:t>
            </w:r>
          </w:p>
        </w:tc>
        <w:tc>
          <w:tcPr>
            <w:tcW w:w="2660" w:type="dxa"/>
            <w:vAlign w:val="bottom"/>
            <w:tcBorders>
              <w:top w:val="single" w:sz="8" w:color="CFF0FC"/>
            </w:tcBorders>
          </w:tcPr>
          <w:p>
            <w:pPr>
              <w:spacing w:after="0"/>
              <w:rPr>
                <w:sz w:val="10"/>
                <w:szCs w:val="10"/>
                <w:color w:val="auto"/>
              </w:rPr>
            </w:pPr>
          </w:p>
        </w:tc>
        <w:tc>
          <w:tcPr>
            <w:tcW w:w="800" w:type="dxa"/>
            <w:vAlign w:val="bottom"/>
            <w:tcBorders>
              <w:top w:val="single" w:sz="8" w:color="CFF0FC"/>
            </w:tcBorders>
          </w:tcPr>
          <w:p>
            <w:pPr>
              <w:spacing w:after="0"/>
              <w:rPr>
                <w:sz w:val="10"/>
                <w:szCs w:val="10"/>
                <w:color w:val="auto"/>
              </w:rPr>
            </w:pPr>
          </w:p>
        </w:tc>
        <w:tc>
          <w:tcPr>
            <w:tcW w:w="1060" w:type="dxa"/>
            <w:vAlign w:val="bottom"/>
            <w:tcBorders>
              <w:top w:val="single" w:sz="8" w:color="CFF0FC"/>
            </w:tcBorders>
          </w:tcPr>
          <w:p>
            <w:pPr>
              <w:spacing w:after="0"/>
              <w:rPr>
                <w:sz w:val="10"/>
                <w:szCs w:val="10"/>
                <w:color w:val="auto"/>
              </w:rPr>
            </w:pPr>
          </w:p>
        </w:tc>
        <w:tc>
          <w:tcPr>
            <w:tcW w:w="144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Sapphire Software Buyer, Inc. </w:t>
            </w:r>
            <w:r>
              <w:rPr>
                <w:rFonts w:ascii="Times New Roman" w:cs="Times New Roman" w:eastAsia="Times New Roman" w:hAnsi="Times New Roman"/>
                <w:sz w:val="18"/>
                <w:szCs w:val="18"/>
                <w:color w:val="auto"/>
                <w:vertAlign w:val="superscript"/>
              </w:rPr>
              <w:t>(3)</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First-lien loan ($26,763 par, due</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9/30/2024</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SOFR + 5.00%</w:t>
            </w: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9.07%</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25,863</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Financial Services</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9/2031)</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44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Alaska Bidco Oy </w:t>
            </w:r>
            <w:r>
              <w:rPr>
                <w:rFonts w:ascii="Times New Roman" w:cs="Times New Roman" w:eastAsia="Times New Roman" w:hAnsi="Times New Roman"/>
                <w:sz w:val="18"/>
                <w:szCs w:val="18"/>
                <w:color w:val="auto"/>
                <w:vertAlign w:val="superscript"/>
              </w:rPr>
              <w:t>(3)(4)</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First-lien loan (EUR 727 par, due</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5/30/2023</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E + 5.75%</w:t>
            </w: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8.31%</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Arlberg Bidco LLC </w:t>
            </w:r>
            <w:r>
              <w:rPr>
                <w:rFonts w:ascii="Times New Roman" w:cs="Times New Roman" w:eastAsia="Times New Roman" w:hAnsi="Times New Roman"/>
                <w:sz w:val="18"/>
                <w:szCs w:val="18"/>
                <w:color w:val="auto"/>
                <w:vertAlign w:val="superscript"/>
              </w:rPr>
              <w:t>(3)(4)(5)</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5/2030)</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735)</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440" w:type="dxa"/>
            <w:vAlign w:val="bottom"/>
            <w:vMerge w:val="continue"/>
          </w:tcPr>
          <w:p>
            <w:pPr>
              <w:spacing w:after="0"/>
              <w:rPr>
                <w:sz w:val="10"/>
                <w:szCs w:val="10"/>
                <w:color w:val="auto"/>
              </w:rPr>
            </w:pPr>
          </w:p>
        </w:tc>
        <w:tc>
          <w:tcPr>
            <w:tcW w:w="2660" w:type="dxa"/>
            <w:vAlign w:val="bottom"/>
          </w:tcPr>
          <w:p>
            <w:pPr>
              <w:ind w:left="420"/>
              <w:spacing w:after="0" w:line="126" w:lineRule="exact"/>
              <w:rPr>
                <w:sz w:val="20"/>
                <w:szCs w:val="20"/>
                <w:color w:val="auto"/>
              </w:rPr>
            </w:pPr>
            <w:r>
              <w:rPr>
                <w:rFonts w:ascii="Times New Roman" w:cs="Times New Roman" w:eastAsia="Times New Roman" w:hAnsi="Times New Roman"/>
                <w:sz w:val="13"/>
                <w:szCs w:val="13"/>
                <w:color w:val="auto"/>
              </w:rPr>
              <w:t>First-lien loan ($5,000 par, due 2/2031)</w:t>
            </w:r>
          </w:p>
        </w:tc>
        <w:tc>
          <w:tcPr>
            <w:tcW w:w="800" w:type="dxa"/>
            <w:vAlign w:val="bottom"/>
          </w:tcPr>
          <w:p>
            <w:pPr>
              <w:jc w:val="right"/>
              <w:ind w:right="13"/>
              <w:spacing w:after="0" w:line="126" w:lineRule="exact"/>
              <w:rPr>
                <w:sz w:val="20"/>
                <w:szCs w:val="20"/>
                <w:color w:val="auto"/>
              </w:rPr>
            </w:pPr>
            <w:r>
              <w:rPr>
                <w:rFonts w:ascii="Times New Roman" w:cs="Times New Roman" w:eastAsia="Times New Roman" w:hAnsi="Times New Roman"/>
                <w:sz w:val="13"/>
                <w:szCs w:val="13"/>
                <w:color w:val="auto"/>
              </w:rPr>
              <w:t>2/14/2025</w:t>
            </w:r>
          </w:p>
        </w:tc>
        <w:tc>
          <w:tcPr>
            <w:tcW w:w="1060" w:type="dxa"/>
            <w:vAlign w:val="bottom"/>
          </w:tcPr>
          <w:p>
            <w:pPr>
              <w:jc w:val="right"/>
              <w:ind w:right="93"/>
              <w:spacing w:after="0" w:line="126" w:lineRule="exact"/>
              <w:rPr>
                <w:sz w:val="20"/>
                <w:szCs w:val="20"/>
                <w:color w:val="auto"/>
              </w:rPr>
            </w:pPr>
            <w:r>
              <w:rPr>
                <w:rFonts w:ascii="Times New Roman" w:cs="Times New Roman" w:eastAsia="Times New Roman" w:hAnsi="Times New Roman"/>
                <w:sz w:val="13"/>
                <w:szCs w:val="13"/>
                <w:color w:val="auto"/>
              </w:rPr>
              <w:t>SOFR + 5.75%</w:t>
            </w:r>
          </w:p>
        </w:tc>
        <w:tc>
          <w:tcPr>
            <w:tcW w:w="1440" w:type="dxa"/>
            <w:vAlign w:val="bottom"/>
          </w:tcPr>
          <w:p>
            <w:pPr>
              <w:jc w:val="right"/>
              <w:ind w:right="93"/>
              <w:spacing w:after="0" w:line="126" w:lineRule="exact"/>
              <w:rPr>
                <w:sz w:val="20"/>
                <w:szCs w:val="20"/>
                <w:color w:val="auto"/>
              </w:rPr>
            </w:pPr>
            <w:r>
              <w:rPr>
                <w:rFonts w:ascii="Times New Roman" w:cs="Times New Roman" w:eastAsia="Times New Roman" w:hAnsi="Times New Roman"/>
                <w:sz w:val="13"/>
                <w:szCs w:val="13"/>
                <w:color w:val="auto"/>
              </w:rPr>
              <w:t>9.48%</w:t>
            </w: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4,912</w:t>
            </w:r>
          </w:p>
        </w:tc>
        <w:tc>
          <w:tcPr>
            <w:tcW w:w="10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4,950</w:t>
            </w:r>
          </w:p>
        </w:tc>
        <w:tc>
          <w:tcPr>
            <w:tcW w:w="120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72"/>
        </w:trPr>
        <w:tc>
          <w:tcPr>
            <w:tcW w:w="244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GreenShoot BidCo B.V. </w:t>
            </w:r>
            <w:r>
              <w:rPr>
                <w:rFonts w:ascii="Times New Roman" w:cs="Times New Roman" w:eastAsia="Times New Roman" w:hAnsi="Times New Roman"/>
                <w:sz w:val="18"/>
                <w:szCs w:val="18"/>
                <w:color w:val="auto"/>
                <w:vertAlign w:val="superscript"/>
              </w:rPr>
              <w:t>(3)(4)</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First-lien loan (EUR 5,107 par, due</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5/28/2024</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E + 5.75%</w:t>
            </w: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8.30%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5,582</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Ibis Intermediate Co. </w:t>
            </w:r>
            <w:r>
              <w:rPr>
                <w:rFonts w:ascii="Times New Roman" w:cs="Times New Roman" w:eastAsia="Times New Roman" w:hAnsi="Times New Roman"/>
                <w:sz w:val="18"/>
                <w:szCs w:val="18"/>
                <w:color w:val="auto"/>
                <w:vertAlign w:val="superscript"/>
              </w:rPr>
              <w:t>(3)(5)</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5/2030)</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4,915)</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440" w:type="dxa"/>
            <w:vAlign w:val="bottom"/>
            <w:vMerge w:val="continue"/>
          </w:tcPr>
          <w:p>
            <w:pPr>
              <w:spacing w:after="0"/>
              <w:rPr>
                <w:sz w:val="10"/>
                <w:szCs w:val="10"/>
                <w:color w:val="auto"/>
              </w:rPr>
            </w:pPr>
          </w:p>
        </w:tc>
        <w:tc>
          <w:tcPr>
            <w:tcW w:w="2660" w:type="dxa"/>
            <w:vAlign w:val="bottom"/>
          </w:tcPr>
          <w:p>
            <w:pPr>
              <w:ind w:left="420"/>
              <w:spacing w:after="0" w:line="126" w:lineRule="exact"/>
              <w:rPr>
                <w:sz w:val="20"/>
                <w:szCs w:val="20"/>
                <w:color w:val="auto"/>
              </w:rPr>
            </w:pPr>
            <w:r>
              <w:rPr>
                <w:rFonts w:ascii="Times New Roman" w:cs="Times New Roman" w:eastAsia="Times New Roman" w:hAnsi="Times New Roman"/>
                <w:sz w:val="13"/>
                <w:szCs w:val="13"/>
                <w:color w:val="auto"/>
              </w:rPr>
              <w:t>First-lien loan ($1,158 par, due 5/2027)</w:t>
            </w:r>
          </w:p>
        </w:tc>
        <w:tc>
          <w:tcPr>
            <w:tcW w:w="800" w:type="dxa"/>
            <w:vAlign w:val="bottom"/>
          </w:tcPr>
          <w:p>
            <w:pPr>
              <w:jc w:val="right"/>
              <w:ind w:right="13"/>
              <w:spacing w:after="0" w:line="126" w:lineRule="exact"/>
              <w:rPr>
                <w:sz w:val="20"/>
                <w:szCs w:val="20"/>
                <w:color w:val="auto"/>
              </w:rPr>
            </w:pPr>
            <w:r>
              <w:rPr>
                <w:rFonts w:ascii="Times New Roman" w:cs="Times New Roman" w:eastAsia="Times New Roman" w:hAnsi="Times New Roman"/>
                <w:sz w:val="13"/>
                <w:szCs w:val="13"/>
                <w:color w:val="auto"/>
              </w:rPr>
              <w:t>5/28/2021</w:t>
            </w:r>
          </w:p>
        </w:tc>
        <w:tc>
          <w:tcPr>
            <w:tcW w:w="1060" w:type="dxa"/>
            <w:vAlign w:val="bottom"/>
          </w:tcPr>
          <w:p>
            <w:pPr>
              <w:jc w:val="right"/>
              <w:ind w:right="93"/>
              <w:spacing w:after="0" w:line="126" w:lineRule="exact"/>
              <w:rPr>
                <w:sz w:val="20"/>
                <w:szCs w:val="20"/>
                <w:color w:val="auto"/>
              </w:rPr>
            </w:pPr>
            <w:r>
              <w:rPr>
                <w:rFonts w:ascii="Times New Roman" w:cs="Times New Roman" w:eastAsia="Times New Roman" w:hAnsi="Times New Roman"/>
                <w:sz w:val="13"/>
                <w:szCs w:val="13"/>
                <w:color w:val="auto"/>
              </w:rPr>
              <w:t>SOFR + 4.65%</w:t>
            </w:r>
          </w:p>
        </w:tc>
        <w:tc>
          <w:tcPr>
            <w:tcW w:w="1440" w:type="dxa"/>
            <w:vAlign w:val="bottom"/>
          </w:tcPr>
          <w:p>
            <w:pPr>
              <w:jc w:val="right"/>
              <w:ind w:right="93"/>
              <w:spacing w:after="0" w:line="126" w:lineRule="exact"/>
              <w:rPr>
                <w:sz w:val="20"/>
                <w:szCs w:val="20"/>
                <w:color w:val="auto"/>
              </w:rPr>
            </w:pPr>
            <w:r>
              <w:rPr>
                <w:rFonts w:ascii="Times New Roman" w:cs="Times New Roman" w:eastAsia="Times New Roman" w:hAnsi="Times New Roman"/>
                <w:sz w:val="13"/>
                <w:szCs w:val="13"/>
                <w:color w:val="auto"/>
              </w:rPr>
              <w:t>8.42%</w:t>
            </w: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1,149</w:t>
            </w:r>
          </w:p>
        </w:tc>
        <w:tc>
          <w:tcPr>
            <w:tcW w:w="10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1,158</w:t>
            </w:r>
          </w:p>
        </w:tc>
        <w:tc>
          <w:tcPr>
            <w:tcW w:w="120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2"/>
        </w:trPr>
        <w:tc>
          <w:tcPr>
            <w:tcW w:w="244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Ibis US Blocker Co. </w:t>
            </w:r>
            <w:r>
              <w:rPr>
                <w:rFonts w:ascii="Times New Roman" w:cs="Times New Roman" w:eastAsia="Times New Roman" w:hAnsi="Times New Roman"/>
                <w:sz w:val="18"/>
                <w:szCs w:val="18"/>
                <w:color w:val="auto"/>
                <w:vertAlign w:val="superscript"/>
              </w:rPr>
              <w:t>(3)</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First-lien loan ($23,401 par, due</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5/28/2021</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SOFR + 8.40%</w:t>
            </w: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12.17% PIK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23,305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23,401</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1"/>
        </w:trPr>
        <w:tc>
          <w:tcPr>
            <w:tcW w:w="2440" w:type="dxa"/>
            <w:vAlign w:val="bottom"/>
          </w:tcPr>
          <w:p>
            <w:pPr>
              <w:spacing w:after="0"/>
              <w:rPr>
                <w:sz w:val="14"/>
                <w:szCs w:val="14"/>
                <w:color w:val="auto"/>
              </w:rPr>
            </w:pP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5/2028)</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Payroc Buyer, LLC</w:t>
            </w: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Promissory Note ($4,641 par, due</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9/30/2025</w:t>
            </w:r>
          </w:p>
        </w:tc>
        <w:tc>
          <w:tcPr>
            <w:tcW w:w="10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5.50%</w:t>
            </w:r>
          </w:p>
        </w:tc>
        <w:tc>
          <w:tcPr>
            <w:tcW w:w="1440" w:type="dxa"/>
            <w:vAlign w:val="bottom"/>
          </w:tcPr>
          <w:p>
            <w:pPr>
              <w:jc w:val="right"/>
              <w:ind w:right="213"/>
              <w:spacing w:after="0" w:line="136" w:lineRule="exact"/>
              <w:rPr>
                <w:sz w:val="20"/>
                <w:szCs w:val="20"/>
                <w:color w:val="auto"/>
              </w:rPr>
            </w:pPr>
            <w:r>
              <w:rPr>
                <w:rFonts w:ascii="Times New Roman" w:cs="Times New Roman" w:eastAsia="Times New Roman" w:hAnsi="Times New Roman"/>
                <w:sz w:val="13"/>
                <w:szCs w:val="13"/>
                <w:color w:val="auto"/>
              </w:rPr>
              <w:t>5.50% PIK</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4,641</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4,107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1"/>
        </w:trPr>
        <w:tc>
          <w:tcPr>
            <w:tcW w:w="2440" w:type="dxa"/>
            <w:vAlign w:val="bottom"/>
          </w:tcPr>
          <w:p>
            <w:pPr>
              <w:spacing w:after="0"/>
              <w:rPr>
                <w:sz w:val="14"/>
                <w:szCs w:val="14"/>
                <w:color w:val="auto"/>
              </w:rPr>
            </w:pP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9/2030)</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Volante Technologies, Inc.</w:t>
            </w:r>
          </w:p>
        </w:tc>
        <w:tc>
          <w:tcPr>
            <w:tcW w:w="26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First-lien loan ($3,157 par, due 9/2028)</w:t>
            </w:r>
          </w:p>
        </w:tc>
        <w:tc>
          <w:tcPr>
            <w:tcW w:w="8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9/29/2023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16.50%</w:t>
            </w:r>
          </w:p>
        </w:tc>
        <w:tc>
          <w:tcPr>
            <w:tcW w:w="144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3"/>
                <w:szCs w:val="13"/>
                <w:color w:val="auto"/>
              </w:rPr>
              <w:t>16.50% PIK</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3,147</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3,236</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20"/>
        </w:trPr>
        <w:tc>
          <w:tcPr>
            <w:tcW w:w="2440" w:type="dxa"/>
            <w:vAlign w:val="bottom"/>
            <w:shd w:val="clear" w:color="auto" w:fill="CFF0FC"/>
          </w:tcPr>
          <w:p>
            <w:pPr>
              <w:spacing w:after="0" w:line="20" w:lineRule="exact"/>
              <w:rPr>
                <w:sz w:val="1"/>
                <w:szCs w:val="1"/>
                <w:color w:val="auto"/>
              </w:rPr>
            </w:pPr>
          </w:p>
        </w:tc>
        <w:tc>
          <w:tcPr>
            <w:tcW w:w="26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2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43,369</w:t>
            </w:r>
          </w:p>
        </w:tc>
        <w:tc>
          <w:tcPr>
            <w:tcW w:w="2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43,269</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15"/>
        </w:trPr>
        <w:tc>
          <w:tcPr>
            <w:tcW w:w="244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Aledade, Inc. </w:t>
            </w:r>
            <w:r>
              <w:rPr>
                <w:rFonts w:ascii="Times New Roman" w:cs="Times New Roman" w:eastAsia="Times New Roman" w:hAnsi="Times New Roman"/>
                <w:sz w:val="18"/>
                <w:szCs w:val="18"/>
                <w:color w:val="auto"/>
                <w:vertAlign w:val="superscript"/>
              </w:rPr>
              <w:t>(3)</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First-lien revolving loan ($25,133 par,</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11/21/2025</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SOFR + 6.00%</w:t>
            </w: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9.80%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25,221</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BCTO Ace Purchaser, Inc. </w:t>
            </w:r>
            <w:r>
              <w:rPr>
                <w:rFonts w:ascii="Times New Roman" w:cs="Times New Roman" w:eastAsia="Times New Roman" w:hAnsi="Times New Roman"/>
                <w:sz w:val="18"/>
                <w:szCs w:val="18"/>
                <w:color w:val="auto"/>
                <w:vertAlign w:val="superscript"/>
              </w:rPr>
              <w:t>(3)(5)</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due 11/2028)</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loan ($50,000 par, due</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6/4/2026</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+ 6.00%</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9.84%</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49,151</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49,223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EC Homecare Holdings Buyer Inc. </w:t>
            </w:r>
            <w:r>
              <w:rPr>
                <w:rFonts w:ascii="Times New Roman" w:cs="Times New Roman" w:eastAsia="Times New Roman" w:hAnsi="Times New Roman"/>
                <w:sz w:val="18"/>
                <w:szCs w:val="18"/>
                <w:color w:val="auto"/>
                <w:vertAlign w:val="superscript"/>
              </w:rPr>
              <w:t>(3)</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6/2031)</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loan ($36,184 par, due</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7/20/2026</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+ 5.50%</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9.33%</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35,555</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35,489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Eventus Buyer, LLC </w:t>
            </w:r>
            <w:r>
              <w:rPr>
                <w:rFonts w:ascii="Times New Roman" w:cs="Times New Roman" w:eastAsia="Times New Roman" w:hAnsi="Times New Roman"/>
                <w:sz w:val="18"/>
                <w:szCs w:val="18"/>
                <w:color w:val="auto"/>
                <w:vertAlign w:val="superscript"/>
              </w:rPr>
              <w:t>(3)</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7/2032)</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loan ($28,522 par, due</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11/1/2024</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+ 5.50%</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9.40%</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28,238</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28,522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1"/>
        </w:trPr>
        <w:tc>
          <w:tcPr>
            <w:tcW w:w="2440" w:type="dxa"/>
            <w:vAlign w:val="bottom"/>
          </w:tcPr>
          <w:p>
            <w:pPr>
              <w:spacing w:after="0"/>
              <w:rPr>
                <w:sz w:val="14"/>
                <w:szCs w:val="14"/>
                <w:color w:val="auto"/>
              </w:rPr>
            </w:pP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11/2030)</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revolving loan ($1,867 par,</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11/1/2024</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+ 5.50%</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9.40%</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1,831</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1,867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HMP Omnimedia, LLC </w:t>
            </w:r>
            <w:r>
              <w:rPr>
                <w:rFonts w:ascii="Times New Roman" w:cs="Times New Roman" w:eastAsia="Times New Roman" w:hAnsi="Times New Roman"/>
                <w:sz w:val="18"/>
                <w:szCs w:val="18"/>
                <w:color w:val="auto"/>
                <w:vertAlign w:val="superscript"/>
              </w:rPr>
              <w:t>(3)</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due 11/2030)</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loan ($18,723 par, due</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7/31/2025</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+ 5.25%</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9.15%</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18,354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18,867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Ingenovis Health Finance, LLC </w:t>
            </w:r>
            <w:r>
              <w:rPr>
                <w:rFonts w:ascii="Times New Roman" w:cs="Times New Roman" w:eastAsia="Times New Roman" w:hAnsi="Times New Roman"/>
                <w:sz w:val="18"/>
                <w:szCs w:val="18"/>
                <w:color w:val="auto"/>
                <w:vertAlign w:val="superscript"/>
              </w:rPr>
              <w:t>(3)</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7/2032)</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revolving loan ($32,500 par,</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5/13/2025</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+ 6.00%</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9.76%</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31,560</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32,338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LIHA Holdco B.V. </w:t>
            </w:r>
            <w:r>
              <w:rPr>
                <w:rFonts w:ascii="Times New Roman" w:cs="Times New Roman" w:eastAsia="Times New Roman" w:hAnsi="Times New Roman"/>
                <w:sz w:val="18"/>
                <w:szCs w:val="18"/>
                <w:color w:val="auto"/>
                <w:vertAlign w:val="superscript"/>
              </w:rPr>
              <w:t>(3)(4)(5)</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due 5/2030)</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loan (EUR 20,322 par, due</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2/24/2023</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E + 6.50%</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9.09%</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22,711</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22,636</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2/2029)</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Raptor US Buyer II Corp. </w:t>
            </w:r>
            <w:r>
              <w:rPr>
                <w:rFonts w:ascii="Times New Roman" w:cs="Times New Roman" w:eastAsia="Times New Roman" w:hAnsi="Times New Roman"/>
                <w:sz w:val="18"/>
                <w:szCs w:val="18"/>
                <w:color w:val="auto"/>
                <w:vertAlign w:val="superscript"/>
              </w:rPr>
              <w:t>(3)(5)</w:t>
            </w:r>
          </w:p>
        </w:tc>
        <w:tc>
          <w:tcPr>
            <w:tcW w:w="2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19,929)</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loan ($17,811 par, due</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3/24/2023</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+ 6.25%</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10.15%</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17,562</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17,855</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1"/>
        </w:trPr>
        <w:tc>
          <w:tcPr>
            <w:tcW w:w="2440" w:type="dxa"/>
            <w:vAlign w:val="bottom"/>
          </w:tcPr>
          <w:p>
            <w:pPr>
              <w:spacing w:after="0"/>
              <w:rPr>
                <w:sz w:val="14"/>
                <w:szCs w:val="14"/>
                <w:color w:val="auto"/>
              </w:rPr>
            </w:pP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3/2029)</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revolving loan ($41 par, due</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3/24/2023</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+ 6.25%</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10.15%</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36</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Symplr Software Inc. </w:t>
            </w:r>
            <w:r>
              <w:rPr>
                <w:rFonts w:ascii="Times New Roman" w:cs="Times New Roman" w:eastAsia="Times New Roman" w:hAnsi="Times New Roman"/>
                <w:sz w:val="18"/>
                <w:szCs w:val="18"/>
                <w:color w:val="auto"/>
                <w:vertAlign w:val="superscript"/>
              </w:rPr>
              <w:t>(3)(13)</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3/2029)</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440" w:type="dxa"/>
            <w:vAlign w:val="bottom"/>
            <w:vMerge w:val="continue"/>
          </w:tcPr>
          <w:p>
            <w:pPr>
              <w:spacing w:after="0"/>
              <w:rPr>
                <w:sz w:val="10"/>
                <w:szCs w:val="10"/>
                <w:color w:val="auto"/>
              </w:rPr>
            </w:pPr>
          </w:p>
        </w:tc>
        <w:tc>
          <w:tcPr>
            <w:tcW w:w="2660" w:type="dxa"/>
            <w:vAlign w:val="bottom"/>
          </w:tcPr>
          <w:p>
            <w:pPr>
              <w:ind w:left="420"/>
              <w:spacing w:after="0" w:line="126" w:lineRule="exact"/>
              <w:rPr>
                <w:sz w:val="20"/>
                <w:szCs w:val="20"/>
                <w:color w:val="auto"/>
              </w:rPr>
            </w:pPr>
            <w:r>
              <w:rPr>
                <w:rFonts w:ascii="Times New Roman" w:cs="Times New Roman" w:eastAsia="Times New Roman" w:hAnsi="Times New Roman"/>
                <w:sz w:val="13"/>
                <w:szCs w:val="13"/>
                <w:color w:val="auto"/>
              </w:rPr>
              <w:t>First-lien loan ($630 par, due 12/2027)</w:t>
            </w:r>
          </w:p>
        </w:tc>
        <w:tc>
          <w:tcPr>
            <w:tcW w:w="800" w:type="dxa"/>
            <w:vAlign w:val="bottom"/>
          </w:tcPr>
          <w:p>
            <w:pPr>
              <w:jc w:val="right"/>
              <w:ind w:right="13"/>
              <w:spacing w:after="0" w:line="126" w:lineRule="exact"/>
              <w:rPr>
                <w:sz w:val="20"/>
                <w:szCs w:val="20"/>
                <w:color w:val="auto"/>
              </w:rPr>
            </w:pPr>
            <w:r>
              <w:rPr>
                <w:rFonts w:ascii="Times New Roman" w:cs="Times New Roman" w:eastAsia="Times New Roman" w:hAnsi="Times New Roman"/>
                <w:sz w:val="13"/>
                <w:szCs w:val="13"/>
                <w:color w:val="auto"/>
              </w:rPr>
              <w:t>4/4/2025</w:t>
            </w:r>
          </w:p>
        </w:tc>
        <w:tc>
          <w:tcPr>
            <w:tcW w:w="1060" w:type="dxa"/>
            <w:vAlign w:val="bottom"/>
          </w:tcPr>
          <w:p>
            <w:pPr>
              <w:jc w:val="right"/>
              <w:ind w:right="93"/>
              <w:spacing w:after="0" w:line="126" w:lineRule="exact"/>
              <w:rPr>
                <w:sz w:val="20"/>
                <w:szCs w:val="20"/>
                <w:color w:val="auto"/>
              </w:rPr>
            </w:pPr>
            <w:r>
              <w:rPr>
                <w:rFonts w:ascii="Times New Roman" w:cs="Times New Roman" w:eastAsia="Times New Roman" w:hAnsi="Times New Roman"/>
                <w:sz w:val="13"/>
                <w:szCs w:val="13"/>
                <w:color w:val="auto"/>
              </w:rPr>
              <w:t>SOFR + 4.60%</w:t>
            </w:r>
          </w:p>
        </w:tc>
        <w:tc>
          <w:tcPr>
            <w:tcW w:w="1440" w:type="dxa"/>
            <w:vAlign w:val="bottom"/>
          </w:tcPr>
          <w:p>
            <w:pPr>
              <w:jc w:val="right"/>
              <w:ind w:right="93"/>
              <w:spacing w:after="0" w:line="126" w:lineRule="exact"/>
              <w:rPr>
                <w:sz w:val="20"/>
                <w:szCs w:val="20"/>
                <w:color w:val="auto"/>
              </w:rPr>
            </w:pPr>
            <w:r>
              <w:rPr>
                <w:rFonts w:ascii="Times New Roman" w:cs="Times New Roman" w:eastAsia="Times New Roman" w:hAnsi="Times New Roman"/>
                <w:sz w:val="13"/>
                <w:szCs w:val="13"/>
                <w:color w:val="auto"/>
              </w:rPr>
              <w:t>8.42%</w:t>
            </w: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576</w:t>
            </w:r>
          </w:p>
        </w:tc>
        <w:tc>
          <w:tcPr>
            <w:tcW w:w="10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519</w:t>
            </w:r>
          </w:p>
        </w:tc>
        <w:tc>
          <w:tcPr>
            <w:tcW w:w="120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72"/>
        </w:trPr>
        <w:tc>
          <w:tcPr>
            <w:tcW w:w="244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Velocity Clinical Research, Inc. </w:t>
            </w:r>
            <w:r>
              <w:rPr>
                <w:rFonts w:ascii="Times New Roman" w:cs="Times New Roman" w:eastAsia="Times New Roman" w:hAnsi="Times New Roman"/>
                <w:sz w:val="18"/>
                <w:szCs w:val="18"/>
                <w:color w:val="auto"/>
                <w:vertAlign w:val="superscript"/>
              </w:rPr>
              <w:t>(3)</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First-lien loan ($65,091 par, due</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9/9/2025</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SOFR + 7.50%</w:t>
            </w: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11.57%</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64,166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63,626</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1"/>
        </w:trPr>
        <w:tc>
          <w:tcPr>
            <w:tcW w:w="2440" w:type="dxa"/>
            <w:vAlign w:val="bottom"/>
          </w:tcPr>
          <w:p>
            <w:pPr>
              <w:spacing w:after="0"/>
              <w:rPr>
                <w:sz w:val="14"/>
                <w:szCs w:val="14"/>
                <w:color w:val="auto"/>
              </w:rPr>
            </w:pP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9/2031)</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revolving loan ($528 par, due</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9/9/2025</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+ 7.50%</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11.57%</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476</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457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Women's Care Holdings, Inc. </w:t>
            </w:r>
            <w:r>
              <w:rPr>
                <w:rFonts w:ascii="Times New Roman" w:cs="Times New Roman" w:eastAsia="Times New Roman" w:hAnsi="Times New Roman"/>
                <w:sz w:val="18"/>
                <w:szCs w:val="18"/>
                <w:color w:val="auto"/>
                <w:vertAlign w:val="superscript"/>
              </w:rPr>
              <w:t>(3)</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9/2031)</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loan ($33,452 par, due</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8/25/2026</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+ 5.50%</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9.24%</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32,912</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32,903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660" w:type="dxa"/>
            <w:vAlign w:val="bottom"/>
          </w:tcPr>
          <w:p>
            <w:pPr>
              <w:ind w:left="420"/>
              <w:spacing w:after="0" w:line="148" w:lineRule="exact"/>
              <w:rPr>
                <w:sz w:val="20"/>
                <w:szCs w:val="20"/>
                <w:color w:val="auto"/>
              </w:rPr>
            </w:pPr>
            <w:r>
              <w:rPr>
                <w:rFonts w:ascii="Times New Roman" w:cs="Times New Roman" w:eastAsia="Times New Roman" w:hAnsi="Times New Roman"/>
                <w:sz w:val="13"/>
                <w:szCs w:val="13"/>
                <w:color w:val="auto"/>
              </w:rPr>
              <w:t>8/2031)</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Hotel, Gaming and Leisure</w:t>
            </w:r>
          </w:p>
        </w:tc>
        <w:tc>
          <w:tcPr>
            <w:tcW w:w="2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328,011</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329,566</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21.3%</w:t>
            </w:r>
          </w:p>
        </w:tc>
        <w:tc>
          <w:tcPr>
            <w:tcW w:w="0" w:type="dxa"/>
            <w:vAlign w:val="bottom"/>
          </w:tcPr>
          <w:p>
            <w:pPr>
              <w:spacing w:after="0"/>
              <w:rPr>
                <w:sz w:val="1"/>
                <w:szCs w:val="1"/>
                <w:color w:val="auto"/>
              </w:rPr>
            </w:pPr>
          </w:p>
        </w:tc>
      </w:tr>
      <w:tr>
        <w:trPr>
          <w:trHeight w:val="115"/>
        </w:trPr>
        <w:tc>
          <w:tcPr>
            <w:tcW w:w="244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44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ASG II, LLC </w:t>
            </w:r>
            <w:r>
              <w:rPr>
                <w:rFonts w:ascii="Times New Roman" w:cs="Times New Roman" w:eastAsia="Times New Roman" w:hAnsi="Times New Roman"/>
                <w:sz w:val="18"/>
                <w:szCs w:val="18"/>
                <w:color w:val="auto"/>
                <w:vertAlign w:val="superscript"/>
              </w:rPr>
              <w:t>(3)(5)</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First-lien loan ($65,000 par, due</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5/25/2022</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SOFR + 6.40%</w:t>
            </w: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10.22%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64,471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63,050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AVSC Holding Corp. </w:t>
            </w:r>
            <w:r>
              <w:rPr>
                <w:rFonts w:ascii="Times New Roman" w:cs="Times New Roman" w:eastAsia="Times New Roman" w:hAnsi="Times New Roman"/>
                <w:sz w:val="18"/>
                <w:szCs w:val="18"/>
                <w:color w:val="auto"/>
                <w:vertAlign w:val="superscript"/>
              </w:rPr>
              <w:t>(3)</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5/2028)</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loan ($44,490 par, due</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12/5/2024</w:t>
            </w:r>
          </w:p>
        </w:tc>
        <w:tc>
          <w:tcPr>
            <w:tcW w:w="106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8.90%</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43,783</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44,490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1"/>
        </w:trPr>
        <w:tc>
          <w:tcPr>
            <w:tcW w:w="2440" w:type="dxa"/>
            <w:vAlign w:val="bottom"/>
          </w:tcPr>
          <w:p>
            <w:pPr>
              <w:spacing w:after="0"/>
              <w:rPr>
                <w:sz w:val="14"/>
                <w:szCs w:val="14"/>
                <w:color w:val="auto"/>
              </w:rPr>
            </w:pP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12/2031)</w:t>
            </w:r>
          </w:p>
        </w:tc>
        <w:tc>
          <w:tcPr>
            <w:tcW w:w="800" w:type="dxa"/>
            <w:vAlign w:val="bottom"/>
          </w:tcPr>
          <w:p>
            <w:pPr>
              <w:spacing w:after="0"/>
              <w:rPr>
                <w:sz w:val="14"/>
                <w:szCs w:val="14"/>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5.00%</w:t>
            </w: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revolving loan ($1,914 par,</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12/5/2024</w:t>
            </w:r>
          </w:p>
        </w:tc>
        <w:tc>
          <w:tcPr>
            <w:tcW w:w="106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8.90%</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1,852</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1,914</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440" w:type="dxa"/>
            <w:vAlign w:val="bottom"/>
          </w:tcPr>
          <w:p>
            <w:pPr>
              <w:spacing w:after="0"/>
              <w:rPr>
                <w:sz w:val="14"/>
                <w:szCs w:val="14"/>
                <w:color w:val="auto"/>
              </w:rPr>
            </w:pP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due 12/2029)</w:t>
            </w:r>
          </w:p>
        </w:tc>
        <w:tc>
          <w:tcPr>
            <w:tcW w:w="800" w:type="dxa"/>
            <w:vAlign w:val="bottom"/>
          </w:tcPr>
          <w:p>
            <w:pPr>
              <w:spacing w:after="0"/>
              <w:rPr>
                <w:sz w:val="14"/>
                <w:szCs w:val="14"/>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5.00%</w:t>
            </w: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4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Equinox Holdings, Inc.</w:t>
            </w:r>
          </w:p>
        </w:tc>
        <w:tc>
          <w:tcPr>
            <w:tcW w:w="2660" w:type="dxa"/>
            <w:vAlign w:val="bottom"/>
            <w:shd w:val="clear" w:color="auto" w:fill="CFF0FC"/>
          </w:tcPr>
          <w:p>
            <w:pPr>
              <w:ind w:left="420"/>
              <w:spacing w:after="0" w:line="122" w:lineRule="exact"/>
              <w:rPr>
                <w:sz w:val="20"/>
                <w:szCs w:val="20"/>
                <w:color w:val="auto"/>
              </w:rPr>
            </w:pPr>
            <w:r>
              <w:rPr>
                <w:rFonts w:ascii="Times New Roman" w:cs="Times New Roman" w:eastAsia="Times New Roman" w:hAnsi="Times New Roman"/>
                <w:sz w:val="13"/>
                <w:szCs w:val="13"/>
                <w:color w:val="auto"/>
              </w:rPr>
              <w:t>First-lien loan ($52,094 par, due</w:t>
            </w:r>
          </w:p>
        </w:tc>
        <w:tc>
          <w:tcPr>
            <w:tcW w:w="800" w:type="dxa"/>
            <w:vAlign w:val="bottom"/>
            <w:shd w:val="clear" w:color="auto" w:fill="CFF0FC"/>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3/8/2024</w:t>
            </w:r>
          </w:p>
        </w:tc>
        <w:tc>
          <w:tcPr>
            <w:tcW w:w="1060" w:type="dxa"/>
            <w:vAlign w:val="bottom"/>
            <w:shd w:val="clear" w:color="auto" w:fill="CFF0FC"/>
          </w:tcPr>
          <w:p>
            <w:pPr>
              <w:jc w:val="right"/>
              <w:ind w:right="93"/>
              <w:spacing w:after="0" w:line="122" w:lineRule="exact"/>
              <w:rPr>
                <w:sz w:val="20"/>
                <w:szCs w:val="20"/>
                <w:color w:val="auto"/>
              </w:rPr>
            </w:pPr>
            <w:r>
              <w:rPr>
                <w:rFonts w:ascii="Times New Roman" w:cs="Times New Roman" w:eastAsia="Times New Roman" w:hAnsi="Times New Roman"/>
                <w:sz w:val="13"/>
                <w:szCs w:val="13"/>
                <w:color w:val="auto"/>
              </w:rPr>
              <w:t>SOFR + 7.25%</w:t>
            </w:r>
          </w:p>
        </w:tc>
        <w:tc>
          <w:tcPr>
            <w:tcW w:w="1440" w:type="dxa"/>
            <w:vAlign w:val="bottom"/>
            <w:shd w:val="clear" w:color="auto" w:fill="CFF0FC"/>
          </w:tcPr>
          <w:p>
            <w:pPr>
              <w:jc w:val="right"/>
              <w:ind w:right="93"/>
              <w:spacing w:after="0" w:line="122" w:lineRule="exact"/>
              <w:rPr>
                <w:sz w:val="20"/>
                <w:szCs w:val="20"/>
                <w:color w:val="auto"/>
              </w:rPr>
            </w:pPr>
            <w:r>
              <w:rPr>
                <w:rFonts w:ascii="Times New Roman" w:cs="Times New Roman" w:eastAsia="Times New Roman" w:hAnsi="Times New Roman"/>
                <w:sz w:val="13"/>
                <w:szCs w:val="13"/>
                <w:color w:val="auto"/>
              </w:rPr>
              <w:t>11.32%</w:t>
            </w: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51,588</w:t>
            </w:r>
          </w:p>
        </w:tc>
        <w:tc>
          <w:tcPr>
            <w:tcW w:w="10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52,615</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89"/>
        </w:trPr>
        <w:tc>
          <w:tcPr>
            <w:tcW w:w="2440" w:type="dxa"/>
            <w:vAlign w:val="bottom"/>
            <w:shd w:val="clear" w:color="auto" w:fill="CFF0FC"/>
          </w:tcPr>
          <w:p>
            <w:pPr>
              <w:spacing w:after="0"/>
              <w:rPr>
                <w:sz w:val="16"/>
                <w:szCs w:val="16"/>
                <w:color w:val="auto"/>
              </w:rPr>
            </w:pPr>
          </w:p>
        </w:tc>
        <w:tc>
          <w:tcPr>
            <w:tcW w:w="2660" w:type="dxa"/>
            <w:vAlign w:val="bottom"/>
            <w:shd w:val="clear" w:color="auto" w:fill="CFF0FC"/>
          </w:tcPr>
          <w:p>
            <w:pPr>
              <w:ind w:left="420"/>
              <w:spacing w:after="0" w:line="189" w:lineRule="exact"/>
              <w:rPr>
                <w:sz w:val="20"/>
                <w:szCs w:val="20"/>
                <w:color w:val="auto"/>
              </w:rPr>
            </w:pPr>
            <w:r>
              <w:rPr>
                <w:rFonts w:ascii="Times New Roman" w:cs="Times New Roman" w:eastAsia="Times New Roman" w:hAnsi="Times New Roman"/>
                <w:sz w:val="13"/>
                <w:szCs w:val="13"/>
                <w:color w:val="auto"/>
              </w:rPr>
              <w:t xml:space="preserve">3/2029) </w:t>
            </w:r>
            <w:r>
              <w:rPr>
                <w:rFonts w:ascii="Times New Roman" w:cs="Times New Roman" w:eastAsia="Times New Roman" w:hAnsi="Times New Roman"/>
                <w:sz w:val="18"/>
                <w:szCs w:val="18"/>
                <w:color w:val="auto"/>
                <w:vertAlign w:val="superscript"/>
              </w:rPr>
              <w:t>(3)</w:t>
            </w:r>
          </w:p>
        </w:tc>
        <w:tc>
          <w:tcPr>
            <w:tcW w:w="8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Second-lien loan ($3,088 par, due</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3/13/2024</w:t>
            </w:r>
          </w:p>
        </w:tc>
        <w:tc>
          <w:tcPr>
            <w:tcW w:w="10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16.00%</w:t>
            </w:r>
          </w:p>
        </w:tc>
        <w:tc>
          <w:tcPr>
            <w:tcW w:w="1440" w:type="dxa"/>
            <w:vAlign w:val="bottom"/>
          </w:tcPr>
          <w:p>
            <w:pPr>
              <w:jc w:val="right"/>
              <w:ind w:right="213"/>
              <w:spacing w:after="0" w:line="136" w:lineRule="exact"/>
              <w:rPr>
                <w:sz w:val="20"/>
                <w:szCs w:val="20"/>
                <w:color w:val="auto"/>
              </w:rPr>
            </w:pPr>
            <w:r>
              <w:rPr>
                <w:rFonts w:ascii="Times New Roman" w:cs="Times New Roman" w:eastAsia="Times New Roman" w:hAnsi="Times New Roman"/>
                <w:sz w:val="13"/>
                <w:szCs w:val="13"/>
                <w:color w:val="auto"/>
              </w:rPr>
              <w:t>16.00% PIK</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3,071</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3,404</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IRGSE Holding Corp. </w:t>
            </w:r>
            <w:r>
              <w:rPr>
                <w:rFonts w:ascii="Times New Roman" w:cs="Times New Roman" w:eastAsia="Times New Roman" w:hAnsi="Times New Roman"/>
                <w:sz w:val="18"/>
                <w:szCs w:val="18"/>
                <w:color w:val="auto"/>
                <w:vertAlign w:val="superscript"/>
              </w:rPr>
              <w:t>(3)(7)</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6/2027)</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loan ($30,261 par, due</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12/21/2018</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+ 9.65%</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13.72%</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28,594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25,873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1"/>
        </w:trPr>
        <w:tc>
          <w:tcPr>
            <w:tcW w:w="2440" w:type="dxa"/>
            <w:vAlign w:val="bottom"/>
          </w:tcPr>
          <w:p>
            <w:pPr>
              <w:spacing w:after="0"/>
              <w:rPr>
                <w:sz w:val="14"/>
                <w:szCs w:val="14"/>
                <w:color w:val="auto"/>
              </w:rPr>
            </w:pP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6/2027)</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revolving loan ($35,213 par,</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12/21/2018</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+ 9.65%</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13.53%</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35,213</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29,753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Mindbody, Inc. </w:t>
            </w:r>
            <w:r>
              <w:rPr>
                <w:rFonts w:ascii="Times New Roman" w:cs="Times New Roman" w:eastAsia="Times New Roman" w:hAnsi="Times New Roman"/>
                <w:sz w:val="18"/>
                <w:szCs w:val="18"/>
                <w:color w:val="auto"/>
                <w:vertAlign w:val="superscript"/>
              </w:rPr>
              <w:t>(3)</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due 6/2027)</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loan ($28,817 par, due</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3/30/2026</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+ 6.00%</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10.07%</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28,354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28,249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1"/>
        </w:trPr>
        <w:tc>
          <w:tcPr>
            <w:tcW w:w="24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Sport Alliance GmbH </w:t>
            </w:r>
            <w:r>
              <w:rPr>
                <w:rFonts w:ascii="Times New Roman" w:cs="Times New Roman" w:eastAsia="Times New Roman" w:hAnsi="Times New Roman"/>
                <w:sz w:val="18"/>
                <w:szCs w:val="18"/>
                <w:color w:val="auto"/>
                <w:vertAlign w:val="superscript"/>
              </w:rPr>
              <w:t>(3)(4)</w:t>
            </w: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3/2033)</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vMerge w:val="continue"/>
          </w:tcPr>
          <w:p>
            <w:pPr>
              <w:spacing w:after="0"/>
              <w:rPr>
                <w:sz w:val="11"/>
                <w:szCs w:val="11"/>
                <w:color w:val="auto"/>
              </w:rPr>
            </w:pPr>
          </w:p>
        </w:tc>
        <w:tc>
          <w:tcPr>
            <w:tcW w:w="2660" w:type="dxa"/>
            <w:vAlign w:val="bottom"/>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loan (EUR 38,307 par, due</w:t>
            </w:r>
          </w:p>
        </w:tc>
        <w:tc>
          <w:tcPr>
            <w:tcW w:w="8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4/10/2024</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E + 7.75%</w:t>
            </w:r>
          </w:p>
        </w:tc>
        <w:tc>
          <w:tcPr>
            <w:tcW w:w="1440" w:type="dxa"/>
            <w:vAlign w:val="bottom"/>
          </w:tcPr>
          <w:p>
            <w:pPr>
              <w:jc w:val="right"/>
              <w:ind w:right="213"/>
              <w:spacing w:after="0" w:line="136" w:lineRule="exact"/>
              <w:rPr>
                <w:sz w:val="20"/>
                <w:szCs w:val="20"/>
                <w:color w:val="auto"/>
              </w:rPr>
            </w:pPr>
            <w:r>
              <w:rPr>
                <w:rFonts w:ascii="Times New Roman" w:cs="Times New Roman" w:eastAsia="Times New Roman" w:hAnsi="Times New Roman"/>
                <w:sz w:val="13"/>
                <w:szCs w:val="13"/>
                <w:color w:val="auto"/>
              </w:rPr>
              <w:t>10.20% (incl. 4.13%</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43,521</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43,117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66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4/2030)</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PIK)</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37,960)</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40" w:type="dxa"/>
            <w:vAlign w:val="bottom"/>
            <w:shd w:val="clear" w:color="auto" w:fill="CFF0FC"/>
          </w:tcPr>
          <w:p>
            <w:pPr>
              <w:spacing w:after="0"/>
              <w:rPr>
                <w:sz w:val="11"/>
                <w:szCs w:val="11"/>
                <w:color w:val="auto"/>
              </w:rPr>
            </w:pPr>
          </w:p>
        </w:tc>
        <w:tc>
          <w:tcPr>
            <w:tcW w:w="2660" w:type="dxa"/>
            <w:vAlign w:val="bottom"/>
            <w:shd w:val="clear" w:color="auto" w:fill="CFF0FC"/>
          </w:tcPr>
          <w:p>
            <w:pPr>
              <w:ind w:left="420"/>
              <w:spacing w:after="0" w:line="136" w:lineRule="exact"/>
              <w:rPr>
                <w:sz w:val="20"/>
                <w:szCs w:val="20"/>
                <w:color w:val="auto"/>
              </w:rPr>
            </w:pPr>
            <w:r>
              <w:rPr>
                <w:rFonts w:ascii="Times New Roman" w:cs="Times New Roman" w:eastAsia="Times New Roman" w:hAnsi="Times New Roman"/>
                <w:sz w:val="13"/>
                <w:szCs w:val="13"/>
                <w:color w:val="auto"/>
              </w:rPr>
              <w:t>First-lien revolving loan (EUR 83 par,</w:t>
            </w:r>
          </w:p>
        </w:tc>
        <w:tc>
          <w:tcPr>
            <w:tcW w:w="800" w:type="dxa"/>
            <w:vAlign w:val="bottom"/>
            <w:shd w:val="clear" w:color="auto" w:fill="CFF0FC"/>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4/10/2024</w:t>
            </w:r>
          </w:p>
        </w:tc>
        <w:tc>
          <w:tcPr>
            <w:tcW w:w="1060" w:type="dxa"/>
            <w:vAlign w:val="bottom"/>
            <w:shd w:val="clear" w:color="auto" w:fill="CFF0FC"/>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E + 7.25%</w:t>
            </w:r>
          </w:p>
        </w:tc>
        <w:tc>
          <w:tcPr>
            <w:tcW w:w="1440" w:type="dxa"/>
            <w:vAlign w:val="bottom"/>
            <w:shd w:val="clear" w:color="auto" w:fill="CFF0FC"/>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9.84%</w:t>
            </w:r>
          </w:p>
        </w:tc>
        <w:tc>
          <w:tcPr>
            <w:tcW w:w="6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80</w:t>
            </w:r>
          </w:p>
        </w:tc>
        <w:tc>
          <w:tcPr>
            <w:tcW w:w="10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93</w:t>
            </w:r>
          </w:p>
        </w:tc>
        <w:tc>
          <w:tcPr>
            <w:tcW w:w="120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440" w:type="dxa"/>
            <w:vAlign w:val="bottom"/>
            <w:tcBorders>
              <w:bottom w:val="single" w:sz="8" w:color="CFF0FC"/>
            </w:tcBorders>
            <w:shd w:val="clear" w:color="auto" w:fill="CFF0FC"/>
          </w:tcPr>
          <w:p>
            <w:pPr>
              <w:spacing w:after="0"/>
              <w:rPr>
                <w:sz w:val="14"/>
                <w:szCs w:val="14"/>
                <w:color w:val="auto"/>
              </w:rPr>
            </w:pPr>
          </w:p>
        </w:tc>
        <w:tc>
          <w:tcPr>
            <w:tcW w:w="266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due 4/2030)</w:t>
            </w:r>
          </w:p>
        </w:tc>
        <w:tc>
          <w:tcPr>
            <w:tcW w:w="80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shd w:val="clear" w:color="auto" w:fill="CFF0FC"/>
          </w:tcPr>
          <w:p>
            <w:pPr>
              <w:spacing w:after="0"/>
              <w:rPr>
                <w:sz w:val="14"/>
                <w:szCs w:val="14"/>
                <w:color w:val="auto"/>
              </w:rPr>
            </w:pPr>
          </w:p>
        </w:tc>
        <w:tc>
          <w:tcPr>
            <w:tcW w:w="14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82)</w:t>
            </w:r>
          </w:p>
        </w:tc>
        <w:tc>
          <w:tcPr>
            <w:tcW w:w="16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-6960235</wp:posOffset>
            </wp:positionV>
            <wp:extent cx="713232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-6385560</wp:posOffset>
            </wp:positionV>
            <wp:extent cx="713232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-6102985</wp:posOffset>
            </wp:positionV>
            <wp:extent cx="713232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-5811520</wp:posOffset>
            </wp:positionV>
            <wp:extent cx="713232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-5520055</wp:posOffset>
            </wp:positionV>
            <wp:extent cx="713232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-4937125</wp:posOffset>
            </wp:positionV>
            <wp:extent cx="7132320" cy="93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-4653915</wp:posOffset>
            </wp:positionV>
            <wp:extent cx="713232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-4277360</wp:posOffset>
            </wp:positionV>
            <wp:extent cx="713232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-3900170</wp:posOffset>
            </wp:positionV>
            <wp:extent cx="713232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-3522345</wp:posOffset>
            </wp:positionV>
            <wp:extent cx="7132320" cy="282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-3051175</wp:posOffset>
            </wp:positionV>
            <wp:extent cx="713232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-2759710</wp:posOffset>
            </wp:positionV>
            <wp:extent cx="713232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-1808480</wp:posOffset>
            </wp:positionV>
            <wp:extent cx="713232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713232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-6488430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-6488430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-6488430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-5048250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-5048250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-2382520</wp:posOffset>
            </wp:positionV>
            <wp:extent cx="713232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
        </w:trPr>
        <w:tc>
          <w:tcPr>
            <w:tcW w:w="2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Human Resource Support Services</w:t>
            </w:r>
          </w:p>
        </w:tc>
        <w:tc>
          <w:tcPr>
            <w:tcW w:w="2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300,527</w:t>
            </w:r>
          </w:p>
        </w:tc>
        <w:tc>
          <w:tcPr>
            <w:tcW w:w="2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292,558</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18.9</w:t>
            </w:r>
            <w:r>
              <w:rPr>
                <w:rFonts w:ascii="Times New Roman" w:cs="Times New Roman" w:eastAsia="Times New Roman" w:hAnsi="Times New Roman"/>
                <w:sz w:val="13"/>
                <w:szCs w:val="13"/>
                <w:color w:val="auto"/>
                <w:highlight w:val="white"/>
              </w:rPr>
              <w:t>%</w:t>
            </w: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10"/>
                <w:szCs w:val="10"/>
                <w:color w:val="auto"/>
              </w:rPr>
            </w:pPr>
          </w:p>
        </w:tc>
        <w:tc>
          <w:tcPr>
            <w:tcW w:w="2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Axonify, Inc. </w:t>
            </w:r>
            <w:r>
              <w:rPr>
                <w:rFonts w:ascii="Times New Roman" w:cs="Times New Roman" w:eastAsia="Times New Roman" w:hAnsi="Times New Roman"/>
                <w:sz w:val="18"/>
                <w:szCs w:val="18"/>
                <w:color w:val="auto"/>
                <w:vertAlign w:val="superscript"/>
              </w:rPr>
              <w:t>(3)(4)(5)</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loan ($44,802 par, due</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5/5/2021</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SOFR + 6.65%</w:t>
            </w: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10.41%</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44,130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bswift, LLC </w:t>
            </w:r>
            <w:r>
              <w:rPr>
                <w:rFonts w:ascii="Times New Roman" w:cs="Times New Roman" w:eastAsia="Times New Roman" w:hAnsi="Times New Roman"/>
                <w:sz w:val="18"/>
                <w:szCs w:val="18"/>
                <w:color w:val="auto"/>
                <w:vertAlign w:val="superscript"/>
              </w:rPr>
              <w:t>(3)(5)</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5/2027)</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($54,210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11/7/2022</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+ 4.75%</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8.49%</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53,692</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53,939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Elysian Finco Ltd. </w:t>
            </w:r>
            <w:r>
              <w:rPr>
                <w:rFonts w:ascii="Times New Roman" w:cs="Times New Roman" w:eastAsia="Times New Roman" w:hAnsi="Times New Roman"/>
                <w:sz w:val="18"/>
                <w:szCs w:val="18"/>
                <w:color w:val="auto"/>
                <w:vertAlign w:val="superscript"/>
              </w:rPr>
              <w:t>(3)(4)(5)</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11/2028)</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($21,591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1/31/2022</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+ 5.65%</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9.55%</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21,464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20,997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1/2028)</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revolving loan (GBP</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1/31/2022</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 + 4.50%</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8.23%</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2,123</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2,081</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HireVue, Inc. </w:t>
            </w:r>
            <w:r>
              <w:rPr>
                <w:rFonts w:ascii="Times New Roman" w:cs="Times New Roman" w:eastAsia="Times New Roman" w:hAnsi="Times New Roman"/>
                <w:sz w:val="18"/>
                <w:szCs w:val="18"/>
                <w:color w:val="auto"/>
                <w:vertAlign w:val="superscript"/>
              </w:rPr>
              <w:t>(3)</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1,623 par, due 1/2028)</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 1,566)</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($58,531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5/3/2023</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+ 7.75%</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11.60%</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57,739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51,507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5/2029)</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revolving loan ($6,958 par,</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5/3/2023</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+ 7.75%</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11.82%</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6,871</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6,123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PayScale Holdings, Inc. </w:t>
            </w:r>
            <w:r>
              <w:rPr>
                <w:rFonts w:ascii="Times New Roman" w:cs="Times New Roman" w:eastAsia="Times New Roman" w:hAnsi="Times New Roman"/>
                <w:sz w:val="18"/>
                <w:szCs w:val="18"/>
                <w:color w:val="auto"/>
                <w:vertAlign w:val="superscript"/>
              </w:rPr>
              <w:t>(3)(5)</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due 5/2029)</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($74,355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5/3/2019</w:t>
            </w:r>
          </w:p>
        </w:tc>
        <w:tc>
          <w:tcPr>
            <w:tcW w:w="106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9.07%</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74,221</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73,413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20" w:type="dxa"/>
            <w:vAlign w:val="bottom"/>
          </w:tcPr>
          <w:p>
            <w:pPr>
              <w:ind w:left="160"/>
              <w:spacing w:after="0" w:line="148" w:lineRule="exact"/>
              <w:rPr>
                <w:sz w:val="20"/>
                <w:szCs w:val="20"/>
                <w:color w:val="auto"/>
              </w:rPr>
            </w:pPr>
            <w:r>
              <w:rPr>
                <w:rFonts w:ascii="Times New Roman" w:cs="Times New Roman" w:eastAsia="Times New Roman" w:hAnsi="Times New Roman"/>
                <w:sz w:val="13"/>
                <w:szCs w:val="13"/>
                <w:color w:val="auto"/>
              </w:rPr>
              <w:t>10/2029)</w:t>
            </w:r>
          </w:p>
        </w:tc>
        <w:tc>
          <w:tcPr>
            <w:tcW w:w="780" w:type="dxa"/>
            <w:vAlign w:val="bottom"/>
          </w:tcPr>
          <w:p>
            <w:pPr>
              <w:spacing w:after="0"/>
              <w:rPr>
                <w:sz w:val="12"/>
                <w:szCs w:val="12"/>
                <w:color w:val="auto"/>
              </w:rPr>
            </w:pPr>
          </w:p>
        </w:tc>
        <w:tc>
          <w:tcPr>
            <w:tcW w:w="1060" w:type="dxa"/>
            <w:vAlign w:val="bottom"/>
          </w:tcPr>
          <w:p>
            <w:pPr>
              <w:jc w:val="right"/>
              <w:ind w:right="93"/>
              <w:spacing w:after="0" w:line="148" w:lineRule="exact"/>
              <w:rPr>
                <w:sz w:val="20"/>
                <w:szCs w:val="20"/>
                <w:color w:val="auto"/>
              </w:rPr>
            </w:pPr>
            <w:r>
              <w:rPr>
                <w:rFonts w:ascii="Times New Roman" w:cs="Times New Roman" w:eastAsia="Times New Roman" w:hAnsi="Times New Roman"/>
                <w:sz w:val="13"/>
                <w:szCs w:val="13"/>
                <w:color w:val="auto"/>
              </w:rPr>
              <w:t>5.00%</w:t>
            </w:r>
          </w:p>
        </w:tc>
        <w:tc>
          <w:tcPr>
            <w:tcW w:w="14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shd w:val="clear" w:color="auto" w:fill="CFF0FC"/>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260,793</w:t>
            </w:r>
          </w:p>
        </w:tc>
        <w:tc>
          <w:tcPr>
            <w:tcW w:w="10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252,190</w:t>
            </w:r>
          </w:p>
        </w:tc>
        <w:tc>
          <w:tcPr>
            <w:tcW w:w="12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115"/>
        </w:trPr>
        <w:tc>
          <w:tcPr>
            <w:tcW w:w="270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Internet Services</w:t>
            </w:r>
          </w:p>
        </w:tc>
        <w:tc>
          <w:tcPr>
            <w:tcW w:w="2420" w:type="dxa"/>
            <w:vAlign w:val="bottom"/>
            <w:tcBorders>
              <w:top w:val="single" w:sz="8" w:color="CFF0FC"/>
            </w:tcBorders>
          </w:tcPr>
          <w:p>
            <w:pPr>
              <w:spacing w:after="0"/>
              <w:rPr>
                <w:sz w:val="10"/>
                <w:szCs w:val="10"/>
                <w:color w:val="auto"/>
              </w:rPr>
            </w:pPr>
          </w:p>
        </w:tc>
        <w:tc>
          <w:tcPr>
            <w:tcW w:w="780" w:type="dxa"/>
            <w:vAlign w:val="bottom"/>
            <w:tcBorders>
              <w:top w:val="single" w:sz="8" w:color="CFF0FC"/>
            </w:tcBorders>
          </w:tcPr>
          <w:p>
            <w:pPr>
              <w:spacing w:after="0"/>
              <w:rPr>
                <w:sz w:val="10"/>
                <w:szCs w:val="10"/>
                <w:color w:val="auto"/>
              </w:rPr>
            </w:pPr>
          </w:p>
        </w:tc>
        <w:tc>
          <w:tcPr>
            <w:tcW w:w="1060" w:type="dxa"/>
            <w:vAlign w:val="bottom"/>
            <w:tcBorders>
              <w:top w:val="single" w:sz="8" w:color="CFF0FC"/>
            </w:tcBorders>
          </w:tcPr>
          <w:p>
            <w:pPr>
              <w:spacing w:after="0"/>
              <w:rPr>
                <w:sz w:val="10"/>
                <w:szCs w:val="10"/>
                <w:color w:val="auto"/>
              </w:rPr>
            </w:pPr>
          </w:p>
        </w:tc>
        <w:tc>
          <w:tcPr>
            <w:tcW w:w="144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Arrow Buyer, Inc. </w:t>
            </w:r>
            <w:r>
              <w:rPr>
                <w:rFonts w:ascii="Times New Roman" w:cs="Times New Roman" w:eastAsia="Times New Roman" w:hAnsi="Times New Roman"/>
                <w:sz w:val="18"/>
                <w:szCs w:val="18"/>
                <w:color w:val="auto"/>
                <w:vertAlign w:val="superscript"/>
              </w:rPr>
              <w:t>(3)</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loan ($36,371 par, due</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6/30/2023</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SOFR + 5.00%</w:t>
            </w: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9.07%</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35,808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36,098</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Bayshore Intermediate #2, L.P. </w:t>
            </w:r>
            <w:r>
              <w:rPr>
                <w:rFonts w:ascii="Times New Roman" w:cs="Times New Roman" w:eastAsia="Times New Roman" w:hAnsi="Times New Roman"/>
                <w:sz w:val="18"/>
                <w:szCs w:val="18"/>
                <w:color w:val="auto"/>
                <w:vertAlign w:val="superscript"/>
              </w:rPr>
              <w:t>(3)</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7/2030)</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($43,143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10/1/2021</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+ 5.50%</w:t>
            </w:r>
          </w:p>
        </w:tc>
        <w:tc>
          <w:tcPr>
            <w:tcW w:w="1440" w:type="dxa"/>
            <w:vAlign w:val="bottom"/>
          </w:tcPr>
          <w:p>
            <w:pPr>
              <w:jc w:val="right"/>
              <w:ind w:right="253"/>
              <w:spacing w:after="0" w:line="136" w:lineRule="exact"/>
              <w:rPr>
                <w:sz w:val="20"/>
                <w:szCs w:val="20"/>
                <w:color w:val="auto"/>
              </w:rPr>
            </w:pPr>
            <w:r>
              <w:rPr>
                <w:rFonts w:ascii="Times New Roman" w:cs="Times New Roman" w:eastAsia="Times New Roman" w:hAnsi="Times New Roman"/>
                <w:sz w:val="13"/>
                <w:szCs w:val="13"/>
                <w:color w:val="auto"/>
              </w:rPr>
              <w:t>9.48% (incl. 3.00%</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42,909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42,496</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10/2028)</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PIK)</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revolving loan ($2,458 par,</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10/1/2021</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+ 5.00%</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8.87%</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2,448</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2,403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Big Wombat Holdings, Inc. </w:t>
            </w:r>
            <w:r>
              <w:rPr>
                <w:rFonts w:ascii="Times New Roman" w:cs="Times New Roman" w:eastAsia="Times New Roman" w:hAnsi="Times New Roman"/>
                <w:sz w:val="18"/>
                <w:szCs w:val="18"/>
                <w:color w:val="auto"/>
                <w:vertAlign w:val="superscript"/>
              </w:rPr>
              <w:t>(3)(5)</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due 10/2027)</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($46,834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10/20/2025</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+ 7.00%</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11.07%</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46,429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46,249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Coupa Holdings, LLC </w:t>
            </w:r>
            <w:r>
              <w:rPr>
                <w:rFonts w:ascii="Times New Roman" w:cs="Times New Roman" w:eastAsia="Times New Roman" w:hAnsi="Times New Roman"/>
                <w:sz w:val="18"/>
                <w:szCs w:val="18"/>
                <w:color w:val="auto"/>
                <w:vertAlign w:val="superscript"/>
              </w:rPr>
              <w:t>(3)</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4/2031)</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($46,066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2/27/2023</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+ 5.25%</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9.07%</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45,502</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45,144</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2/2030)</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revolving loan ($1,969 par,</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2/27/2023</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+ 5.25%</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9.07%</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1,939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1,909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EDB Parent, LLC </w:t>
            </w:r>
            <w:r>
              <w:rPr>
                <w:rFonts w:ascii="Times New Roman" w:cs="Times New Roman" w:eastAsia="Times New Roman" w:hAnsi="Times New Roman"/>
                <w:sz w:val="18"/>
                <w:szCs w:val="18"/>
                <w:color w:val="auto"/>
                <w:vertAlign w:val="superscript"/>
              </w:rPr>
              <w:t>(3)(5)</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due 2/2029)</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($80,566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7/7/2022</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+ 5.75%</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9.57%</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79,877</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79,761</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Hippo XPA Bidco AB </w:t>
            </w:r>
            <w:r>
              <w:rPr>
                <w:rFonts w:ascii="Times New Roman" w:cs="Times New Roman" w:eastAsia="Times New Roman" w:hAnsi="Times New Roman"/>
                <w:sz w:val="18"/>
                <w:szCs w:val="18"/>
                <w:color w:val="auto"/>
                <w:vertAlign w:val="superscript"/>
              </w:rPr>
              <w:t>(3)(4)(5)</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7/2028)</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(SEK 415,770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2/20/2024</w:t>
            </w:r>
          </w:p>
        </w:tc>
        <w:tc>
          <w:tcPr>
            <w:tcW w:w="106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STIBOR +</w:t>
            </w:r>
          </w:p>
        </w:tc>
        <w:tc>
          <w:tcPr>
            <w:tcW w:w="1440" w:type="dxa"/>
            <w:vAlign w:val="bottom"/>
          </w:tcPr>
          <w:p>
            <w:pPr>
              <w:jc w:val="right"/>
              <w:ind w:right="253"/>
              <w:spacing w:after="0" w:line="136" w:lineRule="exact"/>
              <w:rPr>
                <w:sz w:val="20"/>
                <w:szCs w:val="20"/>
                <w:color w:val="auto"/>
              </w:rPr>
            </w:pPr>
            <w:r>
              <w:rPr>
                <w:rFonts w:ascii="Times New Roman" w:cs="Times New Roman" w:eastAsia="Times New Roman" w:hAnsi="Times New Roman"/>
                <w:sz w:val="13"/>
                <w:szCs w:val="13"/>
                <w:color w:val="auto"/>
              </w:rPr>
              <w:t>8.58% (incl. 3.50%</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42,230</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41,379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2/2031)</w:t>
            </w:r>
          </w:p>
        </w:tc>
        <w:tc>
          <w:tcPr>
            <w:tcW w:w="780" w:type="dxa"/>
            <w:vAlign w:val="bottom"/>
          </w:tcPr>
          <w:p>
            <w:pPr>
              <w:spacing w:after="0"/>
              <w:rPr>
                <w:sz w:val="12"/>
                <w:szCs w:val="12"/>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6.50%</w:t>
            </w: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PIK)</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(SEK</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412,910)</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(EUR 2,641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2/20/2024</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E + 6.50%</w:t>
            </w:r>
          </w:p>
        </w:tc>
        <w:tc>
          <w:tcPr>
            <w:tcW w:w="1440" w:type="dxa"/>
            <w:vAlign w:val="bottom"/>
          </w:tcPr>
          <w:p>
            <w:pPr>
              <w:jc w:val="right"/>
              <w:ind w:right="253"/>
              <w:spacing w:after="0" w:line="136" w:lineRule="exact"/>
              <w:rPr>
                <w:sz w:val="20"/>
                <w:szCs w:val="20"/>
                <w:color w:val="auto"/>
              </w:rPr>
            </w:pPr>
            <w:r>
              <w:rPr>
                <w:rFonts w:ascii="Times New Roman" w:cs="Times New Roman" w:eastAsia="Times New Roman" w:hAnsi="Times New Roman"/>
                <w:sz w:val="13"/>
                <w:szCs w:val="13"/>
                <w:color w:val="auto"/>
              </w:rPr>
              <w:t>9.09% (incl. 3.50%</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2,844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3,000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Kaseware Intermediate Holding Company </w:t>
            </w:r>
            <w:r>
              <w:rPr>
                <w:rFonts w:ascii="Times New Roman" w:cs="Times New Roman" w:eastAsia="Times New Roman" w:hAnsi="Times New Roman"/>
                <w:sz w:val="18"/>
                <w:szCs w:val="18"/>
                <w:color w:val="auto"/>
                <w:vertAlign w:val="superscript"/>
              </w:rPr>
              <w:t>(3)(5)</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2/2031)</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PIK)</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2,641)</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($47,059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10/20/2025</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+ 5.50%</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9.25%</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46,265</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46,118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10/2031)</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shd w:val="clear" w:color="auto" w:fill="CFF0FC"/>
          </w:tcPr>
          <w:p>
            <w:pPr>
              <w:spacing w:after="0"/>
              <w:rPr>
                <w:sz w:val="11"/>
                <w:szCs w:val="11"/>
                <w:color w:val="auto"/>
              </w:rPr>
            </w:pPr>
          </w:p>
        </w:tc>
        <w:tc>
          <w:tcPr>
            <w:tcW w:w="2420" w:type="dxa"/>
            <w:vAlign w:val="bottom"/>
            <w:shd w:val="clear" w:color="auto" w:fill="CFF0FC"/>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revolving loan ($882 par, due</w:t>
            </w:r>
          </w:p>
        </w:tc>
        <w:tc>
          <w:tcPr>
            <w:tcW w:w="780" w:type="dxa"/>
            <w:vAlign w:val="bottom"/>
            <w:shd w:val="clear" w:color="auto" w:fill="CFF0FC"/>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10/20/2025</w:t>
            </w:r>
          </w:p>
        </w:tc>
        <w:tc>
          <w:tcPr>
            <w:tcW w:w="1060" w:type="dxa"/>
            <w:vAlign w:val="bottom"/>
            <w:shd w:val="clear" w:color="auto" w:fill="CFF0FC"/>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+ 5.50%</w:t>
            </w:r>
          </w:p>
        </w:tc>
        <w:tc>
          <w:tcPr>
            <w:tcW w:w="1440" w:type="dxa"/>
            <w:vAlign w:val="bottom"/>
            <w:shd w:val="clear" w:color="auto" w:fill="CFF0FC"/>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9.26%</w:t>
            </w:r>
          </w:p>
        </w:tc>
        <w:tc>
          <w:tcPr>
            <w:tcW w:w="6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833</w:t>
            </w:r>
          </w:p>
        </w:tc>
        <w:tc>
          <w:tcPr>
            <w:tcW w:w="10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824</w:t>
            </w:r>
          </w:p>
        </w:tc>
        <w:tc>
          <w:tcPr>
            <w:tcW w:w="120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00" w:type="dxa"/>
            <w:vAlign w:val="bottom"/>
            <w:shd w:val="clear" w:color="auto" w:fill="CFF0FC"/>
          </w:tcPr>
          <w:p>
            <w:pPr>
              <w:spacing w:after="0"/>
              <w:rPr>
                <w:sz w:val="14"/>
                <w:szCs w:val="14"/>
                <w:color w:val="auto"/>
              </w:rPr>
            </w:pP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10/2031)</w:t>
            </w:r>
          </w:p>
        </w:tc>
        <w:tc>
          <w:tcPr>
            <w:tcW w:w="7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Khoros, LLC</w:t>
            </w: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($11,448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5/23/2025</w:t>
            </w:r>
          </w:p>
        </w:tc>
        <w:tc>
          <w:tcPr>
            <w:tcW w:w="10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10.00%</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10.00%</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11,448</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10,904</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Kryptona BidCo US, LLC </w:t>
            </w:r>
            <w:r>
              <w:rPr>
                <w:rFonts w:ascii="Times New Roman" w:cs="Times New Roman" w:eastAsia="Times New Roman" w:hAnsi="Times New Roman"/>
                <w:sz w:val="18"/>
                <w:szCs w:val="18"/>
                <w:color w:val="auto"/>
                <w:vertAlign w:val="superscript"/>
              </w:rPr>
              <w:t>(3)</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5/2030)</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($21,095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12/18/2024</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+ 5.75%</w:t>
            </w:r>
          </w:p>
        </w:tc>
        <w:tc>
          <w:tcPr>
            <w:tcW w:w="1440" w:type="dxa"/>
            <w:vAlign w:val="bottom"/>
          </w:tcPr>
          <w:p>
            <w:pPr>
              <w:jc w:val="right"/>
              <w:ind w:right="253"/>
              <w:spacing w:after="0" w:line="136" w:lineRule="exact"/>
              <w:rPr>
                <w:sz w:val="20"/>
                <w:szCs w:val="20"/>
                <w:color w:val="auto"/>
              </w:rPr>
            </w:pPr>
            <w:r>
              <w:rPr>
                <w:rFonts w:ascii="Times New Roman" w:cs="Times New Roman" w:eastAsia="Times New Roman" w:hAnsi="Times New Roman"/>
                <w:sz w:val="13"/>
                <w:szCs w:val="13"/>
                <w:color w:val="auto"/>
              </w:rPr>
              <w:t>9.73% (incl. 3.13%</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20,756</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21,036</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12/2031)</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PIK)</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(EUR 4,882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12/18/2024</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E + 5.75%</w:t>
            </w:r>
          </w:p>
        </w:tc>
        <w:tc>
          <w:tcPr>
            <w:tcW w:w="1440" w:type="dxa"/>
            <w:vAlign w:val="bottom"/>
          </w:tcPr>
          <w:p>
            <w:pPr>
              <w:jc w:val="right"/>
              <w:ind w:right="253"/>
              <w:spacing w:after="0" w:line="136" w:lineRule="exact"/>
              <w:rPr>
                <w:sz w:val="20"/>
                <w:szCs w:val="20"/>
                <w:color w:val="auto"/>
              </w:rPr>
            </w:pPr>
            <w:r>
              <w:rPr>
                <w:rFonts w:ascii="Times New Roman" w:cs="Times New Roman" w:eastAsia="Times New Roman" w:hAnsi="Times New Roman"/>
                <w:sz w:val="13"/>
                <w:szCs w:val="13"/>
                <w:color w:val="auto"/>
              </w:rPr>
              <w:t>8.72% (incl. 3.13%</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5,067</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5,531</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LeanTaaS Holdings, Inc. </w:t>
            </w:r>
            <w:r>
              <w:rPr>
                <w:rFonts w:ascii="Times New Roman" w:cs="Times New Roman" w:eastAsia="Times New Roman" w:hAnsi="Times New Roman"/>
                <w:sz w:val="18"/>
                <w:szCs w:val="18"/>
                <w:color w:val="auto"/>
                <w:vertAlign w:val="superscript"/>
              </w:rPr>
              <w:t>(3)(5)</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12/2031)</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PIK)</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4,870)</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($68,620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7/12/2022</w:t>
            </w:r>
          </w:p>
        </w:tc>
        <w:tc>
          <w:tcPr>
            <w:tcW w:w="106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10.57%</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68,162</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67,248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RainFocus, LLC </w:t>
            </w:r>
            <w:r>
              <w:rPr>
                <w:rFonts w:ascii="Times New Roman" w:cs="Times New Roman" w:eastAsia="Times New Roman" w:hAnsi="Times New Roman"/>
                <w:sz w:val="18"/>
                <w:szCs w:val="18"/>
                <w:color w:val="auto"/>
                <w:vertAlign w:val="superscript"/>
              </w:rPr>
              <w:t>(3)(5)</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7/2028)</w:t>
            </w:r>
          </w:p>
        </w:tc>
        <w:tc>
          <w:tcPr>
            <w:tcW w:w="780" w:type="dxa"/>
            <w:vAlign w:val="bottom"/>
          </w:tcPr>
          <w:p>
            <w:pPr>
              <w:spacing w:after="0"/>
              <w:rPr>
                <w:sz w:val="14"/>
                <w:szCs w:val="14"/>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6.50%</w:t>
            </w: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($67,654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4/25/2025</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+ 5.88%</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10.12%</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67,260</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67,654</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SMA Technologies Holdings, LLC </w:t>
            </w:r>
            <w:r>
              <w:rPr>
                <w:rFonts w:ascii="Times New Roman" w:cs="Times New Roman" w:eastAsia="Times New Roman" w:hAnsi="Times New Roman"/>
                <w:sz w:val="18"/>
                <w:szCs w:val="18"/>
                <w:color w:val="auto"/>
                <w:vertAlign w:val="superscript"/>
              </w:rPr>
              <w:t>(3)(5)</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4/2031)</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($55,301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10/31/2022</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+ 5.50%</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9.26%</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54,436</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55,301</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20" w:type="dxa"/>
            <w:vAlign w:val="bottom"/>
          </w:tcPr>
          <w:p>
            <w:pPr>
              <w:ind w:left="160"/>
              <w:spacing w:after="0" w:line="148" w:lineRule="exact"/>
              <w:rPr>
                <w:sz w:val="20"/>
                <w:szCs w:val="20"/>
                <w:color w:val="auto"/>
              </w:rPr>
            </w:pPr>
            <w:r>
              <w:rPr>
                <w:rFonts w:ascii="Times New Roman" w:cs="Times New Roman" w:eastAsia="Times New Roman" w:hAnsi="Times New Roman"/>
                <w:sz w:val="13"/>
                <w:szCs w:val="13"/>
                <w:color w:val="auto"/>
              </w:rPr>
              <w:t>10/2028)</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Manufacturing</w:t>
            </w:r>
          </w:p>
        </w:tc>
        <w:tc>
          <w:tcPr>
            <w:tcW w:w="2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574,213</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573,055</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36.9%</w:t>
            </w: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10"/>
                <w:szCs w:val="10"/>
                <w:color w:val="auto"/>
              </w:rPr>
            </w:pPr>
          </w:p>
        </w:tc>
        <w:tc>
          <w:tcPr>
            <w:tcW w:w="2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3"/>
                <w:szCs w:val="13"/>
                <w:color w:val="auto"/>
              </w:rPr>
              <w:t xml:space="preserve">ASP Unifrax Holdings, Inc. </w:t>
            </w:r>
            <w:r>
              <w:rPr>
                <w:rFonts w:ascii="Times New Roman" w:cs="Times New Roman" w:eastAsia="Times New Roman" w:hAnsi="Times New Roman"/>
                <w:sz w:val="17"/>
                <w:szCs w:val="17"/>
                <w:color w:val="auto"/>
                <w:vertAlign w:val="superscript"/>
              </w:rPr>
              <w:t>(13)</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loan ($3,117 par, due 9/2029)</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9/30/2024</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SOFR + 9.00%</w:t>
            </w: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12.90%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1,262</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17"/>
        </w:trPr>
        <w:tc>
          <w:tcPr>
            <w:tcW w:w="2700" w:type="dxa"/>
            <w:vAlign w:val="bottom"/>
          </w:tcPr>
          <w:p>
            <w:pPr>
              <w:spacing w:after="0"/>
              <w:rPr>
                <w:sz w:val="10"/>
                <w:szCs w:val="10"/>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9"/>
                <w:szCs w:val="9"/>
                <w:color w:val="auto"/>
              </w:rPr>
              <w:t>(3)(12)</w:t>
            </w: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7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700" w:type="dxa"/>
            <w:vAlign w:val="bottom"/>
            <w:shd w:val="clear" w:color="auto" w:fill="CFF0FC"/>
          </w:tcPr>
          <w:p>
            <w:pPr>
              <w:spacing w:after="0"/>
              <w:rPr>
                <w:sz w:val="10"/>
                <w:szCs w:val="10"/>
                <w:color w:val="auto"/>
              </w:rPr>
            </w:pPr>
          </w:p>
        </w:tc>
        <w:tc>
          <w:tcPr>
            <w:tcW w:w="242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3"/>
                <w:szCs w:val="13"/>
                <w:color w:val="auto"/>
              </w:rPr>
              <w:t>Second-lien note ($2,031 par, due</w:t>
            </w:r>
          </w:p>
        </w:tc>
        <w:tc>
          <w:tcPr>
            <w:tcW w:w="780" w:type="dxa"/>
            <w:vAlign w:val="bottom"/>
            <w:shd w:val="clear" w:color="auto" w:fill="CFF0FC"/>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8/31/2023</w:t>
            </w:r>
          </w:p>
        </w:tc>
        <w:tc>
          <w:tcPr>
            <w:tcW w:w="10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7.10%</w:t>
            </w:r>
          </w:p>
        </w:tc>
        <w:tc>
          <w:tcPr>
            <w:tcW w:w="1440" w:type="dxa"/>
            <w:vAlign w:val="bottom"/>
            <w:shd w:val="clear" w:color="auto" w:fill="CFF0FC"/>
          </w:tcPr>
          <w:p>
            <w:pPr>
              <w:jc w:val="right"/>
              <w:ind w:right="93"/>
              <w:spacing w:after="0" w:line="122" w:lineRule="exact"/>
              <w:rPr>
                <w:sz w:val="20"/>
                <w:szCs w:val="20"/>
                <w:color w:val="auto"/>
              </w:rPr>
            </w:pPr>
            <w:r>
              <w:rPr>
                <w:rFonts w:ascii="Times New Roman" w:cs="Times New Roman" w:eastAsia="Times New Roman" w:hAnsi="Times New Roman"/>
                <w:sz w:val="13"/>
                <w:szCs w:val="13"/>
                <w:color w:val="auto"/>
              </w:rPr>
              <w:t>7.10%</w:t>
            </w: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1,529</w:t>
            </w:r>
          </w:p>
        </w:tc>
        <w:tc>
          <w:tcPr>
            <w:tcW w:w="10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5</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89"/>
        </w:trPr>
        <w:tc>
          <w:tcPr>
            <w:tcW w:w="2700" w:type="dxa"/>
            <w:vAlign w:val="bottom"/>
            <w:shd w:val="clear" w:color="auto" w:fill="CFF0FC"/>
          </w:tcPr>
          <w:p>
            <w:pPr>
              <w:spacing w:after="0"/>
              <w:rPr>
                <w:sz w:val="16"/>
                <w:szCs w:val="16"/>
                <w:color w:val="auto"/>
              </w:rPr>
            </w:pPr>
          </w:p>
        </w:tc>
        <w:tc>
          <w:tcPr>
            <w:tcW w:w="2420" w:type="dxa"/>
            <w:vAlign w:val="bottom"/>
            <w:shd w:val="clear" w:color="auto" w:fill="CFF0FC"/>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9/2029) </w:t>
            </w:r>
            <w:r>
              <w:rPr>
                <w:rFonts w:ascii="Times New Roman" w:cs="Times New Roman" w:eastAsia="Times New Roman" w:hAnsi="Times New Roman"/>
                <w:sz w:val="18"/>
                <w:szCs w:val="18"/>
                <w:color w:val="auto"/>
                <w:vertAlign w:val="superscript"/>
              </w:rPr>
              <w:t>(12)</w:t>
            </w:r>
          </w:p>
        </w:tc>
        <w:tc>
          <w:tcPr>
            <w:tcW w:w="7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24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Super-Priority DIP term loan ($560 par,</w:t>
            </w:r>
          </w:p>
        </w:tc>
        <w:tc>
          <w:tcPr>
            <w:tcW w:w="78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7/30/2026</w:t>
            </w:r>
          </w:p>
        </w:tc>
        <w:tc>
          <w:tcPr>
            <w:tcW w:w="1060" w:type="dxa"/>
            <w:vAlign w:val="bottom"/>
          </w:tcPr>
          <w:p>
            <w:pPr>
              <w:jc w:val="right"/>
              <w:ind w:right="93"/>
              <w:spacing w:after="0" w:line="122" w:lineRule="exact"/>
              <w:rPr>
                <w:sz w:val="20"/>
                <w:szCs w:val="20"/>
                <w:color w:val="auto"/>
              </w:rPr>
            </w:pPr>
            <w:r>
              <w:rPr>
                <w:rFonts w:ascii="Times New Roman" w:cs="Times New Roman" w:eastAsia="Times New Roman" w:hAnsi="Times New Roman"/>
                <w:sz w:val="13"/>
                <w:szCs w:val="13"/>
                <w:color w:val="auto"/>
              </w:rPr>
              <w:t>SOFR + 8.38%</w:t>
            </w:r>
          </w:p>
        </w:tc>
        <w:tc>
          <w:tcPr>
            <w:tcW w:w="1440" w:type="dxa"/>
            <w:vAlign w:val="bottom"/>
          </w:tcPr>
          <w:p>
            <w:pPr>
              <w:jc w:val="right"/>
              <w:ind w:right="213"/>
              <w:spacing w:after="0" w:line="122" w:lineRule="exact"/>
              <w:rPr>
                <w:sz w:val="20"/>
                <w:szCs w:val="20"/>
                <w:color w:val="auto"/>
              </w:rPr>
            </w:pPr>
            <w:r>
              <w:rPr>
                <w:rFonts w:ascii="Times New Roman" w:cs="Times New Roman" w:eastAsia="Times New Roman" w:hAnsi="Times New Roman"/>
                <w:sz w:val="13"/>
                <w:szCs w:val="13"/>
                <w:color w:val="auto"/>
              </w:rPr>
              <w:t>12.20% (incl. 6.10%</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553</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559</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2420" w:type="dxa"/>
            <w:vAlign w:val="bottom"/>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due 11/2026) </w:t>
            </w:r>
            <w:r>
              <w:rPr>
                <w:rFonts w:ascii="Times New Roman" w:cs="Times New Roman" w:eastAsia="Times New Roman" w:hAnsi="Times New Roman"/>
                <w:sz w:val="18"/>
                <w:szCs w:val="18"/>
                <w:color w:val="auto"/>
                <w:vertAlign w:val="superscript"/>
              </w:rPr>
              <w:t>(3)</w:t>
            </w: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PIK)</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2420" w:type="dxa"/>
            <w:vAlign w:val="bottom"/>
          </w:tcPr>
          <w:p>
            <w:pPr>
              <w:ind w:left="160"/>
              <w:spacing w:after="0" w:line="122" w:lineRule="exact"/>
              <w:rPr>
                <w:sz w:val="20"/>
                <w:szCs w:val="20"/>
                <w:color w:val="auto"/>
              </w:rPr>
            </w:pPr>
            <w:r>
              <w:rPr>
                <w:rFonts w:ascii="Times New Roman" w:cs="Times New Roman" w:eastAsia="Times New Roman" w:hAnsi="Times New Roman"/>
                <w:sz w:val="13"/>
                <w:szCs w:val="13"/>
                <w:color w:val="auto"/>
              </w:rPr>
              <w:t>Roll Up DIP term loan ($559 par, due</w:t>
            </w:r>
          </w:p>
        </w:tc>
        <w:tc>
          <w:tcPr>
            <w:tcW w:w="78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8/5/2026</w:t>
            </w:r>
          </w:p>
        </w:tc>
        <w:tc>
          <w:tcPr>
            <w:tcW w:w="1060" w:type="dxa"/>
            <w:vAlign w:val="bottom"/>
          </w:tcPr>
          <w:p>
            <w:pPr>
              <w:jc w:val="right"/>
              <w:ind w:right="93"/>
              <w:spacing w:after="0" w:line="122" w:lineRule="exact"/>
              <w:rPr>
                <w:sz w:val="20"/>
                <w:szCs w:val="20"/>
                <w:color w:val="auto"/>
              </w:rPr>
            </w:pPr>
            <w:r>
              <w:rPr>
                <w:rFonts w:ascii="Times New Roman" w:cs="Times New Roman" w:eastAsia="Times New Roman" w:hAnsi="Times New Roman"/>
                <w:sz w:val="13"/>
                <w:szCs w:val="13"/>
                <w:color w:val="auto"/>
              </w:rPr>
              <w:t>SOFR + 8.38%</w:t>
            </w:r>
          </w:p>
        </w:tc>
        <w:tc>
          <w:tcPr>
            <w:tcW w:w="1440" w:type="dxa"/>
            <w:vAlign w:val="bottom"/>
          </w:tcPr>
          <w:p>
            <w:pPr>
              <w:jc w:val="right"/>
              <w:ind w:right="213"/>
              <w:spacing w:after="0" w:line="122" w:lineRule="exact"/>
              <w:rPr>
                <w:sz w:val="20"/>
                <w:szCs w:val="20"/>
                <w:color w:val="auto"/>
              </w:rPr>
            </w:pPr>
            <w:r>
              <w:rPr>
                <w:rFonts w:ascii="Times New Roman" w:cs="Times New Roman" w:eastAsia="Times New Roman" w:hAnsi="Times New Roman"/>
                <w:sz w:val="13"/>
                <w:szCs w:val="13"/>
                <w:color w:val="auto"/>
              </w:rPr>
              <w:t>12.15% (incl. 6.07%</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553</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559</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89"/>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Varinem German BidCo GmbH </w:t>
            </w:r>
            <w:r>
              <w:rPr>
                <w:rFonts w:ascii="Times New Roman" w:cs="Times New Roman" w:eastAsia="Times New Roman" w:hAnsi="Times New Roman"/>
                <w:sz w:val="18"/>
                <w:szCs w:val="18"/>
                <w:color w:val="auto"/>
                <w:vertAlign w:val="superscript"/>
              </w:rPr>
              <w:t>(3)(4)</w:t>
            </w:r>
          </w:p>
        </w:tc>
        <w:tc>
          <w:tcPr>
            <w:tcW w:w="2420" w:type="dxa"/>
            <w:vAlign w:val="bottom"/>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11/2026) </w:t>
            </w:r>
            <w:r>
              <w:rPr>
                <w:rFonts w:ascii="Times New Roman" w:cs="Times New Roman" w:eastAsia="Times New Roman" w:hAnsi="Times New Roman"/>
                <w:sz w:val="18"/>
                <w:szCs w:val="18"/>
                <w:color w:val="auto"/>
                <w:vertAlign w:val="superscript"/>
              </w:rPr>
              <w:t>(3)</w:t>
            </w: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PIK)</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2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(EUR 12,696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7/11/2024</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E + 5.50%</w:t>
            </w:r>
          </w:p>
        </w:tc>
        <w:tc>
          <w:tcPr>
            <w:tcW w:w="144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8.13%</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13,713</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14,529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7/2031)</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12,791)</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shd w:val="clear" w:color="auto" w:fill="CFF0FC"/>
          </w:tcPr>
          <w:p>
            <w:pPr>
              <w:spacing w:after="0"/>
              <w:rPr>
                <w:sz w:val="11"/>
                <w:szCs w:val="11"/>
                <w:color w:val="auto"/>
              </w:rPr>
            </w:pPr>
          </w:p>
        </w:tc>
        <w:tc>
          <w:tcPr>
            <w:tcW w:w="2420" w:type="dxa"/>
            <w:vAlign w:val="bottom"/>
            <w:shd w:val="clear" w:color="auto" w:fill="CFF0FC"/>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(EUR 5,216 par, due</w:t>
            </w:r>
          </w:p>
        </w:tc>
        <w:tc>
          <w:tcPr>
            <w:tcW w:w="780" w:type="dxa"/>
            <w:vAlign w:val="bottom"/>
            <w:shd w:val="clear" w:color="auto" w:fill="CFF0FC"/>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7/11/2024</w:t>
            </w:r>
          </w:p>
        </w:tc>
        <w:tc>
          <w:tcPr>
            <w:tcW w:w="1060" w:type="dxa"/>
            <w:vAlign w:val="bottom"/>
            <w:shd w:val="clear" w:color="auto" w:fill="CFF0FC"/>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E + 4.75%</w:t>
            </w:r>
          </w:p>
        </w:tc>
        <w:tc>
          <w:tcPr>
            <w:tcW w:w="1440" w:type="dxa"/>
            <w:vAlign w:val="bottom"/>
            <w:shd w:val="clear" w:color="auto" w:fill="CFF0FC"/>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7.38%</w:t>
            </w:r>
          </w:p>
        </w:tc>
        <w:tc>
          <w:tcPr>
            <w:tcW w:w="6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5,653</w:t>
            </w:r>
          </w:p>
        </w:tc>
        <w:tc>
          <w:tcPr>
            <w:tcW w:w="10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5,875</w:t>
            </w:r>
          </w:p>
        </w:tc>
        <w:tc>
          <w:tcPr>
            <w:tcW w:w="120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1"/>
        </w:trPr>
        <w:tc>
          <w:tcPr>
            <w:tcW w:w="2700" w:type="dxa"/>
            <w:vAlign w:val="bottom"/>
            <w:tcBorders>
              <w:bottom w:val="single" w:sz="8" w:color="CFF0FC"/>
            </w:tcBorders>
            <w:shd w:val="clear" w:color="auto" w:fill="CFF0FC"/>
          </w:tcPr>
          <w:p>
            <w:pPr>
              <w:spacing w:after="0"/>
              <w:rPr>
                <w:sz w:val="14"/>
                <w:szCs w:val="14"/>
                <w:color w:val="auto"/>
              </w:rPr>
            </w:pPr>
          </w:p>
        </w:tc>
        <w:tc>
          <w:tcPr>
            <w:tcW w:w="24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7/2031)</w:t>
            </w:r>
          </w:p>
        </w:tc>
        <w:tc>
          <w:tcPr>
            <w:tcW w:w="78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shd w:val="clear" w:color="auto" w:fill="CFF0FC"/>
          </w:tcPr>
          <w:p>
            <w:pPr>
              <w:spacing w:after="0"/>
              <w:rPr>
                <w:sz w:val="14"/>
                <w:szCs w:val="14"/>
                <w:color w:val="auto"/>
              </w:rPr>
            </w:pPr>
          </w:p>
        </w:tc>
        <w:tc>
          <w:tcPr>
            <w:tcW w:w="14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5,173)</w:t>
            </w:r>
          </w:p>
        </w:tc>
        <w:tc>
          <w:tcPr>
            <w:tcW w:w="16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Office Products</w:t>
            </w:r>
          </w:p>
        </w:tc>
        <w:tc>
          <w:tcPr>
            <w:tcW w:w="2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25,039</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22,789</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10"/>
                <w:szCs w:val="10"/>
                <w:color w:val="auto"/>
              </w:rPr>
            </w:pPr>
          </w:p>
        </w:tc>
        <w:tc>
          <w:tcPr>
            <w:tcW w:w="2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USR Parent, Inc. </w:t>
            </w:r>
            <w:r>
              <w:rPr>
                <w:rFonts w:ascii="Times New Roman" w:cs="Times New Roman" w:eastAsia="Times New Roman" w:hAnsi="Times New Roman"/>
                <w:sz w:val="18"/>
                <w:szCs w:val="18"/>
                <w:color w:val="auto"/>
                <w:vertAlign w:val="superscript"/>
              </w:rPr>
              <w:t>(3)(5)</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ABL FILO term loan ($7,791 par, due</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4/25/2022</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SOFR + 6.50%</w:t>
            </w: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10.18%</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7,791</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Oil, Gas and Consumable Fuels</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4/2027)</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700" w:type="dxa"/>
            <w:vAlign w:val="bottom"/>
            <w:vMerge w:val="continue"/>
          </w:tcPr>
          <w:p>
            <w:pPr>
              <w:spacing w:after="0"/>
              <w:rPr>
                <w:sz w:val="10"/>
                <w:szCs w:val="10"/>
                <w:color w:val="auto"/>
              </w:rPr>
            </w:pPr>
          </w:p>
        </w:tc>
        <w:tc>
          <w:tcPr>
            <w:tcW w:w="2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Laramie Energy, LLC </w:t>
            </w:r>
            <w:r>
              <w:rPr>
                <w:rFonts w:ascii="Times New Roman" w:cs="Times New Roman" w:eastAsia="Times New Roman" w:hAnsi="Times New Roman"/>
                <w:sz w:val="18"/>
                <w:szCs w:val="18"/>
                <w:color w:val="auto"/>
                <w:vertAlign w:val="superscript"/>
              </w:rPr>
              <w:t>(3)</w:t>
            </w: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loan ($27,317 par, due</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2/21/2023</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SOFR + 7.10%</w:t>
            </w:r>
          </w:p>
        </w:tc>
        <w:tc>
          <w:tcPr>
            <w:tcW w:w="14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11.00%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27,264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27,454</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3"/>
        </w:trPr>
        <w:tc>
          <w:tcPr>
            <w:tcW w:w="2700" w:type="dxa"/>
            <w:vAlign w:val="bottom"/>
          </w:tcPr>
          <w:p>
            <w:pPr>
              <w:spacing w:after="0"/>
              <w:rPr>
                <w:sz w:val="14"/>
                <w:szCs w:val="14"/>
                <w:color w:val="auto"/>
              </w:rPr>
            </w:pPr>
          </w:p>
        </w:tc>
        <w:tc>
          <w:tcPr>
            <w:tcW w:w="2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2/2027)</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624840</wp:posOffset>
            </wp:positionV>
            <wp:extent cx="7132320" cy="2184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184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-6746875</wp:posOffset>
            </wp:positionV>
            <wp:extent cx="713232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-6369685</wp:posOffset>
            </wp:positionV>
            <wp:extent cx="713232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-5992495</wp:posOffset>
            </wp:positionV>
            <wp:extent cx="713232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-5418455</wp:posOffset>
            </wp:positionV>
            <wp:extent cx="713232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-5041265</wp:posOffset>
            </wp:positionV>
            <wp:extent cx="713232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-4664075</wp:posOffset>
            </wp:positionV>
            <wp:extent cx="713232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-4286885</wp:posOffset>
            </wp:positionV>
            <wp:extent cx="713232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-3815080</wp:posOffset>
            </wp:positionV>
            <wp:extent cx="713232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-3060700</wp:posOffset>
            </wp:positionV>
            <wp:extent cx="7132320"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-2683510</wp:posOffset>
            </wp:positionV>
            <wp:extent cx="713232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-2014855</wp:posOffset>
            </wp:positionV>
            <wp:extent cx="7132320"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-1346200</wp:posOffset>
            </wp:positionV>
            <wp:extent cx="7132320" cy="1968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94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94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-5521325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-5521325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-5521325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-2306320</wp:posOffset>
            </wp:positionV>
            <wp:extent cx="713232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-677545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-677545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-677545</wp:posOffset>
            </wp:positionV>
            <wp:extent cx="857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TRP Assets, LLC </w:t>
            </w:r>
            <w:r>
              <w:rPr>
                <w:rFonts w:ascii="Times New Roman" w:cs="Times New Roman" w:eastAsia="Times New Roman" w:hAnsi="Times New Roman"/>
                <w:sz w:val="18"/>
                <w:szCs w:val="18"/>
                <w:color w:val="auto"/>
                <w:vertAlign w:val="superscript"/>
              </w:rPr>
              <w:t>(3)</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loan ($59,369 par, due</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12/20/2024</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SOFR + 7.00%</w:t>
            </w: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11.07%</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58,541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59,517</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0" w:type="dxa"/>
            <w:vAlign w:val="bottom"/>
          </w:tcPr>
          <w:p>
            <w:pPr>
              <w:ind w:left="160"/>
              <w:spacing w:after="0" w:line="148" w:lineRule="exact"/>
              <w:rPr>
                <w:sz w:val="20"/>
                <w:szCs w:val="20"/>
                <w:color w:val="auto"/>
              </w:rPr>
            </w:pPr>
            <w:r>
              <w:rPr>
                <w:rFonts w:ascii="Times New Roman" w:cs="Times New Roman" w:eastAsia="Times New Roman" w:hAnsi="Times New Roman"/>
                <w:sz w:val="13"/>
                <w:szCs w:val="13"/>
                <w:color w:val="auto"/>
              </w:rPr>
              <w:t>12/2029)</w:t>
            </w:r>
          </w:p>
        </w:tc>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85,805</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86,971</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10"/>
                <w:szCs w:val="10"/>
                <w:color w:val="auto"/>
              </w:rPr>
            </w:pPr>
          </w:p>
        </w:tc>
        <w:tc>
          <w:tcPr>
            <w:tcW w:w="2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Boréal Bidco </w:t>
            </w:r>
            <w:r>
              <w:rPr>
                <w:rFonts w:ascii="Times New Roman" w:cs="Times New Roman" w:eastAsia="Times New Roman" w:hAnsi="Times New Roman"/>
                <w:sz w:val="18"/>
                <w:szCs w:val="18"/>
                <w:color w:val="auto"/>
                <w:vertAlign w:val="superscript"/>
              </w:rPr>
              <w:t>(3)(4)</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note (EUR 14,021 par, due</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3/24/2025</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E + 7.00%</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rPr>
              <w:t>9.59% (incl. 4.00%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15,886</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3/2032)</w:t>
            </w:r>
          </w:p>
        </w:tc>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PIK)</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Kahua, Inc. </w:t>
            </w:r>
            <w:r>
              <w:rPr>
                <w:rFonts w:ascii="Times New Roman" w:cs="Times New Roman" w:eastAsia="Times New Roman" w:hAnsi="Times New Roman"/>
                <w:sz w:val="18"/>
                <w:szCs w:val="18"/>
                <w:color w:val="auto"/>
                <w:vertAlign w:val="superscript"/>
              </w:rPr>
              <w:t>(3)</w:t>
            </w:r>
          </w:p>
        </w:tc>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13,986)</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($45,000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8/22/2025</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SOFR + 6.00%</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9.90%</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44,535</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46,125</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Omnigo Software, LLC </w:t>
            </w:r>
            <w:r>
              <w:rPr>
                <w:rFonts w:ascii="Times New Roman" w:cs="Times New Roman" w:eastAsia="Times New Roman" w:hAnsi="Times New Roman"/>
                <w:sz w:val="18"/>
                <w:szCs w:val="18"/>
                <w:color w:val="auto"/>
                <w:vertAlign w:val="superscript"/>
              </w:rPr>
              <w:t>(3)</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8/2030)</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($13,027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12/19/2025</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SOFR + 5.00%</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8.90%</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12,964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12,766</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Scorpio Bidco </w:t>
            </w:r>
            <w:r>
              <w:rPr>
                <w:rFonts w:ascii="Times New Roman" w:cs="Times New Roman" w:eastAsia="Times New Roman" w:hAnsi="Times New Roman"/>
                <w:sz w:val="18"/>
                <w:szCs w:val="18"/>
                <w:color w:val="auto"/>
                <w:vertAlign w:val="superscript"/>
              </w:rPr>
              <w:t>(3)(4)</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12/2030)</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(EUR 2,511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4/4/2024</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E + 5.75%</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8.34%</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2,691</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2,826</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Sediver S.p.A. </w:t>
            </w:r>
            <w:r>
              <w:rPr>
                <w:rFonts w:ascii="Times New Roman" w:cs="Times New Roman" w:eastAsia="Times New Roman" w:hAnsi="Times New Roman"/>
                <w:sz w:val="18"/>
                <w:szCs w:val="18"/>
                <w:color w:val="auto"/>
                <w:vertAlign w:val="superscript"/>
              </w:rPr>
              <w:t>(3)(4)</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4/2031)</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2,488)</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note (EUR 6,368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10/29/2024</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E + 5.00%</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7.59%</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6,757</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7,205</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10/2031)</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6,343)</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shd w:val="clear" w:color="auto" w:fill="CFF0FC"/>
          </w:tcPr>
          <w:p>
            <w:pPr>
              <w:spacing w:after="0"/>
              <w:rPr>
                <w:sz w:val="11"/>
                <w:szCs w:val="11"/>
                <w:color w:val="auto"/>
              </w:rPr>
            </w:pPr>
          </w:p>
        </w:tc>
        <w:tc>
          <w:tcPr>
            <w:tcW w:w="2400" w:type="dxa"/>
            <w:vAlign w:val="bottom"/>
            <w:shd w:val="clear" w:color="auto" w:fill="CFF0FC"/>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note ($14,085 par, due</w:t>
            </w:r>
          </w:p>
        </w:tc>
        <w:tc>
          <w:tcPr>
            <w:tcW w:w="7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10/29/2024</w:t>
            </w:r>
          </w:p>
        </w:tc>
        <w:tc>
          <w:tcPr>
            <w:tcW w:w="1120" w:type="dxa"/>
            <w:vAlign w:val="bottom"/>
            <w:shd w:val="clear" w:color="auto" w:fill="CFF0FC"/>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SOFR + 5.00%</w:t>
            </w:r>
          </w:p>
        </w:tc>
        <w:tc>
          <w:tcPr>
            <w:tcW w:w="1420" w:type="dxa"/>
            <w:vAlign w:val="bottom"/>
            <w:shd w:val="clear" w:color="auto" w:fill="CFF0FC"/>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9.08%</w:t>
            </w:r>
          </w:p>
        </w:tc>
        <w:tc>
          <w:tcPr>
            <w:tcW w:w="6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13,885</w:t>
            </w:r>
          </w:p>
        </w:tc>
        <w:tc>
          <w:tcPr>
            <w:tcW w:w="10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14,049</w:t>
            </w:r>
          </w:p>
        </w:tc>
        <w:tc>
          <w:tcPr>
            <w:tcW w:w="120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48"/>
        </w:trPr>
        <w:tc>
          <w:tcPr>
            <w:tcW w:w="2700" w:type="dxa"/>
            <w:vAlign w:val="bottom"/>
            <w:tcBorders>
              <w:bottom w:val="single" w:sz="8" w:color="CFF0FC"/>
            </w:tcBorders>
            <w:shd w:val="clear" w:color="auto" w:fill="CFF0FC"/>
          </w:tcPr>
          <w:p>
            <w:pPr>
              <w:spacing w:after="0"/>
              <w:rPr>
                <w:sz w:val="12"/>
                <w:szCs w:val="12"/>
                <w:color w:val="auto"/>
              </w:rPr>
            </w:pPr>
          </w:p>
        </w:tc>
        <w:tc>
          <w:tcPr>
            <w:tcW w:w="2400" w:type="dxa"/>
            <w:vAlign w:val="bottom"/>
            <w:tcBorders>
              <w:bottom w:val="single" w:sz="8" w:color="CFF0FC"/>
            </w:tcBorders>
            <w:shd w:val="clear" w:color="auto" w:fill="CFF0FC"/>
          </w:tcPr>
          <w:p>
            <w:pPr>
              <w:ind w:left="160"/>
              <w:spacing w:after="0" w:line="148" w:lineRule="exact"/>
              <w:rPr>
                <w:sz w:val="20"/>
                <w:szCs w:val="20"/>
                <w:color w:val="auto"/>
              </w:rPr>
            </w:pPr>
            <w:r>
              <w:rPr>
                <w:rFonts w:ascii="Times New Roman" w:cs="Times New Roman" w:eastAsia="Times New Roman" w:hAnsi="Times New Roman"/>
                <w:sz w:val="13"/>
                <w:szCs w:val="13"/>
                <w:color w:val="auto"/>
              </w:rPr>
              <w:t>10/2031)</w:t>
            </w:r>
          </w:p>
        </w:tc>
        <w:tc>
          <w:tcPr>
            <w:tcW w:w="760" w:type="dxa"/>
            <w:vAlign w:val="bottom"/>
            <w:tcBorders>
              <w:bottom w:val="single" w:sz="8" w:color="CFF0FC"/>
            </w:tcBorders>
            <w:shd w:val="clear" w:color="auto" w:fill="CFF0FC"/>
          </w:tcPr>
          <w:p>
            <w:pPr>
              <w:spacing w:after="0"/>
              <w:rPr>
                <w:sz w:val="12"/>
                <w:szCs w:val="12"/>
                <w:color w:val="auto"/>
              </w:rPr>
            </w:pPr>
          </w:p>
        </w:tc>
        <w:tc>
          <w:tcPr>
            <w:tcW w:w="1120" w:type="dxa"/>
            <w:vAlign w:val="bottom"/>
            <w:tcBorders>
              <w:bottom w:val="single" w:sz="8" w:color="CFF0FC"/>
            </w:tcBorders>
            <w:shd w:val="clear" w:color="auto" w:fill="CFF0FC"/>
          </w:tcPr>
          <w:p>
            <w:pPr>
              <w:spacing w:after="0"/>
              <w:rPr>
                <w:sz w:val="12"/>
                <w:szCs w:val="12"/>
                <w:color w:val="auto"/>
              </w:rPr>
            </w:pPr>
          </w:p>
        </w:tc>
        <w:tc>
          <w:tcPr>
            <w:tcW w:w="142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Pharmaceuticals</w:t>
            </w:r>
          </w:p>
        </w:tc>
        <w:tc>
          <w:tcPr>
            <w:tcW w:w="2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95,800</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98,857</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10"/>
                <w:szCs w:val="10"/>
                <w:color w:val="auto"/>
              </w:rPr>
            </w:pPr>
          </w:p>
        </w:tc>
        <w:tc>
          <w:tcPr>
            <w:tcW w:w="2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Arrowhead Pharmaceuticals, Inc. </w:t>
            </w:r>
            <w:r>
              <w:rPr>
                <w:rFonts w:ascii="Times New Roman" w:cs="Times New Roman" w:eastAsia="Times New Roman" w:hAnsi="Times New Roman"/>
                <w:sz w:val="18"/>
                <w:szCs w:val="18"/>
                <w:color w:val="auto"/>
                <w:vertAlign w:val="superscript"/>
              </w:rPr>
              <w:t>(4)</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loan ($27,932 par, due</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15.00%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31,144</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Elysium BidCo Limited </w:t>
            </w:r>
            <w:r>
              <w:rPr>
                <w:rFonts w:ascii="Times New Roman" w:cs="Times New Roman" w:eastAsia="Times New Roman" w:hAnsi="Times New Roman"/>
                <w:sz w:val="18"/>
                <w:szCs w:val="18"/>
                <w:color w:val="auto"/>
                <w:vertAlign w:val="superscript"/>
              </w:rPr>
              <w:t>(3)(4)</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8/2031)</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(EUR 40,905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12/11/2024</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E + 7.25%</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9.84%</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45,127</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44,794</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12/2030)</w:t>
            </w:r>
          </w:p>
        </w:tc>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39,436)</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(GBP 9,953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12/11/2024</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 + 7.25%</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10.98%</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12,435</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12,892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12/2030)</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(GBP 9,704)</w:t>
            </w: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85,336</w:t>
            </w:r>
          </w:p>
        </w:tc>
        <w:tc>
          <w:tcPr>
            <w:tcW w:w="10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88,830</w:t>
            </w:r>
          </w:p>
        </w:tc>
        <w:tc>
          <w:tcPr>
            <w:tcW w:w="12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15"/>
        </w:trPr>
        <w:tc>
          <w:tcPr>
            <w:tcW w:w="270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Real Estate</w:t>
            </w:r>
          </w:p>
        </w:tc>
        <w:tc>
          <w:tcPr>
            <w:tcW w:w="2400" w:type="dxa"/>
            <w:vAlign w:val="bottom"/>
            <w:tcBorders>
              <w:top w:val="single" w:sz="8" w:color="CFF0FC"/>
            </w:tcBorders>
          </w:tcPr>
          <w:p>
            <w:pPr>
              <w:spacing w:after="0"/>
              <w:rPr>
                <w:sz w:val="10"/>
                <w:szCs w:val="10"/>
                <w:color w:val="auto"/>
              </w:rPr>
            </w:pPr>
          </w:p>
        </w:tc>
        <w:tc>
          <w:tcPr>
            <w:tcW w:w="760" w:type="dxa"/>
            <w:vAlign w:val="bottom"/>
            <w:tcBorders>
              <w:top w:val="single" w:sz="8" w:color="CFF0FC"/>
            </w:tcBorders>
          </w:tcPr>
          <w:p>
            <w:pPr>
              <w:spacing w:after="0"/>
              <w:rPr>
                <w:sz w:val="10"/>
                <w:szCs w:val="10"/>
                <w:color w:val="auto"/>
              </w:rPr>
            </w:pPr>
          </w:p>
        </w:tc>
        <w:tc>
          <w:tcPr>
            <w:tcW w:w="1120" w:type="dxa"/>
            <w:vAlign w:val="bottom"/>
            <w:tcBorders>
              <w:top w:val="single" w:sz="8" w:color="CFF0FC"/>
            </w:tcBorders>
          </w:tcPr>
          <w:p>
            <w:pPr>
              <w:spacing w:after="0"/>
              <w:rPr>
                <w:sz w:val="10"/>
                <w:szCs w:val="10"/>
                <w:color w:val="auto"/>
              </w:rPr>
            </w:pPr>
          </w:p>
        </w:tc>
        <w:tc>
          <w:tcPr>
            <w:tcW w:w="142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Cirrus (BidCo) Limited </w:t>
            </w:r>
            <w:r>
              <w:rPr>
                <w:rFonts w:ascii="Times New Roman" w:cs="Times New Roman" w:eastAsia="Times New Roman" w:hAnsi="Times New Roman"/>
                <w:sz w:val="18"/>
                <w:szCs w:val="18"/>
                <w:color w:val="auto"/>
                <w:vertAlign w:val="superscript"/>
              </w:rPr>
              <w:t>(3)(4)(5)</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loan (GBP 770 par, due</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8/9/2024</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S + 5.25%</w:t>
            </w: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8.98%</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1,023</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Retail and Consumer Products</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8/2030)</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 770)</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700" w:type="dxa"/>
            <w:vAlign w:val="bottom"/>
            <w:vMerge w:val="continue"/>
          </w:tcPr>
          <w:p>
            <w:pPr>
              <w:spacing w:after="0"/>
              <w:rPr>
                <w:sz w:val="10"/>
                <w:szCs w:val="10"/>
                <w:color w:val="auto"/>
              </w:rPr>
            </w:pPr>
          </w:p>
        </w:tc>
        <w:tc>
          <w:tcPr>
            <w:tcW w:w="2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Acosta Inc. </w:t>
            </w:r>
            <w:r>
              <w:rPr>
                <w:rFonts w:ascii="Times New Roman" w:cs="Times New Roman" w:eastAsia="Times New Roman" w:hAnsi="Times New Roman"/>
                <w:sz w:val="18"/>
                <w:szCs w:val="18"/>
                <w:color w:val="auto"/>
                <w:vertAlign w:val="superscript"/>
              </w:rPr>
              <w:t>(3)(13)</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loan ($13,785 par, due</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8/20/2024</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SOFR + 5.60%</w:t>
            </w: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9.62%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13,647</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American Achievement, Corp. </w:t>
            </w:r>
            <w:r>
              <w:rPr>
                <w:rFonts w:ascii="Times New Roman" w:cs="Times New Roman" w:eastAsia="Times New Roman" w:hAnsi="Times New Roman"/>
                <w:sz w:val="18"/>
                <w:szCs w:val="18"/>
                <w:color w:val="auto"/>
                <w:vertAlign w:val="superscript"/>
              </w:rPr>
              <w:t>(3)(12)</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8/2031)</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($26,500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9/30/2015</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SOFR + 7.35%</w:t>
            </w:r>
          </w:p>
        </w:tc>
        <w:tc>
          <w:tcPr>
            <w:tcW w:w="1420" w:type="dxa"/>
            <w:vAlign w:val="bottom"/>
          </w:tcPr>
          <w:p>
            <w:pPr>
              <w:jc w:val="right"/>
              <w:ind w:right="253"/>
              <w:spacing w:after="0" w:line="136" w:lineRule="exact"/>
              <w:rPr>
                <w:sz w:val="20"/>
                <w:szCs w:val="20"/>
                <w:color w:val="auto"/>
              </w:rPr>
            </w:pPr>
            <w:r>
              <w:rPr>
                <w:rFonts w:ascii="Times New Roman" w:cs="Times New Roman" w:eastAsia="Times New Roman" w:hAnsi="Times New Roman"/>
                <w:sz w:val="13"/>
                <w:szCs w:val="13"/>
                <w:color w:val="auto"/>
              </w:rPr>
              <w:t>11.03% (incl.</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25,689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15,767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9/2027)</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10.53% PIK)</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shd w:val="clear" w:color="auto" w:fill="CFF0FC"/>
          </w:tcPr>
          <w:p>
            <w:pPr>
              <w:spacing w:after="0"/>
              <w:rPr>
                <w:sz w:val="11"/>
                <w:szCs w:val="11"/>
                <w:color w:val="auto"/>
              </w:rPr>
            </w:pPr>
          </w:p>
        </w:tc>
        <w:tc>
          <w:tcPr>
            <w:tcW w:w="2400" w:type="dxa"/>
            <w:vAlign w:val="bottom"/>
            <w:shd w:val="clear" w:color="auto" w:fill="CFF0FC"/>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($1,315 par, due 9/2027)</w:t>
            </w:r>
          </w:p>
        </w:tc>
        <w:tc>
          <w:tcPr>
            <w:tcW w:w="7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6/10/2021</w:t>
            </w:r>
          </w:p>
        </w:tc>
        <w:tc>
          <w:tcPr>
            <w:tcW w:w="1120" w:type="dxa"/>
            <w:vAlign w:val="bottom"/>
            <w:shd w:val="clear" w:color="auto" w:fill="CFF0FC"/>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SOFR + 15.10%</w:t>
            </w:r>
          </w:p>
        </w:tc>
        <w:tc>
          <w:tcPr>
            <w:tcW w:w="1420" w:type="dxa"/>
            <w:vAlign w:val="bottom"/>
            <w:shd w:val="clear" w:color="auto" w:fill="CFF0FC"/>
          </w:tcPr>
          <w:p>
            <w:pPr>
              <w:jc w:val="right"/>
              <w:ind w:right="253"/>
              <w:spacing w:after="0" w:line="136" w:lineRule="exact"/>
              <w:rPr>
                <w:sz w:val="20"/>
                <w:szCs w:val="20"/>
                <w:color w:val="auto"/>
              </w:rPr>
            </w:pPr>
            <w:r>
              <w:rPr>
                <w:rFonts w:ascii="Times New Roman" w:cs="Times New Roman" w:eastAsia="Times New Roman" w:hAnsi="Times New Roman"/>
                <w:sz w:val="13"/>
                <w:szCs w:val="13"/>
                <w:color w:val="auto"/>
              </w:rPr>
              <w:t>18.78% (incl.</w:t>
            </w:r>
          </w:p>
        </w:tc>
        <w:tc>
          <w:tcPr>
            <w:tcW w:w="6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1,315</w:t>
            </w:r>
          </w:p>
        </w:tc>
        <w:tc>
          <w:tcPr>
            <w:tcW w:w="10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99</w:t>
            </w:r>
          </w:p>
        </w:tc>
        <w:tc>
          <w:tcPr>
            <w:tcW w:w="120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70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3"/>
                <w:szCs w:val="13"/>
                <w:color w:val="auto"/>
              </w:rPr>
              <w:t>18.28% PIK)</w:t>
            </w: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Subordinated note ($4,740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3/16/2021</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SOFR + 1.15%</w:t>
            </w:r>
          </w:p>
        </w:tc>
        <w:tc>
          <w:tcPr>
            <w:tcW w:w="1420" w:type="dxa"/>
            <w:vAlign w:val="bottom"/>
          </w:tcPr>
          <w:p>
            <w:pPr>
              <w:jc w:val="right"/>
              <w:ind w:right="213"/>
              <w:spacing w:after="0" w:line="136" w:lineRule="exact"/>
              <w:rPr>
                <w:sz w:val="20"/>
                <w:szCs w:val="20"/>
                <w:color w:val="auto"/>
              </w:rPr>
            </w:pPr>
            <w:r>
              <w:rPr>
                <w:rFonts w:ascii="Times New Roman" w:cs="Times New Roman" w:eastAsia="Times New Roman" w:hAnsi="Times New Roman"/>
                <w:sz w:val="13"/>
                <w:szCs w:val="13"/>
                <w:color w:val="auto"/>
              </w:rPr>
              <w:t>4.88% PIK</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545</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Bed Bath and Beyond Inc. </w:t>
            </w:r>
            <w:r>
              <w:rPr>
                <w:rFonts w:ascii="Times New Roman" w:cs="Times New Roman" w:eastAsia="Times New Roman" w:hAnsi="Times New Roman"/>
                <w:sz w:val="18"/>
                <w:szCs w:val="18"/>
                <w:color w:val="auto"/>
                <w:vertAlign w:val="superscript"/>
              </w:rPr>
              <w:t>(3)(12)(16)</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9/2027)</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ABL FILO term loan ($3,579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9/2/2022</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SOFR + 9.90%</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13.80%</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3,543</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2,469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8/2027)</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Roll Up DIP term loan ($23,620 par)</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4/24/2023</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SOFR + 7.90%</w:t>
            </w:r>
          </w:p>
        </w:tc>
        <w:tc>
          <w:tcPr>
            <w:tcW w:w="142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11.80% PIK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16,298</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Super-Priority DIP term loan</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4/24/2023</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SOFR + 7.90%</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11.80%</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3,083</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2,127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Blazing Star Parent, LLC </w:t>
            </w:r>
            <w:r>
              <w:rPr>
                <w:rFonts w:ascii="Times New Roman" w:cs="Times New Roman" w:eastAsia="Times New Roman" w:hAnsi="Times New Roman"/>
                <w:sz w:val="18"/>
                <w:szCs w:val="18"/>
                <w:color w:val="auto"/>
                <w:vertAlign w:val="superscript"/>
              </w:rPr>
              <w:t>(3)</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($3,083 par)</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($68,250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8/28/2025</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SOFR + 7.00%</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10.76%</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67,422</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68,250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Cordance Operations, LLC </w:t>
            </w:r>
            <w:r>
              <w:rPr>
                <w:rFonts w:ascii="Times New Roman" w:cs="Times New Roman" w:eastAsia="Times New Roman" w:hAnsi="Times New Roman"/>
                <w:sz w:val="18"/>
                <w:szCs w:val="18"/>
                <w:color w:val="auto"/>
                <w:vertAlign w:val="superscript"/>
              </w:rPr>
              <w:t>(3)</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8/2030)</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($66,121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7/25/2022</w:t>
            </w:r>
          </w:p>
        </w:tc>
        <w:tc>
          <w:tcPr>
            <w:tcW w:w="1120" w:type="dxa"/>
            <w:vAlign w:val="bottom"/>
          </w:tcPr>
          <w:p>
            <w:pPr>
              <w:jc w:val="right"/>
              <w:ind w:right="153"/>
              <w:spacing w:after="0" w:line="136" w:lineRule="exact"/>
              <w:rPr>
                <w:sz w:val="20"/>
                <w:szCs w:val="20"/>
                <w:color w:val="auto"/>
              </w:rPr>
            </w:pPr>
            <w:r>
              <w:rPr>
                <w:rFonts w:ascii="Times New Roman" w:cs="Times New Roman" w:eastAsia="Times New Roman" w:hAnsi="Times New Roman"/>
                <w:sz w:val="13"/>
                <w:szCs w:val="13"/>
                <w:color w:val="auto"/>
              </w:rPr>
              <w:t>SOFR +</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11.66%</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65,572</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65,781</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Neuintel, LLC </w:t>
            </w:r>
            <w:r>
              <w:rPr>
                <w:rFonts w:ascii="Times New Roman" w:cs="Times New Roman" w:eastAsia="Times New Roman" w:hAnsi="Times New Roman"/>
                <w:sz w:val="18"/>
                <w:szCs w:val="18"/>
                <w:color w:val="auto"/>
                <w:vertAlign w:val="superscript"/>
              </w:rPr>
              <w:t>(3)(7)</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7/2028)</w:t>
            </w:r>
          </w:p>
        </w:tc>
        <w:tc>
          <w:tcPr>
            <w:tcW w:w="760" w:type="dxa"/>
            <w:vAlign w:val="bottom"/>
          </w:tcPr>
          <w:p>
            <w:pPr>
              <w:spacing w:after="0"/>
              <w:rPr>
                <w:sz w:val="14"/>
                <w:szCs w:val="14"/>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7.90%</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($29,356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9/29/2026</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SOFR + 9.15%</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13.23%</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29,323</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29,356</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PDI TA Holdings, Inc. </w:t>
            </w:r>
            <w:r>
              <w:rPr>
                <w:rFonts w:ascii="Times New Roman" w:cs="Times New Roman" w:eastAsia="Times New Roman" w:hAnsi="Times New Roman"/>
                <w:sz w:val="18"/>
                <w:szCs w:val="18"/>
                <w:color w:val="auto"/>
                <w:vertAlign w:val="superscript"/>
              </w:rPr>
              <w:t>(3)</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12/2029)</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($20,386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2/1/2024</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SOFR + 6.00%</w:t>
            </w:r>
          </w:p>
        </w:tc>
        <w:tc>
          <w:tcPr>
            <w:tcW w:w="1420" w:type="dxa"/>
            <w:vAlign w:val="bottom"/>
          </w:tcPr>
          <w:p>
            <w:pPr>
              <w:jc w:val="right"/>
              <w:ind w:right="253"/>
              <w:spacing w:after="0" w:line="136" w:lineRule="exact"/>
              <w:rPr>
                <w:sz w:val="20"/>
                <w:szCs w:val="20"/>
                <w:color w:val="auto"/>
              </w:rPr>
            </w:pPr>
            <w:r>
              <w:rPr>
                <w:rFonts w:ascii="Times New Roman" w:cs="Times New Roman" w:eastAsia="Times New Roman" w:hAnsi="Times New Roman"/>
                <w:sz w:val="13"/>
                <w:szCs w:val="13"/>
                <w:color w:val="auto"/>
              </w:rPr>
              <w:t>9.82% (incl. 2.50%</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20,187</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19,214</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2/2031)</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PIK)</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revolving loan ($1,640 par,</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2/1/2024</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SOFR + 5.50%</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9.33%</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1,625</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1,546</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Photo Holdings, LLC </w:t>
            </w:r>
            <w:r>
              <w:rPr>
                <w:rFonts w:ascii="Times New Roman" w:cs="Times New Roman" w:eastAsia="Times New Roman" w:hAnsi="Times New Roman"/>
                <w:sz w:val="18"/>
                <w:szCs w:val="18"/>
                <w:color w:val="auto"/>
                <w:vertAlign w:val="superscript"/>
              </w:rPr>
              <w:t>(3)</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due 2/2031)</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($50,000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6/22/2026</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SOFR + 7.00%</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11.07%</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47,678</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48,750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Rapid Data GmbH Unternehmensberatung </w:t>
            </w:r>
            <w:r>
              <w:rPr>
                <w:rFonts w:ascii="Times New Roman" w:cs="Times New Roman" w:eastAsia="Times New Roman" w:hAnsi="Times New Roman"/>
                <w:sz w:val="18"/>
                <w:szCs w:val="18"/>
                <w:color w:val="auto"/>
                <w:vertAlign w:val="superscript"/>
              </w:rPr>
              <w:t>(3)(4)</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6/2031)</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(EUR 7,546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7/11/2023</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E + 6.50%</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8.91%</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8,169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8,443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7/2029)</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7,433)</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revolving loan (EUR 328 par,</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7/11/2023</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E + 6.50%</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8.91%</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376</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361</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Tango Management Consulting, LLC </w:t>
            </w:r>
            <w:r>
              <w:rPr>
                <w:rFonts w:ascii="Times New Roman" w:cs="Times New Roman" w:eastAsia="Times New Roman" w:hAnsi="Times New Roman"/>
                <w:sz w:val="18"/>
                <w:szCs w:val="18"/>
                <w:color w:val="auto"/>
                <w:vertAlign w:val="superscript"/>
              </w:rPr>
              <w:t>(3)(5)</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due 6/2029)</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318)</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($54,143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6/25/2025</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SOFR + 6.50%</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10.23%</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53,191</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52,281</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400" w:type="dxa"/>
            <w:vAlign w:val="bottom"/>
          </w:tcPr>
          <w:p>
            <w:pPr>
              <w:ind w:left="160"/>
              <w:spacing w:after="0" w:line="148" w:lineRule="exact"/>
              <w:rPr>
                <w:sz w:val="20"/>
                <w:szCs w:val="20"/>
                <w:color w:val="auto"/>
              </w:rPr>
            </w:pPr>
            <w:r>
              <w:rPr>
                <w:rFonts w:ascii="Times New Roman" w:cs="Times New Roman" w:eastAsia="Times New Roman" w:hAnsi="Times New Roman"/>
                <w:sz w:val="13"/>
                <w:szCs w:val="13"/>
                <w:color w:val="auto"/>
              </w:rPr>
              <w:t>6/2031)</w:t>
            </w:r>
          </w:p>
        </w:tc>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364,893</w:t>
            </w:r>
          </w:p>
        </w:tc>
        <w:tc>
          <w:tcPr>
            <w:tcW w:w="10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344,448</w:t>
            </w:r>
          </w:p>
        </w:tc>
        <w:tc>
          <w:tcPr>
            <w:tcW w:w="12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15"/>
        </w:trPr>
        <w:tc>
          <w:tcPr>
            <w:tcW w:w="270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Transportation</w:t>
            </w:r>
          </w:p>
        </w:tc>
        <w:tc>
          <w:tcPr>
            <w:tcW w:w="2400" w:type="dxa"/>
            <w:vAlign w:val="bottom"/>
            <w:tcBorders>
              <w:top w:val="single" w:sz="8" w:color="CFF0FC"/>
            </w:tcBorders>
          </w:tcPr>
          <w:p>
            <w:pPr>
              <w:spacing w:after="0"/>
              <w:rPr>
                <w:sz w:val="10"/>
                <w:szCs w:val="10"/>
                <w:color w:val="auto"/>
              </w:rPr>
            </w:pPr>
          </w:p>
        </w:tc>
        <w:tc>
          <w:tcPr>
            <w:tcW w:w="760" w:type="dxa"/>
            <w:vAlign w:val="bottom"/>
            <w:tcBorders>
              <w:top w:val="single" w:sz="8" w:color="CFF0FC"/>
            </w:tcBorders>
          </w:tcPr>
          <w:p>
            <w:pPr>
              <w:spacing w:after="0"/>
              <w:rPr>
                <w:sz w:val="10"/>
                <w:szCs w:val="10"/>
                <w:color w:val="auto"/>
              </w:rPr>
            </w:pPr>
          </w:p>
        </w:tc>
        <w:tc>
          <w:tcPr>
            <w:tcW w:w="1120" w:type="dxa"/>
            <w:vAlign w:val="bottom"/>
            <w:tcBorders>
              <w:top w:val="single" w:sz="8" w:color="CFF0FC"/>
            </w:tcBorders>
          </w:tcPr>
          <w:p>
            <w:pPr>
              <w:spacing w:after="0"/>
              <w:rPr>
                <w:sz w:val="10"/>
                <w:szCs w:val="10"/>
                <w:color w:val="auto"/>
              </w:rPr>
            </w:pPr>
          </w:p>
        </w:tc>
        <w:tc>
          <w:tcPr>
            <w:tcW w:w="142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Marcura Equities LTD </w:t>
            </w:r>
            <w:r>
              <w:rPr>
                <w:rFonts w:ascii="Times New Roman" w:cs="Times New Roman" w:eastAsia="Times New Roman" w:hAnsi="Times New Roman"/>
                <w:sz w:val="18"/>
                <w:szCs w:val="18"/>
                <w:color w:val="auto"/>
                <w:vertAlign w:val="superscript"/>
              </w:rPr>
              <w:t>(3)(4)</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First-lien loan ($42,412 par, due</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8/11/2023</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SOFR +</w:t>
            </w: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11.57%</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43,155</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8/2029)</w:t>
            </w:r>
          </w:p>
        </w:tc>
        <w:tc>
          <w:tcPr>
            <w:tcW w:w="760" w:type="dxa"/>
            <w:vAlign w:val="bottom"/>
          </w:tcPr>
          <w:p>
            <w:pPr>
              <w:spacing w:after="0"/>
              <w:rPr>
                <w:sz w:val="14"/>
                <w:szCs w:val="14"/>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7.50%</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(GBP 1,130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8/11/2023</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 + 7.50%</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11.23%</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1,409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1,528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8/2029)</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 1,150)</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revolving loan ($1,667 par,</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8/11/2023</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SOFR + 7.50%</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11.57%</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1,627</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1,667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Project44, Inc. </w:t>
            </w:r>
            <w:r>
              <w:rPr>
                <w:rFonts w:ascii="Times New Roman" w:cs="Times New Roman" w:eastAsia="Times New Roman" w:hAnsi="Times New Roman"/>
                <w:sz w:val="18"/>
                <w:szCs w:val="18"/>
                <w:color w:val="auto"/>
                <w:vertAlign w:val="superscript"/>
              </w:rPr>
              <w:t>(3)(5)</w:t>
            </w: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due 8/2029)</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2400" w:type="dxa"/>
            <w:vAlign w:val="bottom"/>
          </w:tcPr>
          <w:p>
            <w:pPr>
              <w:ind w:left="160"/>
              <w:spacing w:after="0" w:line="136" w:lineRule="exact"/>
              <w:rPr>
                <w:sz w:val="20"/>
                <w:szCs w:val="20"/>
                <w:color w:val="auto"/>
              </w:rPr>
            </w:pPr>
            <w:r>
              <w:rPr>
                <w:rFonts w:ascii="Times New Roman" w:cs="Times New Roman" w:eastAsia="Times New Roman" w:hAnsi="Times New Roman"/>
                <w:sz w:val="13"/>
                <w:szCs w:val="13"/>
                <w:color w:val="auto"/>
              </w:rPr>
              <w:t>First-lien loan ($54,343 par, due</w:t>
            </w: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11/12/2021</w:t>
            </w:r>
          </w:p>
        </w:tc>
        <w:tc>
          <w:tcPr>
            <w:tcW w:w="1120" w:type="dxa"/>
            <w:vAlign w:val="bottom"/>
          </w:tcPr>
          <w:p>
            <w:pPr>
              <w:jc w:val="right"/>
              <w:ind w:right="113"/>
              <w:spacing w:after="0" w:line="136" w:lineRule="exact"/>
              <w:rPr>
                <w:sz w:val="20"/>
                <w:szCs w:val="20"/>
                <w:color w:val="auto"/>
              </w:rPr>
            </w:pPr>
            <w:r>
              <w:rPr>
                <w:rFonts w:ascii="Times New Roman" w:cs="Times New Roman" w:eastAsia="Times New Roman" w:hAnsi="Times New Roman"/>
                <w:sz w:val="13"/>
                <w:szCs w:val="13"/>
                <w:color w:val="auto"/>
              </w:rPr>
              <w:t>SOFR + 6.40%</w:t>
            </w:r>
          </w:p>
        </w:tc>
        <w:tc>
          <w:tcPr>
            <w:tcW w:w="14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10.47%</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53,914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53,120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11/2027)</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7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Rail Acquisitions LLC</w:t>
            </w:r>
          </w:p>
        </w:tc>
        <w:tc>
          <w:tcPr>
            <w:tcW w:w="240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3"/>
                <w:szCs w:val="13"/>
                <w:color w:val="auto"/>
              </w:rPr>
              <w:t>First-lien loan ($22,211 par, due</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1/27/2025</w:t>
            </w:r>
          </w:p>
        </w:tc>
        <w:tc>
          <w:tcPr>
            <w:tcW w:w="1120" w:type="dxa"/>
            <w:vAlign w:val="bottom"/>
            <w:shd w:val="clear" w:color="auto" w:fill="CFF0FC"/>
          </w:tcPr>
          <w:p>
            <w:pPr>
              <w:jc w:val="right"/>
              <w:ind w:right="113"/>
              <w:spacing w:after="0" w:line="122" w:lineRule="exact"/>
              <w:rPr>
                <w:sz w:val="20"/>
                <w:szCs w:val="20"/>
                <w:color w:val="auto"/>
              </w:rPr>
            </w:pPr>
            <w:r>
              <w:rPr>
                <w:rFonts w:ascii="Times New Roman" w:cs="Times New Roman" w:eastAsia="Times New Roman" w:hAnsi="Times New Roman"/>
                <w:sz w:val="13"/>
                <w:szCs w:val="13"/>
                <w:color w:val="auto"/>
              </w:rPr>
              <w:t>SOFR + 6.00%</w:t>
            </w:r>
          </w:p>
        </w:tc>
        <w:tc>
          <w:tcPr>
            <w:tcW w:w="1420" w:type="dxa"/>
            <w:vAlign w:val="bottom"/>
            <w:shd w:val="clear" w:color="auto" w:fill="CFF0FC"/>
          </w:tcPr>
          <w:p>
            <w:pPr>
              <w:jc w:val="right"/>
              <w:ind w:right="93"/>
              <w:spacing w:after="0" w:line="122" w:lineRule="exact"/>
              <w:rPr>
                <w:sz w:val="20"/>
                <w:szCs w:val="20"/>
                <w:color w:val="auto"/>
              </w:rPr>
            </w:pPr>
            <w:r>
              <w:rPr>
                <w:rFonts w:ascii="Times New Roman" w:cs="Times New Roman" w:eastAsia="Times New Roman" w:hAnsi="Times New Roman"/>
                <w:sz w:val="13"/>
                <w:szCs w:val="13"/>
                <w:color w:val="auto"/>
              </w:rPr>
              <w:t>9.84%</w:t>
            </w: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21,842</w:t>
            </w:r>
          </w:p>
        </w:tc>
        <w:tc>
          <w:tcPr>
            <w:tcW w:w="10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22,031</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89"/>
        </w:trPr>
        <w:tc>
          <w:tcPr>
            <w:tcW w:w="2700" w:type="dxa"/>
            <w:vAlign w:val="bottom"/>
            <w:shd w:val="clear" w:color="auto" w:fill="CFF0FC"/>
          </w:tcPr>
          <w:p>
            <w:pPr>
              <w:spacing w:after="0"/>
              <w:rPr>
                <w:sz w:val="16"/>
                <w:szCs w:val="16"/>
                <w:color w:val="auto"/>
              </w:rPr>
            </w:pPr>
          </w:p>
        </w:tc>
        <w:tc>
          <w:tcPr>
            <w:tcW w:w="2400" w:type="dxa"/>
            <w:vAlign w:val="bottom"/>
            <w:shd w:val="clear" w:color="auto" w:fill="CFF0FC"/>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1/2030) </w:t>
            </w:r>
            <w:r>
              <w:rPr>
                <w:rFonts w:ascii="Times New Roman" w:cs="Times New Roman" w:eastAsia="Times New Roman" w:hAnsi="Times New Roman"/>
                <w:sz w:val="18"/>
                <w:szCs w:val="18"/>
                <w:color w:val="auto"/>
                <w:vertAlign w:val="superscript"/>
              </w:rPr>
              <w:t>(3)</w:t>
            </w:r>
          </w:p>
        </w:tc>
        <w:tc>
          <w:tcPr>
            <w:tcW w:w="7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-6737350</wp:posOffset>
            </wp:positionV>
            <wp:extent cx="7132320" cy="939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-6360160</wp:posOffset>
            </wp:positionV>
            <wp:extent cx="713232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-5982970</wp:posOffset>
            </wp:positionV>
            <wp:extent cx="713232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-5314315</wp:posOffset>
            </wp:positionV>
            <wp:extent cx="7132320" cy="939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-5031105</wp:posOffset>
            </wp:positionV>
            <wp:extent cx="7132320" cy="2825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-4354195</wp:posOffset>
            </wp:positionV>
            <wp:extent cx="713232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-4070985</wp:posOffset>
            </wp:positionV>
            <wp:extent cx="713232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-3316605</wp:posOffset>
            </wp:positionV>
            <wp:extent cx="713232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-3034030</wp:posOffset>
            </wp:positionV>
            <wp:extent cx="713232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-2656840</wp:posOffset>
            </wp:positionV>
            <wp:extent cx="713232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-2279650</wp:posOffset>
            </wp:positionV>
            <wp:extent cx="713232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-951230</wp:posOffset>
            </wp:positionV>
            <wp:extent cx="713232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-7028815</wp:posOffset>
            </wp:positionV>
            <wp:extent cx="713232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-5425440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-5425440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-5425440</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-4457065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-4457065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-4457065</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-1053465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-1053465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-1053465</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2"/>
                <w:szCs w:val="12"/>
                <w:color w:val="auto"/>
              </w:rPr>
            </w:pP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Second-lien note ($23,736 par, due</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1/27/2025</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13.75%</w:t>
            </w: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13.75% PIK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20,952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21,489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1"/>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Ranger Intermediate II, LLC </w:t>
            </w:r>
            <w:r>
              <w:rPr>
                <w:rFonts w:ascii="Times New Roman" w:cs="Times New Roman" w:eastAsia="Times New Roman" w:hAnsi="Times New Roman"/>
                <w:sz w:val="18"/>
                <w:szCs w:val="18"/>
                <w:color w:val="auto"/>
                <w:vertAlign w:val="superscript"/>
              </w:rPr>
              <w:t>(3)</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1/2031)</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20" w:type="dxa"/>
            <w:vAlign w:val="bottom"/>
            <w:vMerge w:val="continue"/>
          </w:tcPr>
          <w:p>
            <w:pPr>
              <w:spacing w:after="0"/>
              <w:rPr>
                <w:sz w:val="11"/>
                <w:szCs w:val="11"/>
                <w:color w:val="auto"/>
              </w:rPr>
            </w:pPr>
          </w:p>
        </w:tc>
        <w:tc>
          <w:tcPr>
            <w:tcW w:w="234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First-lien loan ($69,014 par, due</w:t>
            </w:r>
          </w:p>
        </w:tc>
        <w:tc>
          <w:tcPr>
            <w:tcW w:w="84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10/28/2025</w:t>
            </w:r>
          </w:p>
        </w:tc>
        <w:tc>
          <w:tcPr>
            <w:tcW w:w="1280" w:type="dxa"/>
            <w:vAlign w:val="bottom"/>
          </w:tcPr>
          <w:p>
            <w:pPr>
              <w:jc w:val="right"/>
              <w:ind w:right="313"/>
              <w:spacing w:after="0" w:line="136" w:lineRule="exact"/>
              <w:rPr>
                <w:sz w:val="20"/>
                <w:szCs w:val="20"/>
                <w:color w:val="auto"/>
              </w:rPr>
            </w:pPr>
            <w:r>
              <w:rPr>
                <w:rFonts w:ascii="Times New Roman" w:cs="Times New Roman" w:eastAsia="Times New Roman" w:hAnsi="Times New Roman"/>
                <w:sz w:val="13"/>
                <w:szCs w:val="13"/>
                <w:color w:val="auto"/>
              </w:rPr>
              <w:t>SOFR + 5.75%</w:t>
            </w:r>
          </w:p>
        </w:tc>
        <w:tc>
          <w:tcPr>
            <w:tcW w:w="12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9.57%</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68,111</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67,806</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61"/>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Shiftmove GmbH </w:t>
            </w:r>
            <w:r>
              <w:rPr>
                <w:rFonts w:ascii="Times New Roman" w:cs="Times New Roman" w:eastAsia="Times New Roman" w:hAnsi="Times New Roman"/>
                <w:sz w:val="18"/>
                <w:szCs w:val="18"/>
                <w:color w:val="auto"/>
                <w:vertAlign w:val="superscript"/>
              </w:rPr>
              <w:t>(3)(4)(5)</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10/2031)</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20" w:type="dxa"/>
            <w:vAlign w:val="bottom"/>
            <w:vMerge w:val="continue"/>
          </w:tcPr>
          <w:p>
            <w:pPr>
              <w:spacing w:after="0"/>
              <w:rPr>
                <w:sz w:val="11"/>
                <w:szCs w:val="11"/>
                <w:color w:val="auto"/>
              </w:rPr>
            </w:pPr>
          </w:p>
        </w:tc>
        <w:tc>
          <w:tcPr>
            <w:tcW w:w="234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First-lien loan (EUR 36,338 par, due</w:t>
            </w:r>
          </w:p>
        </w:tc>
        <w:tc>
          <w:tcPr>
            <w:tcW w:w="84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9/30/2024</w:t>
            </w:r>
          </w:p>
        </w:tc>
        <w:tc>
          <w:tcPr>
            <w:tcW w:w="1280" w:type="dxa"/>
            <w:vAlign w:val="bottom"/>
          </w:tcPr>
          <w:p>
            <w:pPr>
              <w:jc w:val="right"/>
              <w:ind w:right="313"/>
              <w:spacing w:after="0" w:line="136" w:lineRule="exact"/>
              <w:rPr>
                <w:sz w:val="20"/>
                <w:szCs w:val="20"/>
                <w:color w:val="auto"/>
              </w:rPr>
            </w:pPr>
            <w:r>
              <w:rPr>
                <w:rFonts w:ascii="Times New Roman" w:cs="Times New Roman" w:eastAsia="Times New Roman" w:hAnsi="Times New Roman"/>
                <w:sz w:val="13"/>
                <w:szCs w:val="13"/>
                <w:color w:val="auto"/>
              </w:rPr>
              <w:t>E + 6.00%</w:t>
            </w:r>
          </w:p>
        </w:tc>
        <w:tc>
          <w:tcPr>
            <w:tcW w:w="122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8.59%</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40,150</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40,763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9/2030)</w:t>
            </w: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35,887)</w:t>
            </w: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20" w:type="dxa"/>
            <w:vAlign w:val="bottom"/>
            <w:shd w:val="clear" w:color="auto" w:fill="CFF0FC"/>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249,879</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251,559</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20"/>
        </w:trPr>
        <w:tc>
          <w:tcPr>
            <w:tcW w:w="272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Debt Investments</w:t>
            </w:r>
          </w:p>
        </w:tc>
        <w:tc>
          <w:tcPr>
            <w:tcW w:w="2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3,065,88</w:t>
            </w:r>
          </w:p>
        </w:tc>
        <w:tc>
          <w:tcPr>
            <w:tcW w:w="2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3,039,248</w:t>
            </w:r>
          </w:p>
        </w:tc>
        <w:tc>
          <w:tcPr>
            <w:tcW w:w="160" w:type="dxa"/>
            <w:vAlign w:val="bottom"/>
          </w:tcPr>
          <w:p>
            <w:pPr>
              <w:spacing w:after="0"/>
              <w:rPr>
                <w:sz w:val="11"/>
                <w:szCs w:val="11"/>
                <w:color w:val="auto"/>
              </w:rPr>
            </w:pPr>
          </w:p>
        </w:tc>
        <w:tc>
          <w:tcPr>
            <w:tcW w:w="104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196.2%</w:t>
            </w: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20" w:type="dxa"/>
            <w:vAlign w:val="bottom"/>
            <w:shd w:val="clear" w:color="auto" w:fill="CFF0FC"/>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720" w:type="dxa"/>
            <w:vAlign w:val="bottom"/>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Equity, Structured Credit and Joint Venture</w:t>
            </w:r>
          </w:p>
        </w:tc>
        <w:tc>
          <w:tcPr>
            <w:tcW w:w="2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7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2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2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72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Artisan Topco LP </w:t>
            </w:r>
            <w:r>
              <w:rPr>
                <w:rFonts w:ascii="Times New Roman" w:cs="Times New Roman" w:eastAsia="Times New Roman" w:hAnsi="Times New Roman"/>
                <w:sz w:val="18"/>
                <w:szCs w:val="18"/>
                <w:color w:val="auto"/>
                <w:vertAlign w:val="superscript"/>
              </w:rPr>
              <w:t>(10)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Class A Preferred Units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11/7/2023</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1,673</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Dye &amp; Durham, Ltd. </w:t>
            </w:r>
            <w:r>
              <w:rPr>
                <w:rFonts w:ascii="Times New Roman" w:cs="Times New Roman" w:eastAsia="Times New Roman" w:hAnsi="Times New Roman"/>
                <w:sz w:val="18"/>
                <w:szCs w:val="18"/>
                <w:color w:val="auto"/>
                <w:vertAlign w:val="superscript"/>
              </w:rPr>
              <w:t>(4)(10)(14)</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(2,117,264 units)</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20" w:type="dxa"/>
            <w:vAlign w:val="bottom"/>
            <w:vMerge w:val="continue"/>
          </w:tcPr>
          <w:p>
            <w:pPr>
              <w:spacing w:after="0"/>
              <w:rPr>
                <w:sz w:val="11"/>
                <w:szCs w:val="11"/>
                <w:color w:val="auto"/>
              </w:rPr>
            </w:pPr>
          </w:p>
        </w:tc>
        <w:tc>
          <w:tcPr>
            <w:tcW w:w="234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Common Shares (126,968 shares)</w:t>
            </w:r>
          </w:p>
        </w:tc>
        <w:tc>
          <w:tcPr>
            <w:tcW w:w="84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12/3/2021</w:t>
            </w:r>
          </w:p>
        </w:tc>
        <w:tc>
          <w:tcPr>
            <w:tcW w:w="1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3,909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89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Insight Hideaway Aggregator, L.P. </w:t>
            </w:r>
            <w:r>
              <w:rPr>
                <w:rFonts w:ascii="Times New Roman" w:cs="Times New Roman" w:eastAsia="Times New Roman" w:hAnsi="Times New Roman"/>
                <w:sz w:val="18"/>
                <w:szCs w:val="18"/>
                <w:color w:val="auto"/>
                <w:vertAlign w:val="superscript"/>
              </w:rPr>
              <w:t>(10)</w:t>
            </w:r>
          </w:p>
        </w:tc>
        <w:tc>
          <w:tcPr>
            <w:tcW w:w="2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(CAD 127)</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720" w:type="dxa"/>
            <w:vAlign w:val="bottom"/>
            <w:vMerge w:val="continue"/>
          </w:tcPr>
          <w:p>
            <w:pPr>
              <w:spacing w:after="0"/>
              <w:rPr>
                <w:sz w:val="10"/>
                <w:szCs w:val="10"/>
                <w:color w:val="auto"/>
              </w:rPr>
            </w:pPr>
          </w:p>
        </w:tc>
        <w:tc>
          <w:tcPr>
            <w:tcW w:w="234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auto"/>
              </w:rPr>
              <w:t>Partnership Interest (329,861 units)</w:t>
            </w:r>
          </w:p>
        </w:tc>
        <w:tc>
          <w:tcPr>
            <w:tcW w:w="840" w:type="dxa"/>
            <w:vAlign w:val="bottom"/>
          </w:tcPr>
          <w:p>
            <w:pPr>
              <w:jc w:val="right"/>
              <w:ind w:right="13"/>
              <w:spacing w:after="0" w:line="126" w:lineRule="exact"/>
              <w:rPr>
                <w:sz w:val="20"/>
                <w:szCs w:val="20"/>
                <w:color w:val="auto"/>
              </w:rPr>
            </w:pPr>
            <w:r>
              <w:rPr>
                <w:rFonts w:ascii="Times New Roman" w:cs="Times New Roman" w:eastAsia="Times New Roman" w:hAnsi="Times New Roman"/>
                <w:sz w:val="13"/>
                <w:szCs w:val="13"/>
                <w:color w:val="auto"/>
              </w:rPr>
              <w:t>3/19/2024</w:t>
            </w: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3,299</w:t>
            </w:r>
          </w:p>
        </w:tc>
        <w:tc>
          <w:tcPr>
            <w:tcW w:w="10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4,239</w:t>
            </w:r>
          </w:p>
        </w:tc>
        <w:tc>
          <w:tcPr>
            <w:tcW w:w="120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72"/>
        </w:trPr>
        <w:tc>
          <w:tcPr>
            <w:tcW w:w="272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Mitnick TA Aggregator, L.P. </w:t>
            </w:r>
            <w:r>
              <w:rPr>
                <w:rFonts w:ascii="Times New Roman" w:cs="Times New Roman" w:eastAsia="Times New Roman" w:hAnsi="Times New Roman"/>
                <w:sz w:val="18"/>
                <w:szCs w:val="18"/>
                <w:color w:val="auto"/>
                <w:vertAlign w:val="superscript"/>
              </w:rPr>
              <w:t>(10)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Membership Interest (0.43%</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5/2/2022</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Newark FP Co-Invest, L.P. </w:t>
            </w:r>
            <w:r>
              <w:rPr>
                <w:rFonts w:ascii="Times New Roman" w:cs="Times New Roman" w:eastAsia="Times New Roman" w:hAnsi="Times New Roman"/>
                <w:sz w:val="18"/>
                <w:szCs w:val="18"/>
                <w:color w:val="auto"/>
                <w:vertAlign w:val="superscript"/>
              </w:rPr>
              <w:t>(10)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ownership)</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720" w:type="dxa"/>
            <w:vAlign w:val="bottom"/>
            <w:vMerge w:val="continue"/>
          </w:tcPr>
          <w:p>
            <w:pPr>
              <w:spacing w:after="0"/>
              <w:rPr>
                <w:sz w:val="10"/>
                <w:szCs w:val="10"/>
                <w:color w:val="auto"/>
              </w:rPr>
            </w:pPr>
          </w:p>
        </w:tc>
        <w:tc>
          <w:tcPr>
            <w:tcW w:w="234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auto"/>
              </w:rPr>
              <w:t>Partnership (2,527,719 units)</w:t>
            </w:r>
          </w:p>
        </w:tc>
        <w:tc>
          <w:tcPr>
            <w:tcW w:w="840" w:type="dxa"/>
            <w:vAlign w:val="bottom"/>
          </w:tcPr>
          <w:p>
            <w:pPr>
              <w:jc w:val="right"/>
              <w:ind w:right="13"/>
              <w:spacing w:after="0" w:line="126" w:lineRule="exact"/>
              <w:rPr>
                <w:sz w:val="20"/>
                <w:szCs w:val="20"/>
                <w:color w:val="auto"/>
              </w:rPr>
            </w:pPr>
            <w:r>
              <w:rPr>
                <w:rFonts w:ascii="Times New Roman" w:cs="Times New Roman" w:eastAsia="Times New Roman" w:hAnsi="Times New Roman"/>
                <w:sz w:val="13"/>
                <w:szCs w:val="13"/>
                <w:color w:val="auto"/>
              </w:rPr>
              <w:t>11/8/2023</w:t>
            </w: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2,532</w:t>
            </w:r>
          </w:p>
        </w:tc>
        <w:tc>
          <w:tcPr>
            <w:tcW w:w="10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1,273</w:t>
            </w:r>
          </w:p>
        </w:tc>
        <w:tc>
          <w:tcPr>
            <w:tcW w:w="120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2"/>
        </w:trPr>
        <w:tc>
          <w:tcPr>
            <w:tcW w:w="272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Sprinklr, Inc. </w:t>
            </w:r>
            <w:r>
              <w:rPr>
                <w:rFonts w:ascii="Times New Roman" w:cs="Times New Roman" w:eastAsia="Times New Roman" w:hAnsi="Times New Roman"/>
                <w:sz w:val="18"/>
                <w:szCs w:val="18"/>
                <w:color w:val="auto"/>
                <w:vertAlign w:val="superscript"/>
              </w:rPr>
              <w:t>(10)(14)</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Shares (283,499 shares)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6/24/2021</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1,403</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85"/>
        </w:trPr>
        <w:tc>
          <w:tcPr>
            <w:tcW w:w="2720" w:type="dxa"/>
            <w:vAlign w:val="bottom"/>
          </w:tcPr>
          <w:p>
            <w:pPr>
              <w:spacing w:after="0" w:line="185" w:lineRule="exact"/>
              <w:rPr>
                <w:sz w:val="20"/>
                <w:szCs w:val="20"/>
                <w:color w:val="auto"/>
              </w:rPr>
            </w:pPr>
            <w:r>
              <w:rPr>
                <w:rFonts w:ascii="Times New Roman" w:cs="Times New Roman" w:eastAsia="Times New Roman" w:hAnsi="Times New Roman"/>
                <w:sz w:val="13"/>
                <w:szCs w:val="13"/>
                <w:color w:val="auto"/>
              </w:rPr>
              <w:t xml:space="preserve">Warrior TopCo LP </w:t>
            </w:r>
            <w:r>
              <w:rPr>
                <w:rFonts w:ascii="Times New Roman" w:cs="Times New Roman" w:eastAsia="Times New Roman" w:hAnsi="Times New Roman"/>
                <w:sz w:val="18"/>
                <w:szCs w:val="18"/>
                <w:color w:val="auto"/>
                <w:vertAlign w:val="superscript"/>
              </w:rPr>
              <w:t>(10)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Class A Units (423,729 units)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7/7/2023</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Communications</w:t>
            </w:r>
          </w:p>
        </w:tc>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19,975</w:t>
            </w:r>
          </w:p>
        </w:tc>
        <w:tc>
          <w:tcPr>
            <w:tcW w:w="2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10,476</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15"/>
        </w:trPr>
        <w:tc>
          <w:tcPr>
            <w:tcW w:w="2720" w:type="dxa"/>
            <w:vAlign w:val="bottom"/>
            <w:vMerge w:val="continue"/>
          </w:tcPr>
          <w:p>
            <w:pPr>
              <w:spacing w:after="0"/>
              <w:rPr>
                <w:sz w:val="10"/>
                <w:szCs w:val="10"/>
                <w:color w:val="auto"/>
              </w:rPr>
            </w:pPr>
          </w:p>
        </w:tc>
        <w:tc>
          <w:tcPr>
            <w:tcW w:w="2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7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Celtra Technologies, Inc. </w:t>
            </w:r>
            <w:r>
              <w:rPr>
                <w:rFonts w:ascii="Times New Roman" w:cs="Times New Roman" w:eastAsia="Times New Roman" w:hAnsi="Times New Roman"/>
                <w:sz w:val="17"/>
                <w:szCs w:val="17"/>
                <w:color w:val="auto"/>
                <w:vertAlign w:val="superscript"/>
              </w:rPr>
              <w:t>(10)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Class A Units (1,250,000 units)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11/19/2021</w:t>
            </w: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1,388</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2"/>
        </w:trPr>
        <w:tc>
          <w:tcPr>
            <w:tcW w:w="272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IntelePeer Holdings, Inc. </w:t>
            </w:r>
            <w:r>
              <w:rPr>
                <w:rFonts w:ascii="Times New Roman" w:cs="Times New Roman" w:eastAsia="Times New Roman" w:hAnsi="Times New Roman"/>
                <w:sz w:val="18"/>
                <w:szCs w:val="18"/>
                <w:color w:val="auto"/>
                <w:vertAlign w:val="superscript"/>
              </w:rPr>
              <w:t>(10)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C Preferred Shares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4/8/2021</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4"/>
                <w:szCs w:val="14"/>
                <w:color w:val="auto"/>
              </w:rPr>
            </w:pP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(1,816,295 shares)</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Series D Preferred Shares</w:t>
            </w:r>
          </w:p>
        </w:tc>
        <w:tc>
          <w:tcPr>
            <w:tcW w:w="84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4/8/2021</w:t>
            </w:r>
          </w:p>
        </w:tc>
        <w:tc>
          <w:tcPr>
            <w:tcW w:w="1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2,926</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95</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4"/>
                <w:szCs w:val="14"/>
                <w:color w:val="auto"/>
              </w:rPr>
            </w:pP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(1,598,874 shares)</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FF0FC"/>
          </w:tcPr>
          <w:p>
            <w:pPr>
              <w:spacing w:after="0"/>
              <w:rPr>
                <w:sz w:val="12"/>
                <w:szCs w:val="12"/>
                <w:color w:val="auto"/>
              </w:rPr>
            </w:pPr>
          </w:p>
        </w:tc>
        <w:tc>
          <w:tcPr>
            <w:tcW w:w="2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D Warrants (106,592 warrants)</w:t>
            </w: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4/8/2021</w:t>
            </w:r>
          </w:p>
        </w:tc>
        <w:tc>
          <w:tcPr>
            <w:tcW w:w="12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272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Education</w:t>
            </w:r>
          </w:p>
        </w:tc>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5,992</w:t>
            </w:r>
          </w:p>
        </w:tc>
        <w:tc>
          <w:tcPr>
            <w:tcW w:w="2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1,569</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15"/>
        </w:trPr>
        <w:tc>
          <w:tcPr>
            <w:tcW w:w="2720" w:type="dxa"/>
            <w:vAlign w:val="bottom"/>
            <w:vMerge w:val="continue"/>
          </w:tcPr>
          <w:p>
            <w:pPr>
              <w:spacing w:after="0"/>
              <w:rPr>
                <w:sz w:val="10"/>
                <w:szCs w:val="10"/>
                <w:color w:val="auto"/>
              </w:rPr>
            </w:pPr>
          </w:p>
        </w:tc>
        <w:tc>
          <w:tcPr>
            <w:tcW w:w="2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 xml:space="preserve">EMS Linq, Inc. </w:t>
            </w:r>
            <w:r>
              <w:rPr>
                <w:rFonts w:ascii="Times New Roman" w:cs="Times New Roman" w:eastAsia="Times New Roman" w:hAnsi="Times New Roman"/>
                <w:sz w:val="18"/>
                <w:szCs w:val="18"/>
                <w:color w:val="auto"/>
                <w:vertAlign w:val="superscript"/>
              </w:rPr>
              <w:t>(10)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Class B Units (5,522,526 units)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12/22/2021</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22"/>
        </w:trPr>
        <w:tc>
          <w:tcPr>
            <w:tcW w:w="2720" w:type="dxa"/>
            <w:vAlign w:val="bottom"/>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Financial Services</w:t>
            </w:r>
          </w:p>
        </w:tc>
        <w:tc>
          <w:tcPr>
            <w:tcW w:w="2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7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AF Eagle Parent, L.P. </w:t>
            </w:r>
            <w:r>
              <w:rPr>
                <w:rFonts w:ascii="Times New Roman" w:cs="Times New Roman" w:eastAsia="Times New Roman" w:hAnsi="Times New Roman"/>
                <w:sz w:val="17"/>
                <w:szCs w:val="17"/>
                <w:color w:val="auto"/>
                <w:vertAlign w:val="superscript"/>
              </w:rPr>
              <w:t>(10)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Partnership Units (121,329 units)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11/27/2023</w:t>
            </w: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6,607</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2"/>
        </w:trPr>
        <w:tc>
          <w:tcPr>
            <w:tcW w:w="272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Newport Parent Holdings, L.P. </w:t>
            </w:r>
            <w:r>
              <w:rPr>
                <w:rFonts w:ascii="Times New Roman" w:cs="Times New Roman" w:eastAsia="Times New Roman" w:hAnsi="Times New Roman"/>
                <w:sz w:val="18"/>
                <w:szCs w:val="18"/>
                <w:color w:val="auto"/>
                <w:vertAlign w:val="superscript"/>
              </w:rPr>
              <w:t>(10)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Class A-2 Units (131,569 units)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12/10/2020</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11,372</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99"/>
        </w:trPr>
        <w:tc>
          <w:tcPr>
            <w:tcW w:w="2720" w:type="dxa"/>
            <w:vAlign w:val="bottom"/>
          </w:tcPr>
          <w:p>
            <w:pPr>
              <w:spacing w:after="0" w:line="199" w:lineRule="exact"/>
              <w:rPr>
                <w:sz w:val="20"/>
                <w:szCs w:val="20"/>
                <w:color w:val="auto"/>
              </w:rPr>
            </w:pPr>
            <w:r>
              <w:rPr>
                <w:rFonts w:ascii="Times New Roman" w:cs="Times New Roman" w:eastAsia="Times New Roman" w:hAnsi="Times New Roman"/>
                <w:sz w:val="13"/>
                <w:szCs w:val="13"/>
                <w:color w:val="auto"/>
              </w:rPr>
              <w:t xml:space="preserve">Passport Labs, Inc. </w:t>
            </w:r>
            <w:r>
              <w:rPr>
                <w:rFonts w:ascii="Times New Roman" w:cs="Times New Roman" w:eastAsia="Times New Roman" w:hAnsi="Times New Roman"/>
                <w:sz w:val="18"/>
                <w:szCs w:val="18"/>
                <w:color w:val="auto"/>
                <w:vertAlign w:val="superscript"/>
              </w:rPr>
              <w:t>(10)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Warrants (17,534 warrants)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4/28/2021</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1,344</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234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Series D-1 Preferred Shares</w:t>
            </w:r>
          </w:p>
        </w:tc>
        <w:tc>
          <w:tcPr>
            <w:tcW w:w="84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8/3/2026</w:t>
            </w: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1,360</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2,031</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2"/>
        </w:trPr>
        <w:tc>
          <w:tcPr>
            <w:tcW w:w="2720" w:type="dxa"/>
            <w:vAlign w:val="bottom"/>
          </w:tcPr>
          <w:p>
            <w:pPr>
              <w:spacing w:after="0"/>
              <w:rPr>
                <w:sz w:val="13"/>
                <w:szCs w:val="13"/>
                <w:color w:val="auto"/>
              </w:rPr>
            </w:pPr>
          </w:p>
        </w:tc>
        <w:tc>
          <w:tcPr>
            <w:tcW w:w="2340" w:type="dxa"/>
            <w:vAlign w:val="bottom"/>
          </w:tcPr>
          <w:p>
            <w:pPr>
              <w:ind w:left="140"/>
              <w:spacing w:after="0" w:line="153" w:lineRule="exact"/>
              <w:rPr>
                <w:sz w:val="20"/>
                <w:szCs w:val="20"/>
                <w:color w:val="auto"/>
              </w:rPr>
            </w:pPr>
            <w:r>
              <w:rPr>
                <w:rFonts w:ascii="Times New Roman" w:cs="Times New Roman" w:eastAsia="Times New Roman" w:hAnsi="Times New Roman"/>
                <w:sz w:val="13"/>
                <w:szCs w:val="13"/>
                <w:color w:val="auto"/>
              </w:rPr>
              <w:t xml:space="preserve">(20,849 shares) </w:t>
            </w:r>
            <w:r>
              <w:rPr>
                <w:rFonts w:ascii="Times New Roman" w:cs="Times New Roman" w:eastAsia="Times New Roman" w:hAnsi="Times New Roman"/>
                <w:sz w:val="17"/>
                <w:szCs w:val="17"/>
                <w:color w:val="auto"/>
                <w:vertAlign w:val="superscript"/>
              </w:rPr>
              <w:t>(11)</w:t>
            </w: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720" w:type="dxa"/>
            <w:vAlign w:val="bottom"/>
          </w:tcPr>
          <w:p>
            <w:pPr>
              <w:spacing w:after="0" w:line="199" w:lineRule="exact"/>
              <w:rPr>
                <w:sz w:val="20"/>
                <w:szCs w:val="20"/>
                <w:color w:val="auto"/>
              </w:rPr>
            </w:pPr>
            <w:r>
              <w:rPr>
                <w:rFonts w:ascii="Times New Roman" w:cs="Times New Roman" w:eastAsia="Times New Roman" w:hAnsi="Times New Roman"/>
                <w:sz w:val="13"/>
                <w:szCs w:val="13"/>
                <w:color w:val="auto"/>
              </w:rPr>
              <w:t xml:space="preserve">TS Imagine, Inc. </w:t>
            </w:r>
            <w:r>
              <w:rPr>
                <w:rFonts w:ascii="Times New Roman" w:cs="Times New Roman" w:eastAsia="Times New Roman" w:hAnsi="Times New Roman"/>
                <w:sz w:val="18"/>
                <w:szCs w:val="18"/>
                <w:color w:val="auto"/>
                <w:vertAlign w:val="superscript"/>
              </w:rPr>
              <w:t>(15)</w:t>
            </w:r>
          </w:p>
        </w:tc>
        <w:tc>
          <w:tcPr>
            <w:tcW w:w="2340" w:type="dxa"/>
            <w:vAlign w:val="bottom"/>
          </w:tcPr>
          <w:p>
            <w:pPr>
              <w:ind w:left="140"/>
              <w:spacing w:after="0" w:line="199" w:lineRule="exact"/>
              <w:rPr>
                <w:sz w:val="20"/>
                <w:szCs w:val="20"/>
                <w:color w:val="auto"/>
              </w:rPr>
            </w:pPr>
            <w:r>
              <w:rPr>
                <w:rFonts w:ascii="Times New Roman" w:cs="Times New Roman" w:eastAsia="Times New Roman" w:hAnsi="Times New Roman"/>
                <w:sz w:val="13"/>
                <w:szCs w:val="13"/>
                <w:color w:val="auto"/>
              </w:rPr>
              <w:t xml:space="preserve">Class A Units (600,000 units) </w:t>
            </w:r>
            <w:r>
              <w:rPr>
                <w:rFonts w:ascii="Times New Roman" w:cs="Times New Roman" w:eastAsia="Times New Roman" w:hAnsi="Times New Roman"/>
                <w:sz w:val="18"/>
                <w:szCs w:val="18"/>
                <w:color w:val="auto"/>
                <w:vertAlign w:val="superscript"/>
              </w:rPr>
              <w:t>(10)</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5/14/2021</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48"/>
        </w:trPr>
        <w:tc>
          <w:tcPr>
            <w:tcW w:w="2720" w:type="dxa"/>
            <w:vAlign w:val="bottom"/>
            <w:shd w:val="clear" w:color="auto" w:fill="CFF0FC"/>
          </w:tcPr>
          <w:p>
            <w:pPr>
              <w:spacing w:after="0"/>
              <w:rPr>
                <w:sz w:val="12"/>
                <w:szCs w:val="12"/>
                <w:color w:val="auto"/>
              </w:rPr>
            </w:pPr>
          </w:p>
        </w:tc>
        <w:tc>
          <w:tcPr>
            <w:tcW w:w="2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Class AA Units (19,093 units)</w:t>
            </w: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11/1/2024</w:t>
            </w:r>
          </w:p>
        </w:tc>
        <w:tc>
          <w:tcPr>
            <w:tcW w:w="128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3"/>
                <w:szCs w:val="13"/>
                <w:color w:val="auto"/>
              </w:rPr>
              <w:t>20.00%</w:t>
            </w:r>
          </w:p>
        </w:tc>
        <w:tc>
          <w:tcPr>
            <w:tcW w:w="12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20.00%</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272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10,466</w:t>
            </w:r>
          </w:p>
        </w:tc>
        <w:tc>
          <w:tcPr>
            <w:tcW w:w="2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22,009</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15"/>
        </w:trPr>
        <w:tc>
          <w:tcPr>
            <w:tcW w:w="2720" w:type="dxa"/>
            <w:vAlign w:val="bottom"/>
            <w:vMerge w:val="continue"/>
          </w:tcPr>
          <w:p>
            <w:pPr>
              <w:spacing w:after="0"/>
              <w:rPr>
                <w:sz w:val="10"/>
                <w:szCs w:val="10"/>
                <w:color w:val="auto"/>
              </w:rPr>
            </w:pPr>
          </w:p>
        </w:tc>
        <w:tc>
          <w:tcPr>
            <w:tcW w:w="2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7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EC Homecare Holdings L.P. </w:t>
            </w:r>
            <w:r>
              <w:rPr>
                <w:rFonts w:ascii="Times New Roman" w:cs="Times New Roman" w:eastAsia="Times New Roman" w:hAnsi="Times New Roman"/>
                <w:sz w:val="17"/>
                <w:szCs w:val="17"/>
                <w:color w:val="auto"/>
                <w:vertAlign w:val="superscript"/>
              </w:rPr>
              <w:t>(10)(11)</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Class A Units (3,289 units)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7/20/2026</w:t>
            </w: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3,289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2"/>
        </w:trPr>
        <w:tc>
          <w:tcPr>
            <w:tcW w:w="272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Merative Topco L.P. </w:t>
            </w:r>
            <w:r>
              <w:rPr>
                <w:rFonts w:ascii="Times New Roman" w:cs="Times New Roman" w:eastAsia="Times New Roman" w:hAnsi="Times New Roman"/>
                <w:sz w:val="18"/>
                <w:szCs w:val="18"/>
                <w:color w:val="auto"/>
                <w:vertAlign w:val="superscript"/>
              </w:rPr>
              <w:t>(10)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Class A-1 Units (989,691 units)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6/30/2022</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17,567</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2"/>
        </w:trPr>
        <w:tc>
          <w:tcPr>
            <w:tcW w:w="272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Raptor US Buyer II Corp. </w:t>
            </w:r>
            <w:r>
              <w:rPr>
                <w:rFonts w:ascii="Times New Roman" w:cs="Times New Roman" w:eastAsia="Times New Roman" w:hAnsi="Times New Roman"/>
                <w:sz w:val="18"/>
                <w:szCs w:val="18"/>
                <w:color w:val="auto"/>
                <w:vertAlign w:val="superscript"/>
              </w:rPr>
              <w:t>(10)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Ordinary Shares (13,176 shares)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3/24/2023</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2,211</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2"/>
        </w:trPr>
        <w:tc>
          <w:tcPr>
            <w:tcW w:w="272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Hera Topco, Inc. </w:t>
            </w:r>
            <w:r>
              <w:rPr>
                <w:rFonts w:ascii="Times New Roman" w:cs="Times New Roman" w:eastAsia="Times New Roman" w:hAnsi="Times New Roman"/>
                <w:sz w:val="18"/>
                <w:szCs w:val="18"/>
                <w:color w:val="auto"/>
                <w:vertAlign w:val="superscript"/>
              </w:rPr>
              <w:t>(11)</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A Preferred Shares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8/25/2026</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13.75%</w:t>
            </w: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rPr>
              <w:t>13.75% PIK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13,035</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2340" w:type="dxa"/>
            <w:vAlign w:val="bottom"/>
          </w:tcPr>
          <w:p>
            <w:pPr>
              <w:ind w:left="140"/>
              <w:spacing w:after="0" w:line="148" w:lineRule="exact"/>
              <w:rPr>
                <w:sz w:val="20"/>
                <w:szCs w:val="20"/>
                <w:color w:val="auto"/>
              </w:rPr>
            </w:pPr>
            <w:r>
              <w:rPr>
                <w:rFonts w:ascii="Times New Roman" w:cs="Times New Roman" w:eastAsia="Times New Roman" w:hAnsi="Times New Roman"/>
                <w:sz w:val="13"/>
                <w:szCs w:val="13"/>
                <w:color w:val="auto"/>
              </w:rPr>
              <w:t>(13,425 shares)</w:t>
            </w: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Hotel, Gaming and Leisure</w:t>
            </w:r>
          </w:p>
        </w:tc>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28,429</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36,102</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15"/>
        </w:trPr>
        <w:tc>
          <w:tcPr>
            <w:tcW w:w="2720" w:type="dxa"/>
            <w:vAlign w:val="bottom"/>
            <w:vMerge w:val="continue"/>
          </w:tcPr>
          <w:p>
            <w:pPr>
              <w:spacing w:after="0"/>
              <w:rPr>
                <w:sz w:val="10"/>
                <w:szCs w:val="10"/>
                <w:color w:val="auto"/>
              </w:rPr>
            </w:pPr>
          </w:p>
        </w:tc>
        <w:tc>
          <w:tcPr>
            <w:tcW w:w="2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 xml:space="preserve">IRGSE Holding Corp. </w:t>
            </w:r>
            <w:r>
              <w:rPr>
                <w:rFonts w:ascii="Times New Roman" w:cs="Times New Roman" w:eastAsia="Times New Roman" w:hAnsi="Times New Roman"/>
                <w:sz w:val="18"/>
                <w:szCs w:val="18"/>
                <w:color w:val="auto"/>
                <w:vertAlign w:val="superscript"/>
              </w:rPr>
              <w:t>(7)(10)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Class A Units (50,140,171 units)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12/21/2018</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48"/>
        </w:trPr>
        <w:tc>
          <w:tcPr>
            <w:tcW w:w="2720" w:type="dxa"/>
            <w:vAlign w:val="bottom"/>
            <w:shd w:val="clear" w:color="auto" w:fill="CFF0FC"/>
          </w:tcPr>
          <w:p>
            <w:pPr>
              <w:spacing w:after="0"/>
              <w:rPr>
                <w:sz w:val="12"/>
                <w:szCs w:val="12"/>
                <w:color w:val="auto"/>
              </w:rPr>
            </w:pPr>
          </w:p>
        </w:tc>
        <w:tc>
          <w:tcPr>
            <w:tcW w:w="2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Class C-1 Units (8,800,000 units)</w:t>
            </w:r>
          </w:p>
        </w:tc>
        <w:tc>
          <w:tcPr>
            <w:tcW w:w="8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12/21/2018</w:t>
            </w:r>
          </w:p>
        </w:tc>
        <w:tc>
          <w:tcPr>
            <w:tcW w:w="12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272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Human Resource Support Services</w:t>
            </w:r>
          </w:p>
        </w:tc>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21,983</w:t>
            </w:r>
          </w:p>
        </w:tc>
        <w:tc>
          <w:tcPr>
            <w:tcW w:w="2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168</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15"/>
        </w:trPr>
        <w:tc>
          <w:tcPr>
            <w:tcW w:w="2720" w:type="dxa"/>
            <w:vAlign w:val="bottom"/>
            <w:vMerge w:val="continue"/>
          </w:tcPr>
          <w:p>
            <w:pPr>
              <w:spacing w:after="0"/>
              <w:rPr>
                <w:sz w:val="10"/>
                <w:szCs w:val="10"/>
                <w:color w:val="auto"/>
              </w:rPr>
            </w:pPr>
          </w:p>
        </w:tc>
        <w:tc>
          <w:tcPr>
            <w:tcW w:w="2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7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Axonify, Inc. </w:t>
            </w:r>
            <w:r>
              <w:rPr>
                <w:rFonts w:ascii="Times New Roman" w:cs="Times New Roman" w:eastAsia="Times New Roman" w:hAnsi="Times New Roman"/>
                <w:sz w:val="17"/>
                <w:szCs w:val="17"/>
                <w:color w:val="auto"/>
                <w:vertAlign w:val="superscript"/>
              </w:rPr>
              <w:t>(4)(10)(15)</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Class A-1 Units (3,780,000 units)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5/5/2021</w:t>
            </w: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2,145</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2"/>
        </w:trPr>
        <w:tc>
          <w:tcPr>
            <w:tcW w:w="272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bswift, LLC </w:t>
            </w:r>
            <w:r>
              <w:rPr>
                <w:rFonts w:ascii="Times New Roman" w:cs="Times New Roman" w:eastAsia="Times New Roman" w:hAnsi="Times New Roman"/>
                <w:sz w:val="18"/>
                <w:szCs w:val="18"/>
                <w:color w:val="auto"/>
                <w:vertAlign w:val="superscript"/>
              </w:rPr>
              <w:t>(10)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Class A-1 Units (2,393,509 units)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11/7/2022</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3,243</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2"/>
        </w:trPr>
        <w:tc>
          <w:tcPr>
            <w:tcW w:w="272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DaySmart Holdings, LLC </w:t>
            </w:r>
            <w:r>
              <w:rPr>
                <w:rFonts w:ascii="Times New Roman" w:cs="Times New Roman" w:eastAsia="Times New Roman" w:hAnsi="Times New Roman"/>
                <w:sz w:val="18"/>
                <w:szCs w:val="18"/>
                <w:color w:val="auto"/>
                <w:vertAlign w:val="superscript"/>
              </w:rPr>
              <w:t>(10)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Class A Units (166,811 units)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12/18/2020</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2"/>
        </w:trPr>
        <w:tc>
          <w:tcPr>
            <w:tcW w:w="272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Employment Hero Holdings Pty Ltd. </w:t>
            </w:r>
            <w:r>
              <w:rPr>
                <w:rFonts w:ascii="Times New Roman" w:cs="Times New Roman" w:eastAsia="Times New Roman" w:hAnsi="Times New Roman"/>
                <w:sz w:val="18"/>
                <w:szCs w:val="18"/>
                <w:color w:val="auto"/>
                <w:vertAlign w:val="superscript"/>
              </w:rPr>
              <w:t>(4)(10)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E Preferred Shares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3/1/2022</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4,440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(113,250 shares)</w:t>
            </w: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(AUD</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6,383)</w:t>
            </w: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Internet Services</w:t>
            </w:r>
          </w:p>
        </w:tc>
        <w:tc>
          <w:tcPr>
            <w:tcW w:w="2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9,654</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11,576</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15"/>
        </w:trPr>
        <w:tc>
          <w:tcPr>
            <w:tcW w:w="2720" w:type="dxa"/>
            <w:vAlign w:val="bottom"/>
            <w:vMerge w:val="continue"/>
          </w:tcPr>
          <w:p>
            <w:pPr>
              <w:spacing w:after="0"/>
              <w:rPr>
                <w:sz w:val="10"/>
                <w:szCs w:val="10"/>
                <w:color w:val="auto"/>
              </w:rPr>
            </w:pPr>
          </w:p>
        </w:tc>
        <w:tc>
          <w:tcPr>
            <w:tcW w:w="2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72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Bayshore Intermediate #2, L.P. </w:t>
            </w:r>
            <w:r>
              <w:rPr>
                <w:rFonts w:ascii="Times New Roman" w:cs="Times New Roman" w:eastAsia="Times New Roman" w:hAnsi="Times New Roman"/>
                <w:sz w:val="18"/>
                <w:szCs w:val="18"/>
                <w:color w:val="auto"/>
                <w:vertAlign w:val="superscript"/>
              </w:rPr>
              <w:t>(10)(15)</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Co-Invest Common Units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10/1/2021</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14,449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4"/>
                <w:szCs w:val="14"/>
                <w:color w:val="auto"/>
              </w:rPr>
            </w:pP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(8,837,008 units)</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Co-Invest 2 Common Units</w:t>
            </w:r>
          </w:p>
        </w:tc>
        <w:tc>
          <w:tcPr>
            <w:tcW w:w="84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10/1/2021</w:t>
            </w:r>
          </w:p>
        </w:tc>
        <w:tc>
          <w:tcPr>
            <w:tcW w:w="1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3,494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5,712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1"/>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Bigtincan Holdings L.P. </w:t>
            </w:r>
            <w:r>
              <w:rPr>
                <w:rFonts w:ascii="Times New Roman" w:cs="Times New Roman" w:eastAsia="Times New Roman" w:hAnsi="Times New Roman"/>
                <w:sz w:val="18"/>
                <w:szCs w:val="18"/>
                <w:color w:val="auto"/>
                <w:vertAlign w:val="superscript"/>
              </w:rPr>
              <w:t>(10)(11)</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(3,493,701 units)</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720" w:type="dxa"/>
            <w:vAlign w:val="bottom"/>
            <w:vMerge w:val="continue"/>
          </w:tcPr>
          <w:p>
            <w:pPr>
              <w:spacing w:after="0"/>
              <w:rPr>
                <w:sz w:val="10"/>
                <w:szCs w:val="10"/>
                <w:color w:val="auto"/>
              </w:rPr>
            </w:pPr>
          </w:p>
        </w:tc>
        <w:tc>
          <w:tcPr>
            <w:tcW w:w="234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auto"/>
              </w:rPr>
              <w:t>Class A Units (2,902,890 units)</w:t>
            </w:r>
          </w:p>
        </w:tc>
        <w:tc>
          <w:tcPr>
            <w:tcW w:w="840" w:type="dxa"/>
            <w:vAlign w:val="bottom"/>
          </w:tcPr>
          <w:p>
            <w:pPr>
              <w:jc w:val="right"/>
              <w:ind w:right="13"/>
              <w:spacing w:after="0" w:line="126" w:lineRule="exact"/>
              <w:rPr>
                <w:sz w:val="20"/>
                <w:szCs w:val="20"/>
                <w:color w:val="auto"/>
              </w:rPr>
            </w:pPr>
            <w:r>
              <w:rPr>
                <w:rFonts w:ascii="Times New Roman" w:cs="Times New Roman" w:eastAsia="Times New Roman" w:hAnsi="Times New Roman"/>
                <w:sz w:val="13"/>
                <w:szCs w:val="13"/>
                <w:color w:val="auto"/>
              </w:rPr>
              <w:t>4/16/2025</w:t>
            </w: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3,020</w:t>
            </w:r>
          </w:p>
        </w:tc>
        <w:tc>
          <w:tcPr>
            <w:tcW w:w="10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3,269</w:t>
            </w:r>
          </w:p>
        </w:tc>
        <w:tc>
          <w:tcPr>
            <w:tcW w:w="120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2"/>
        </w:trPr>
        <w:tc>
          <w:tcPr>
            <w:tcW w:w="272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Khoros, LLC </w:t>
            </w:r>
            <w:r>
              <w:rPr>
                <w:rFonts w:ascii="Times New Roman" w:cs="Times New Roman" w:eastAsia="Times New Roman" w:hAnsi="Times New Roman"/>
                <w:sz w:val="18"/>
                <w:szCs w:val="18"/>
                <w:color w:val="auto"/>
                <w:vertAlign w:val="superscript"/>
              </w:rPr>
              <w:t>(10)(15)</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Earnout Interests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5/23/2025</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3,769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72"/>
        </w:trPr>
        <w:tc>
          <w:tcPr>
            <w:tcW w:w="272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Lucidworks, Inc. </w:t>
            </w:r>
            <w:r>
              <w:rPr>
                <w:rFonts w:ascii="Times New Roman" w:cs="Times New Roman" w:eastAsia="Times New Roman" w:hAnsi="Times New Roman"/>
                <w:sz w:val="18"/>
                <w:szCs w:val="18"/>
                <w:color w:val="auto"/>
                <w:vertAlign w:val="superscript"/>
              </w:rPr>
              <w:t>(10)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F Preferred Shares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8/2/2019</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48"/>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Piano Software, Inc. </w:t>
            </w:r>
            <w:r>
              <w:rPr>
                <w:rFonts w:ascii="Times New Roman" w:cs="Times New Roman" w:eastAsia="Times New Roman" w:hAnsi="Times New Roman"/>
                <w:sz w:val="18"/>
                <w:szCs w:val="18"/>
                <w:color w:val="auto"/>
                <w:vertAlign w:val="superscript"/>
              </w:rPr>
              <w:t>(10)</w:t>
            </w: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(199,054 shares)</w:t>
            </w: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720" w:type="dxa"/>
            <w:vAlign w:val="bottom"/>
            <w:vMerge w:val="continue"/>
          </w:tcPr>
          <w:p>
            <w:pPr>
              <w:spacing w:after="0"/>
              <w:rPr>
                <w:sz w:val="14"/>
                <w:szCs w:val="14"/>
                <w:color w:val="auto"/>
              </w:rPr>
            </w:pPr>
          </w:p>
        </w:tc>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C-1 Preferred Shares</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12/22/2021</w:t>
            </w: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2,272</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-7072630</wp:posOffset>
            </wp:positionV>
            <wp:extent cx="713232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-5821045</wp:posOffset>
            </wp:positionV>
            <wp:extent cx="713232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-5443855</wp:posOffset>
            </wp:positionV>
            <wp:extent cx="7132320" cy="1028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-5152390</wp:posOffset>
            </wp:positionV>
            <wp:extent cx="7132320" cy="1028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-4740910</wp:posOffset>
            </wp:positionV>
            <wp:extent cx="7132320" cy="939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-4543425</wp:posOffset>
            </wp:positionV>
            <wp:extent cx="713232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-3960495</wp:posOffset>
            </wp:positionV>
            <wp:extent cx="7132320" cy="939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-3763645</wp:posOffset>
            </wp:positionV>
            <wp:extent cx="7132320" cy="946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-3566160</wp:posOffset>
            </wp:positionV>
            <wp:extent cx="7132320" cy="1028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-3360420</wp:posOffset>
            </wp:positionV>
            <wp:extent cx="7132320" cy="1968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-2854960</wp:posOffset>
            </wp:positionV>
            <wp:extent cx="7132320" cy="94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-2657475</wp:posOffset>
            </wp:positionV>
            <wp:extent cx="7132320" cy="1028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-2160270</wp:posOffset>
            </wp:positionV>
            <wp:extent cx="7132320" cy="939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-1757680</wp:posOffset>
            </wp:positionV>
            <wp:extent cx="7132320" cy="946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-1560195</wp:posOffset>
            </wp:positionV>
            <wp:extent cx="7132320" cy="102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-960120</wp:posOffset>
            </wp:positionV>
            <wp:extent cx="7132320" cy="946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028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-6497955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-6497955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-6497955</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-4946650</wp:posOffset>
            </wp:positionV>
            <wp:extent cx="7132320" cy="1028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-4072255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-4072255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-4072255</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-2966085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-2966085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-2966085</wp:posOffset>
            </wp:positionV>
            <wp:extent cx="857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-2451735</wp:posOffset>
            </wp:positionV>
            <wp:extent cx="713232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-1868805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-1868805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-1868805</wp:posOffset>
            </wp:positionV>
            <wp:extent cx="857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-1354455</wp:posOffset>
            </wp:positionV>
            <wp:extent cx="7132320" cy="291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860"/>
        <w:spacing w:after="0"/>
        <w:rPr>
          <w:sz w:val="20"/>
          <w:szCs w:val="20"/>
          <w:color w:val="auto"/>
        </w:rPr>
      </w:pPr>
      <w:r>
        <w:rPr>
          <w:rFonts w:ascii="Times New Roman" w:cs="Times New Roman" w:eastAsia="Times New Roman" w:hAnsi="Times New Roman"/>
          <w:sz w:val="13"/>
          <w:szCs w:val="13"/>
          <w:color w:val="auto"/>
        </w:rPr>
        <w:t>(418,527 shares)</w:t>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Series C-2 Preferred Shares</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11/18/2022</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SMA Technologies Holdings, LLC </w:t>
            </w:r>
            <w:r>
              <w:rPr>
                <w:rFonts w:ascii="Times New Roman" w:cs="Times New Roman" w:eastAsia="Times New Roman" w:hAnsi="Times New Roman"/>
                <w:sz w:val="18"/>
                <w:szCs w:val="18"/>
                <w:color w:val="auto"/>
                <w:vertAlign w:val="superscript"/>
              </w:rPr>
              <w:t>(10)</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(27,588 shares)</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vMerge w:val="continue"/>
          </w:tcPr>
          <w:p>
            <w:pPr>
              <w:spacing w:after="0"/>
              <w:rPr>
                <w:sz w:val="14"/>
                <w:szCs w:val="1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Class A Units (1,584 units)</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11/21/2022</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3,049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Class B Units (1,124,813 units)</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11/21/2022</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28,615</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33,348</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15"/>
        </w:trPr>
        <w:tc>
          <w:tcPr>
            <w:tcW w:w="28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Marketing Services</w:t>
            </w:r>
          </w:p>
        </w:tc>
        <w:tc>
          <w:tcPr>
            <w:tcW w:w="2300" w:type="dxa"/>
            <w:vAlign w:val="bottom"/>
            <w:tcBorders>
              <w:top w:val="single" w:sz="8" w:color="CFF0FC"/>
            </w:tcBorders>
          </w:tcPr>
          <w:p>
            <w:pPr>
              <w:spacing w:after="0"/>
              <w:rPr>
                <w:sz w:val="10"/>
                <w:szCs w:val="10"/>
                <w:color w:val="auto"/>
              </w:rPr>
            </w:pPr>
          </w:p>
        </w:tc>
        <w:tc>
          <w:tcPr>
            <w:tcW w:w="780" w:type="dxa"/>
            <w:vAlign w:val="bottom"/>
            <w:tcBorders>
              <w:top w:val="single" w:sz="8" w:color="CFF0FC"/>
            </w:tcBorders>
          </w:tcPr>
          <w:p>
            <w:pPr>
              <w:spacing w:after="0"/>
              <w:rPr>
                <w:sz w:val="10"/>
                <w:szCs w:val="10"/>
                <w:color w:val="auto"/>
              </w:rPr>
            </w:pPr>
          </w:p>
        </w:tc>
        <w:tc>
          <w:tcPr>
            <w:tcW w:w="1280" w:type="dxa"/>
            <w:vAlign w:val="bottom"/>
            <w:tcBorders>
              <w:top w:val="single" w:sz="8" w:color="CFF0FC"/>
            </w:tcBorders>
          </w:tcPr>
          <w:p>
            <w:pPr>
              <w:spacing w:after="0"/>
              <w:rPr>
                <w:sz w:val="10"/>
                <w:szCs w:val="10"/>
                <w:color w:val="auto"/>
              </w:rPr>
            </w:pPr>
          </w:p>
        </w:tc>
        <w:tc>
          <w:tcPr>
            <w:tcW w:w="1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82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Validity, Inc. </w:t>
            </w:r>
            <w:r>
              <w:rPr>
                <w:rFonts w:ascii="Times New Roman" w:cs="Times New Roman" w:eastAsia="Times New Roman" w:hAnsi="Times New Roman"/>
                <w:sz w:val="18"/>
                <w:szCs w:val="18"/>
                <w:color w:val="auto"/>
                <w:vertAlign w:val="superscript"/>
              </w:rPr>
              <w:t>(10)</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Series A Preferred Shares</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5/31/2018</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8,256</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Oil, Gas and Consumable Fuels</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(3,840,000 shares)</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8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Murchison Oil and Gas, LLC </w:t>
            </w:r>
            <w:r>
              <w:rPr>
                <w:rFonts w:ascii="Times New Roman" w:cs="Times New Roman" w:eastAsia="Times New Roman" w:hAnsi="Times New Roman"/>
                <w:sz w:val="17"/>
                <w:szCs w:val="17"/>
                <w:color w:val="auto"/>
                <w:vertAlign w:val="superscript"/>
              </w:rPr>
              <w:t>(10)(15)</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Preferred Units (13,355 units)</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6/30/2022</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85"/>
        </w:trPr>
        <w:tc>
          <w:tcPr>
            <w:tcW w:w="2820" w:type="dxa"/>
            <w:vAlign w:val="bottom"/>
          </w:tcPr>
          <w:p>
            <w:pPr>
              <w:spacing w:after="0" w:line="185" w:lineRule="exact"/>
              <w:rPr>
                <w:sz w:val="20"/>
                <w:szCs w:val="20"/>
                <w:color w:val="auto"/>
              </w:rPr>
            </w:pPr>
            <w:r>
              <w:rPr>
                <w:rFonts w:ascii="Times New Roman" w:cs="Times New Roman" w:eastAsia="Times New Roman" w:hAnsi="Times New Roman"/>
                <w:sz w:val="13"/>
                <w:szCs w:val="13"/>
                <w:color w:val="auto"/>
              </w:rPr>
              <w:t xml:space="preserve">TRP Assets, LLC </w:t>
            </w:r>
            <w:r>
              <w:rPr>
                <w:rFonts w:ascii="Times New Roman" w:cs="Times New Roman" w:eastAsia="Times New Roman" w:hAnsi="Times New Roman"/>
                <w:sz w:val="18"/>
                <w:szCs w:val="18"/>
                <w:color w:val="auto"/>
                <w:vertAlign w:val="superscript"/>
              </w:rPr>
              <w:t>(10)(15)</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Partnership Interest (1.89% ownership)</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8/25/2022</w:t>
            </w: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8,963</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21,422</w:t>
            </w:r>
          </w:p>
        </w:tc>
        <w:tc>
          <w:tcPr>
            <w:tcW w:w="1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8,963</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21,422</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15"/>
        </w:trPr>
        <w:tc>
          <w:tcPr>
            <w:tcW w:w="28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Pharmaceuticals</w:t>
            </w:r>
          </w:p>
        </w:tc>
        <w:tc>
          <w:tcPr>
            <w:tcW w:w="2300" w:type="dxa"/>
            <w:vAlign w:val="bottom"/>
            <w:tcBorders>
              <w:top w:val="single" w:sz="8" w:color="CFF0FC"/>
            </w:tcBorders>
          </w:tcPr>
          <w:p>
            <w:pPr>
              <w:spacing w:after="0"/>
              <w:rPr>
                <w:sz w:val="10"/>
                <w:szCs w:val="10"/>
                <w:color w:val="auto"/>
              </w:rPr>
            </w:pPr>
          </w:p>
        </w:tc>
        <w:tc>
          <w:tcPr>
            <w:tcW w:w="780" w:type="dxa"/>
            <w:vAlign w:val="bottom"/>
            <w:tcBorders>
              <w:top w:val="single" w:sz="8" w:color="CFF0FC"/>
            </w:tcBorders>
          </w:tcPr>
          <w:p>
            <w:pPr>
              <w:spacing w:after="0"/>
              <w:rPr>
                <w:sz w:val="10"/>
                <w:szCs w:val="10"/>
                <w:color w:val="auto"/>
              </w:rPr>
            </w:pPr>
          </w:p>
        </w:tc>
        <w:tc>
          <w:tcPr>
            <w:tcW w:w="1280" w:type="dxa"/>
            <w:vAlign w:val="bottom"/>
            <w:tcBorders>
              <w:top w:val="single" w:sz="8" w:color="CFF0FC"/>
            </w:tcBorders>
          </w:tcPr>
          <w:p>
            <w:pPr>
              <w:spacing w:after="0"/>
              <w:rPr>
                <w:sz w:val="10"/>
                <w:szCs w:val="10"/>
                <w:color w:val="auto"/>
              </w:rPr>
            </w:pPr>
          </w:p>
        </w:tc>
        <w:tc>
          <w:tcPr>
            <w:tcW w:w="1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8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TherapeuticsMD, Inc. </w:t>
            </w:r>
            <w:r>
              <w:rPr>
                <w:rFonts w:ascii="Times New Roman" w:cs="Times New Roman" w:eastAsia="Times New Roman" w:hAnsi="Times New Roman"/>
                <w:sz w:val="17"/>
                <w:szCs w:val="17"/>
                <w:color w:val="auto"/>
                <w:vertAlign w:val="superscript"/>
              </w:rPr>
              <w:t>(4)(10)</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 (14,256 warrants)</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8/5/2020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72"/>
        </w:trPr>
        <w:tc>
          <w:tcPr>
            <w:tcW w:w="282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Elysium BidCo Limited </w:t>
            </w:r>
            <w:r>
              <w:rPr>
                <w:rFonts w:ascii="Times New Roman" w:cs="Times New Roman" w:eastAsia="Times New Roman" w:hAnsi="Times New Roman"/>
                <w:sz w:val="18"/>
                <w:szCs w:val="18"/>
                <w:color w:val="auto"/>
                <w:vertAlign w:val="superscript"/>
              </w:rPr>
              <w:t>(4)(10)</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Convertible Preference Shares</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12/11/2024</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6,776</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(4,976,563 Shares)</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(GBP 5,101)</w:t>
            </w: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7,370</w:t>
            </w:r>
          </w:p>
        </w:tc>
        <w:tc>
          <w:tcPr>
            <w:tcW w:w="10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6,776</w:t>
            </w:r>
          </w:p>
        </w:tc>
        <w:tc>
          <w:tcPr>
            <w:tcW w:w="12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15"/>
        </w:trPr>
        <w:tc>
          <w:tcPr>
            <w:tcW w:w="28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Retail and Consumer Products</w:t>
            </w:r>
          </w:p>
        </w:tc>
        <w:tc>
          <w:tcPr>
            <w:tcW w:w="2300" w:type="dxa"/>
            <w:vAlign w:val="bottom"/>
            <w:tcBorders>
              <w:top w:val="single" w:sz="8" w:color="CFF0FC"/>
            </w:tcBorders>
          </w:tcPr>
          <w:p>
            <w:pPr>
              <w:spacing w:after="0"/>
              <w:rPr>
                <w:sz w:val="10"/>
                <w:szCs w:val="10"/>
                <w:color w:val="auto"/>
              </w:rPr>
            </w:pPr>
          </w:p>
        </w:tc>
        <w:tc>
          <w:tcPr>
            <w:tcW w:w="780" w:type="dxa"/>
            <w:vAlign w:val="bottom"/>
            <w:tcBorders>
              <w:top w:val="single" w:sz="8" w:color="CFF0FC"/>
            </w:tcBorders>
          </w:tcPr>
          <w:p>
            <w:pPr>
              <w:spacing w:after="0"/>
              <w:rPr>
                <w:sz w:val="10"/>
                <w:szCs w:val="10"/>
                <w:color w:val="auto"/>
              </w:rPr>
            </w:pPr>
          </w:p>
        </w:tc>
        <w:tc>
          <w:tcPr>
            <w:tcW w:w="1280" w:type="dxa"/>
            <w:vAlign w:val="bottom"/>
            <w:tcBorders>
              <w:top w:val="single" w:sz="8" w:color="CFF0FC"/>
            </w:tcBorders>
          </w:tcPr>
          <w:p>
            <w:pPr>
              <w:spacing w:after="0"/>
              <w:rPr>
                <w:sz w:val="10"/>
                <w:szCs w:val="10"/>
                <w:color w:val="auto"/>
              </w:rPr>
            </w:pPr>
          </w:p>
        </w:tc>
        <w:tc>
          <w:tcPr>
            <w:tcW w:w="114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8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American Achievement, Corp. </w:t>
            </w:r>
            <w:r>
              <w:rPr>
                <w:rFonts w:ascii="Times New Roman" w:cs="Times New Roman" w:eastAsia="Times New Roman" w:hAnsi="Times New Roman"/>
                <w:sz w:val="17"/>
                <w:szCs w:val="17"/>
                <w:color w:val="auto"/>
                <w:vertAlign w:val="superscript"/>
              </w:rPr>
              <w:t>(10)</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Class A Units (687 units)</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3/16/2021</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2"/>
        </w:trPr>
        <w:tc>
          <w:tcPr>
            <w:tcW w:w="282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Copper Bidco, LLC </w:t>
            </w:r>
            <w:r>
              <w:rPr>
                <w:rFonts w:ascii="Times New Roman" w:cs="Times New Roman" w:eastAsia="Times New Roman" w:hAnsi="Times New Roman"/>
                <w:sz w:val="18"/>
                <w:szCs w:val="18"/>
                <w:color w:val="auto"/>
                <w:vertAlign w:val="superscript"/>
              </w:rPr>
              <w:t>(13)</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Trust Certificates (996,958 Certificates)</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1/30/2021</w:t>
            </w: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10,717</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99"/>
        </w:trPr>
        <w:tc>
          <w:tcPr>
            <w:tcW w:w="2820" w:type="dxa"/>
            <w:vAlign w:val="bottom"/>
          </w:tcPr>
          <w:p>
            <w:pPr>
              <w:spacing w:after="0" w:line="199" w:lineRule="exact"/>
              <w:rPr>
                <w:sz w:val="20"/>
                <w:szCs w:val="20"/>
                <w:color w:val="auto"/>
              </w:rPr>
            </w:pPr>
            <w:r>
              <w:rPr>
                <w:rFonts w:ascii="Times New Roman" w:cs="Times New Roman" w:eastAsia="Times New Roman" w:hAnsi="Times New Roman"/>
                <w:sz w:val="13"/>
                <w:szCs w:val="13"/>
                <w:color w:val="auto"/>
              </w:rPr>
              <w:t xml:space="preserve">Weave Parent, LLC </w:t>
            </w:r>
            <w:r>
              <w:rPr>
                <w:rFonts w:ascii="Times New Roman" w:cs="Times New Roman" w:eastAsia="Times New Roman" w:hAnsi="Times New Roman"/>
                <w:sz w:val="18"/>
                <w:szCs w:val="18"/>
                <w:color w:val="auto"/>
                <w:vertAlign w:val="superscript"/>
              </w:rPr>
              <w:t>(7)(11)</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Class A Preferred Units (100,000 units)</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9/29/2026</w:t>
            </w:r>
          </w:p>
        </w:tc>
        <w:tc>
          <w:tcPr>
            <w:tcW w:w="12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16.00%</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16.00% PIK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23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Class B Preferred Units (100,000 units)</w:t>
            </w:r>
          </w:p>
        </w:tc>
        <w:tc>
          <w:tcPr>
            <w:tcW w:w="78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9/29/2026</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10,927</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10,927</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9"/>
                <w:szCs w:val="9"/>
                <w:color w:val="auto"/>
              </w:rPr>
              <w:t>(10)</w:t>
            </w: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820" w:type="dxa"/>
            <w:vAlign w:val="bottom"/>
          </w:tcPr>
          <w:p>
            <w:pPr>
              <w:spacing w:after="0"/>
              <w:rPr>
                <w:sz w:val="16"/>
                <w:szCs w:val="16"/>
                <w:color w:val="auto"/>
              </w:rPr>
            </w:pPr>
          </w:p>
        </w:tc>
        <w:tc>
          <w:tcPr>
            <w:tcW w:w="2300" w:type="dxa"/>
            <w:vAlign w:val="bottom"/>
          </w:tcPr>
          <w:p>
            <w:pPr>
              <w:ind w:left="40"/>
              <w:spacing w:after="0" w:line="194" w:lineRule="exact"/>
              <w:rPr>
                <w:sz w:val="20"/>
                <w:szCs w:val="20"/>
                <w:color w:val="auto"/>
              </w:rPr>
            </w:pPr>
            <w:r>
              <w:rPr>
                <w:rFonts w:ascii="Times New Roman" w:cs="Times New Roman" w:eastAsia="Times New Roman" w:hAnsi="Times New Roman"/>
                <w:sz w:val="13"/>
                <w:szCs w:val="13"/>
                <w:color w:val="auto"/>
              </w:rPr>
              <w:t xml:space="preserve">Class C Units (905,000 units) </w:t>
            </w:r>
            <w:r>
              <w:rPr>
                <w:rFonts w:ascii="Times New Roman" w:cs="Times New Roman" w:eastAsia="Times New Roman" w:hAnsi="Times New Roman"/>
                <w:sz w:val="18"/>
                <w:szCs w:val="18"/>
                <w:color w:val="auto"/>
                <w:vertAlign w:val="superscript"/>
              </w:rPr>
              <w:t>(10)</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9/29/2026</w:t>
            </w: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Transportation</w:t>
            </w:r>
          </w:p>
        </w:tc>
        <w:tc>
          <w:tcPr>
            <w:tcW w:w="2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22,019</w:t>
            </w:r>
          </w:p>
        </w:tc>
        <w:tc>
          <w:tcPr>
            <w:tcW w:w="2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31,703</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15"/>
        </w:trPr>
        <w:tc>
          <w:tcPr>
            <w:tcW w:w="282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82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RAILTRAC Holdings Inc. </w:t>
            </w:r>
            <w:r>
              <w:rPr>
                <w:rFonts w:ascii="Times New Roman" w:cs="Times New Roman" w:eastAsia="Times New Roman" w:hAnsi="Times New Roman"/>
                <w:sz w:val="17"/>
                <w:szCs w:val="17"/>
                <w:color w:val="auto"/>
                <w:vertAlign w:val="superscript"/>
              </w:rPr>
              <w:t>(10)</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 (3,059 warrants)</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1/27/2025</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2,771</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72"/>
        </w:trPr>
        <w:tc>
          <w:tcPr>
            <w:tcW w:w="282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Ranger Parent I, Inc. </w:t>
            </w:r>
            <w:r>
              <w:rPr>
                <w:rFonts w:ascii="Times New Roman" w:cs="Times New Roman" w:eastAsia="Times New Roman" w:hAnsi="Times New Roman"/>
                <w:sz w:val="18"/>
                <w:szCs w:val="18"/>
                <w:color w:val="auto"/>
                <w:vertAlign w:val="superscript"/>
              </w:rPr>
              <w:t>(11)</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Series A-1 Preferred Shares</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10/28/2025</w:t>
            </w:r>
          </w:p>
        </w:tc>
        <w:tc>
          <w:tcPr>
            <w:tcW w:w="128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14.50%</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14.50% PIK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5,035</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2300" w:type="dxa"/>
            <w:vAlign w:val="bottom"/>
          </w:tcPr>
          <w:p>
            <w:pPr>
              <w:ind w:left="40"/>
              <w:spacing w:after="0" w:line="134" w:lineRule="exact"/>
              <w:rPr>
                <w:sz w:val="20"/>
                <w:szCs w:val="20"/>
                <w:color w:val="auto"/>
              </w:rPr>
            </w:pPr>
            <w:r>
              <w:rPr>
                <w:rFonts w:ascii="Times New Roman" w:cs="Times New Roman" w:eastAsia="Times New Roman" w:hAnsi="Times New Roman"/>
                <w:sz w:val="13"/>
                <w:szCs w:val="13"/>
                <w:color w:val="auto"/>
              </w:rPr>
              <w:t>(5,639 Shares)</w:t>
            </w:r>
          </w:p>
        </w:tc>
        <w:tc>
          <w:tcPr>
            <w:tcW w:w="7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2300" w:type="dxa"/>
            <w:vAlign w:val="bottom"/>
          </w:tcPr>
          <w:p>
            <w:pPr>
              <w:ind w:left="40"/>
              <w:spacing w:after="0" w:line="176" w:lineRule="exact"/>
              <w:rPr>
                <w:sz w:val="20"/>
                <w:szCs w:val="20"/>
                <w:color w:val="auto"/>
              </w:rPr>
            </w:pPr>
            <w:r>
              <w:rPr>
                <w:rFonts w:ascii="Times New Roman" w:cs="Times New Roman" w:eastAsia="Times New Roman" w:hAnsi="Times New Roman"/>
                <w:sz w:val="13"/>
                <w:szCs w:val="13"/>
                <w:color w:val="auto"/>
              </w:rPr>
              <w:t xml:space="preserve">Warrants (3,841 warrants) </w:t>
            </w:r>
            <w:r>
              <w:rPr>
                <w:rFonts w:ascii="Times New Roman" w:cs="Times New Roman" w:eastAsia="Times New Roman" w:hAnsi="Times New Roman"/>
                <w:sz w:val="18"/>
                <w:szCs w:val="18"/>
                <w:color w:val="auto"/>
                <w:vertAlign w:val="superscript"/>
              </w:rPr>
              <w:t>(10)</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10/28/2025</w:t>
            </w: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8,391</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8,118</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2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181,220</w:t>
            </w:r>
          </w:p>
        </w:tc>
        <w:tc>
          <w:tcPr>
            <w:tcW w:w="2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192,200</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142"/>
        </w:trPr>
        <w:tc>
          <w:tcPr>
            <w:tcW w:w="2820" w:type="dxa"/>
            <w:vAlign w:val="bottom"/>
            <w:shd w:val="clear" w:color="auto" w:fill="CFF0FC"/>
          </w:tcPr>
          <w:p>
            <w:pPr>
              <w:spacing w:after="0"/>
              <w:rPr>
                <w:sz w:val="12"/>
                <w:szCs w:val="12"/>
                <w:color w:val="auto"/>
              </w:rPr>
            </w:pPr>
          </w:p>
        </w:tc>
        <w:tc>
          <w:tcPr>
            <w:tcW w:w="2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20" w:type="dxa"/>
            <w:vAlign w:val="bottom"/>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Structured Credit Investments</w:t>
            </w:r>
          </w:p>
        </w:tc>
        <w:tc>
          <w:tcPr>
            <w:tcW w:w="2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82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Ares CLO Ltd, Series 2022-63A </w:t>
            </w:r>
            <w:r>
              <w:rPr>
                <w:rFonts w:ascii="Times New Roman" w:cs="Times New Roman" w:eastAsia="Times New Roman" w:hAnsi="Times New Roman"/>
                <w:sz w:val="18"/>
                <w:szCs w:val="18"/>
                <w:color w:val="auto"/>
                <w:vertAlign w:val="superscript"/>
              </w:rPr>
              <w:t>(3)(4)(13)</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Structured Credit ($2,500 par, due</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8/7/2025</w:t>
            </w:r>
          </w:p>
        </w:tc>
        <w:tc>
          <w:tcPr>
            <w:tcW w:w="1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SOFR + 6.00%</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9.75%</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2,333</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Ares CLO Ltd, Series 2022-64A </w:t>
            </w:r>
            <w:r>
              <w:rPr>
                <w:rFonts w:ascii="Times New Roman" w:cs="Times New Roman" w:eastAsia="Times New Roman" w:hAnsi="Times New Roman"/>
                <w:sz w:val="18"/>
                <w:szCs w:val="18"/>
                <w:color w:val="auto"/>
                <w:vertAlign w:val="superscript"/>
              </w:rPr>
              <w:t>(3)(4)(13)</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10/2038)</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230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($2,000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9/4/2025</w:t>
            </w:r>
          </w:p>
        </w:tc>
        <w:tc>
          <w:tcPr>
            <w:tcW w:w="12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+ 6.50%</w:t>
            </w:r>
          </w:p>
        </w:tc>
        <w:tc>
          <w:tcPr>
            <w:tcW w:w="114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10.25%</w:t>
            </w:r>
          </w:p>
        </w:tc>
        <w:tc>
          <w:tcPr>
            <w:tcW w:w="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2,041</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1,860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10/2039)</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8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Benefit Street Partners CLO Ltd, Series 2025-39A</w:t>
            </w:r>
          </w:p>
        </w:tc>
        <w:tc>
          <w:tcPr>
            <w:tcW w:w="23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($1,725 par, due</w:t>
            </w:r>
          </w:p>
        </w:tc>
        <w:tc>
          <w:tcPr>
            <w:tcW w:w="78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7/16/2025</w:t>
            </w:r>
          </w:p>
        </w:tc>
        <w:tc>
          <w:tcPr>
            <w:tcW w:w="12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+ 4.50%</w:t>
            </w:r>
          </w:p>
        </w:tc>
        <w:tc>
          <w:tcPr>
            <w:tcW w:w="114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8.25%</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1,725</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1,672</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17"/>
        </w:trPr>
        <w:tc>
          <w:tcPr>
            <w:tcW w:w="2820" w:type="dxa"/>
            <w:vAlign w:val="bottom"/>
          </w:tcPr>
          <w:p>
            <w:pPr>
              <w:spacing w:after="0"/>
              <w:rPr>
                <w:sz w:val="20"/>
                <w:szCs w:val="20"/>
                <w:color w:val="auto"/>
              </w:rPr>
            </w:pPr>
            <w:r>
              <w:rPr>
                <w:rFonts w:ascii="Times New Roman" w:cs="Times New Roman" w:eastAsia="Times New Roman" w:hAnsi="Times New Roman"/>
                <w:sz w:val="9"/>
                <w:szCs w:val="9"/>
                <w:color w:val="auto"/>
              </w:rPr>
              <w:t>(3)(4)(13)</w:t>
            </w:r>
          </w:p>
        </w:tc>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4/2038)</w:t>
            </w: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820" w:type="dxa"/>
            <w:vAlign w:val="bottom"/>
            <w:vMerge w:val="restart"/>
          </w:tcPr>
          <w:p>
            <w:pPr>
              <w:spacing w:after="0" w:line="195" w:lineRule="exact"/>
              <w:rPr>
                <w:sz w:val="20"/>
                <w:szCs w:val="20"/>
                <w:color w:val="auto"/>
              </w:rPr>
            </w:pPr>
            <w:r>
              <w:rPr>
                <w:rFonts w:ascii="Times New Roman" w:cs="Times New Roman" w:eastAsia="Times New Roman" w:hAnsi="Times New Roman"/>
                <w:sz w:val="13"/>
                <w:szCs w:val="13"/>
                <w:color w:val="auto"/>
              </w:rPr>
              <w:t xml:space="preserve">Canyon CLO Ltd, Series 2025-1A </w:t>
            </w:r>
            <w:r>
              <w:rPr>
                <w:rFonts w:ascii="Times New Roman" w:cs="Times New Roman" w:eastAsia="Times New Roman" w:hAnsi="Times New Roman"/>
                <w:sz w:val="18"/>
                <w:szCs w:val="18"/>
                <w:color w:val="auto"/>
                <w:vertAlign w:val="superscript"/>
              </w:rPr>
              <w:t>(3)(4)(13)</w:t>
            </w:r>
          </w:p>
        </w:tc>
        <w:tc>
          <w:tcPr>
            <w:tcW w:w="23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230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($1,125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7/28/2025</w:t>
            </w:r>
          </w:p>
        </w:tc>
        <w:tc>
          <w:tcPr>
            <w:tcW w:w="12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+ 4.75%</w:t>
            </w:r>
          </w:p>
        </w:tc>
        <w:tc>
          <w:tcPr>
            <w:tcW w:w="114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8.50%</w:t>
            </w:r>
          </w:p>
        </w:tc>
        <w:tc>
          <w:tcPr>
            <w:tcW w:w="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1,119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1,120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Carlyle US CLO Ltd, Series 2017-2A </w:t>
            </w:r>
            <w:r>
              <w:rPr>
                <w:rFonts w:ascii="Times New Roman" w:cs="Times New Roman" w:eastAsia="Times New Roman" w:hAnsi="Times New Roman"/>
                <w:sz w:val="18"/>
                <w:szCs w:val="18"/>
                <w:color w:val="auto"/>
                <w:vertAlign w:val="superscript"/>
              </w:rPr>
              <w:t>(3)(4)(13)</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4/2038)</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230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($2,500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9/3/2025</w:t>
            </w:r>
          </w:p>
        </w:tc>
        <w:tc>
          <w:tcPr>
            <w:tcW w:w="12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+ 7.56%</w:t>
            </w:r>
          </w:p>
        </w:tc>
        <w:tc>
          <w:tcPr>
            <w:tcW w:w="114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11.29%</w:t>
            </w:r>
          </w:p>
        </w:tc>
        <w:tc>
          <w:tcPr>
            <w:tcW w:w="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2,544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2,434</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Carlyle US CLO Ltd, Series 2021-1A </w:t>
            </w:r>
            <w:r>
              <w:rPr>
                <w:rFonts w:ascii="Times New Roman" w:cs="Times New Roman" w:eastAsia="Times New Roman" w:hAnsi="Times New Roman"/>
                <w:sz w:val="18"/>
                <w:szCs w:val="18"/>
                <w:color w:val="auto"/>
                <w:vertAlign w:val="superscript"/>
              </w:rPr>
              <w:t>(3)(4)(13)</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7/2037)</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230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($3,225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8/7/2025</w:t>
            </w:r>
          </w:p>
        </w:tc>
        <w:tc>
          <w:tcPr>
            <w:tcW w:w="12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+ 7.30%</w:t>
            </w:r>
          </w:p>
        </w:tc>
        <w:tc>
          <w:tcPr>
            <w:tcW w:w="114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11.05%</w:t>
            </w:r>
          </w:p>
        </w:tc>
        <w:tc>
          <w:tcPr>
            <w:tcW w:w="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3,318</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3,150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CarVal CLO Ltd, Series 2023-1A </w:t>
            </w:r>
            <w:r>
              <w:rPr>
                <w:rFonts w:ascii="Times New Roman" w:cs="Times New Roman" w:eastAsia="Times New Roman" w:hAnsi="Times New Roman"/>
                <w:sz w:val="18"/>
                <w:szCs w:val="18"/>
                <w:color w:val="auto"/>
                <w:vertAlign w:val="superscript"/>
              </w:rPr>
              <w:t>(3)(4)(13)</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1/2040)</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230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($3,000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8/13/2025</w:t>
            </w:r>
          </w:p>
        </w:tc>
        <w:tc>
          <w:tcPr>
            <w:tcW w:w="12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+ 6.35%</w:t>
            </w:r>
          </w:p>
        </w:tc>
        <w:tc>
          <w:tcPr>
            <w:tcW w:w="114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10.08%</w:t>
            </w:r>
          </w:p>
        </w:tc>
        <w:tc>
          <w:tcPr>
            <w:tcW w:w="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3,029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2,809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CIFC Funding Ltd, Series 2020-4A </w:t>
            </w:r>
            <w:r>
              <w:rPr>
                <w:rFonts w:ascii="Times New Roman" w:cs="Times New Roman" w:eastAsia="Times New Roman" w:hAnsi="Times New Roman"/>
                <w:sz w:val="18"/>
                <w:szCs w:val="18"/>
                <w:color w:val="auto"/>
                <w:vertAlign w:val="superscript"/>
              </w:rPr>
              <w:t>(3)(4)(13)</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7/2037)</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230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($4,000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7/29/2025</w:t>
            </w:r>
          </w:p>
        </w:tc>
        <w:tc>
          <w:tcPr>
            <w:tcW w:w="12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+ 4.90%</w:t>
            </w:r>
          </w:p>
        </w:tc>
        <w:tc>
          <w:tcPr>
            <w:tcW w:w="114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8.65%</w:t>
            </w:r>
          </w:p>
        </w:tc>
        <w:tc>
          <w:tcPr>
            <w:tcW w:w="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4,025</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3,869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CIFC Funding Ltd, Series 2021-7A </w:t>
            </w:r>
            <w:r>
              <w:rPr>
                <w:rFonts w:ascii="Times New Roman" w:cs="Times New Roman" w:eastAsia="Times New Roman" w:hAnsi="Times New Roman"/>
                <w:sz w:val="18"/>
                <w:szCs w:val="18"/>
                <w:color w:val="auto"/>
                <w:vertAlign w:val="superscript"/>
              </w:rPr>
              <w:t>(3)(4)(13)</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1/2040)</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230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($2,800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9/8/2025</w:t>
            </w:r>
          </w:p>
        </w:tc>
        <w:tc>
          <w:tcPr>
            <w:tcW w:w="12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+ 4.90%</w:t>
            </w:r>
          </w:p>
        </w:tc>
        <w:tc>
          <w:tcPr>
            <w:tcW w:w="114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8.65%</w:t>
            </w:r>
          </w:p>
        </w:tc>
        <w:tc>
          <w:tcPr>
            <w:tcW w:w="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2,809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2,758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CIFC Funding Ltd, Series 2022-4A </w:t>
            </w:r>
            <w:r>
              <w:rPr>
                <w:rFonts w:ascii="Times New Roman" w:cs="Times New Roman" w:eastAsia="Times New Roman" w:hAnsi="Times New Roman"/>
                <w:sz w:val="18"/>
                <w:szCs w:val="18"/>
                <w:color w:val="auto"/>
                <w:vertAlign w:val="superscript"/>
              </w:rPr>
              <w:t>(3)(4)(13)</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1/2035)</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230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($3,000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8/27/2025</w:t>
            </w:r>
          </w:p>
        </w:tc>
        <w:tc>
          <w:tcPr>
            <w:tcW w:w="12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+ 4.80%</w:t>
            </w:r>
          </w:p>
        </w:tc>
        <w:tc>
          <w:tcPr>
            <w:tcW w:w="114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8.59%</w:t>
            </w:r>
          </w:p>
        </w:tc>
        <w:tc>
          <w:tcPr>
            <w:tcW w:w="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3,008</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2,940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8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Diameter Capital CLO Ltd, Series 2025-9A </w:t>
            </w:r>
            <w:r>
              <w:rPr>
                <w:rFonts w:ascii="Times New Roman" w:cs="Times New Roman" w:eastAsia="Times New Roman" w:hAnsi="Times New Roman"/>
                <w:sz w:val="18"/>
                <w:szCs w:val="18"/>
                <w:color w:val="auto"/>
                <w:vertAlign w:val="superscript"/>
              </w:rPr>
              <w:t>(3)(4)(13)</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7/2035)</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vMerge w:val="continue"/>
          </w:tcPr>
          <w:p>
            <w:pPr>
              <w:spacing w:after="0"/>
              <w:rPr>
                <w:sz w:val="11"/>
                <w:szCs w:val="11"/>
                <w:color w:val="auto"/>
              </w:rPr>
            </w:pPr>
          </w:p>
        </w:tc>
        <w:tc>
          <w:tcPr>
            <w:tcW w:w="230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($3,500 par, due</w:t>
            </w:r>
          </w:p>
        </w:tc>
        <w:tc>
          <w:tcPr>
            <w:tcW w:w="7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9/2/2025</w:t>
            </w:r>
          </w:p>
        </w:tc>
        <w:tc>
          <w:tcPr>
            <w:tcW w:w="128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+ 4.70%</w:t>
            </w:r>
          </w:p>
        </w:tc>
        <w:tc>
          <w:tcPr>
            <w:tcW w:w="114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8.43%</w:t>
            </w:r>
          </w:p>
        </w:tc>
        <w:tc>
          <w:tcPr>
            <w:tcW w:w="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3,529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3,481</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4/2038)</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8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Goldentree Loan Management US CLO Ltd, Series</w:t>
            </w:r>
          </w:p>
        </w:tc>
        <w:tc>
          <w:tcPr>
            <w:tcW w:w="23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($5,000 par, due</w:t>
            </w:r>
          </w:p>
        </w:tc>
        <w:tc>
          <w:tcPr>
            <w:tcW w:w="78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9/16/2025</w:t>
            </w:r>
          </w:p>
        </w:tc>
        <w:tc>
          <w:tcPr>
            <w:tcW w:w="12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+ 4.50%</w:t>
            </w:r>
          </w:p>
        </w:tc>
        <w:tc>
          <w:tcPr>
            <w:tcW w:w="114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8.23%</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4,975</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4,909</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89"/>
        </w:trPr>
        <w:tc>
          <w:tcPr>
            <w:tcW w:w="2820" w:type="dxa"/>
            <w:vAlign w:val="bottom"/>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2022-16A</w:t>
            </w:r>
            <w:r>
              <w:rPr>
                <w:rFonts w:ascii="Times New Roman" w:cs="Times New Roman" w:eastAsia="Times New Roman" w:hAnsi="Times New Roman"/>
                <w:sz w:val="8"/>
                <w:szCs w:val="8"/>
                <w:color w:val="auto"/>
              </w:rPr>
              <w:t xml:space="preserve"> (3)(4)(13)</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1/2038)</w:t>
            </w: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8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Goldentree Loan Management US CLO Ltd, Series</w:t>
            </w:r>
          </w:p>
        </w:tc>
        <w:tc>
          <w:tcPr>
            <w:tcW w:w="23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($3,000 par, due</w:t>
            </w:r>
          </w:p>
        </w:tc>
        <w:tc>
          <w:tcPr>
            <w:tcW w:w="78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7/16/2025</w:t>
            </w:r>
          </w:p>
        </w:tc>
        <w:tc>
          <w:tcPr>
            <w:tcW w:w="12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+ 5.40%</w:t>
            </w:r>
          </w:p>
        </w:tc>
        <w:tc>
          <w:tcPr>
            <w:tcW w:w="114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9.13%</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3,021</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3,002</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52"/>
        </w:trPr>
        <w:tc>
          <w:tcPr>
            <w:tcW w:w="2820" w:type="dxa"/>
            <w:vAlign w:val="bottom"/>
          </w:tcPr>
          <w:p>
            <w:pPr>
              <w:spacing w:after="0" w:line="153" w:lineRule="exact"/>
              <w:rPr>
                <w:sz w:val="20"/>
                <w:szCs w:val="20"/>
                <w:color w:val="auto"/>
              </w:rPr>
            </w:pPr>
            <w:r>
              <w:rPr>
                <w:rFonts w:ascii="Times New Roman" w:cs="Times New Roman" w:eastAsia="Times New Roman" w:hAnsi="Times New Roman"/>
                <w:sz w:val="17"/>
                <w:szCs w:val="17"/>
                <w:color w:val="auto"/>
                <w:vertAlign w:val="subscript"/>
              </w:rPr>
              <w:t>2023-17A</w:t>
            </w:r>
            <w:r>
              <w:rPr>
                <w:rFonts w:ascii="Times New Roman" w:cs="Times New Roman" w:eastAsia="Times New Roman" w:hAnsi="Times New Roman"/>
                <w:sz w:val="7"/>
                <w:szCs w:val="7"/>
                <w:color w:val="auto"/>
              </w:rPr>
              <w:t xml:space="preserve"> (3)(4)(13)</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1/2039)</w:t>
            </w:r>
          </w:p>
        </w:tc>
        <w:tc>
          <w:tcPr>
            <w:tcW w:w="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line="158" w:lineRule="exact"/>
              <w:rPr>
                <w:sz w:val="20"/>
                <w:szCs w:val="20"/>
                <w:color w:val="auto"/>
              </w:rPr>
            </w:pPr>
            <w:r>
              <w:rPr>
                <w:rFonts w:ascii="Times New Roman" w:cs="Times New Roman" w:eastAsia="Times New Roman" w:hAnsi="Times New Roman"/>
                <w:sz w:val="13"/>
                <w:szCs w:val="13"/>
                <w:color w:val="auto"/>
              </w:rPr>
              <w:t xml:space="preserve">Lake George Park CLO Ltd, Series 2025-1A </w:t>
            </w:r>
            <w:r>
              <w:rPr>
                <w:rFonts w:ascii="Times New Roman" w:cs="Times New Roman" w:eastAsia="Times New Roman" w:hAnsi="Times New Roman"/>
                <w:sz w:val="18"/>
                <w:szCs w:val="18"/>
                <w:color w:val="auto"/>
                <w:vertAlign w:val="superscript"/>
              </w:rPr>
              <w:t>(3)(4)</w:t>
            </w:r>
          </w:p>
        </w:tc>
        <w:tc>
          <w:tcPr>
            <w:tcW w:w="23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Structured Credit ($4,500 par, due</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8/27/2025</w:t>
            </w:r>
          </w:p>
        </w:tc>
        <w:tc>
          <w:tcPr>
            <w:tcW w:w="1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SOFR + 4.60%</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8.35%</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4,309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17"/>
        </w:trPr>
        <w:tc>
          <w:tcPr>
            <w:tcW w:w="2820" w:type="dxa"/>
            <w:vAlign w:val="bottom"/>
          </w:tcPr>
          <w:p>
            <w:pPr>
              <w:spacing w:after="0"/>
              <w:rPr>
                <w:sz w:val="20"/>
                <w:szCs w:val="20"/>
                <w:color w:val="auto"/>
              </w:rPr>
            </w:pPr>
            <w:r>
              <w:rPr>
                <w:rFonts w:ascii="Times New Roman" w:cs="Times New Roman" w:eastAsia="Times New Roman" w:hAnsi="Times New Roman"/>
                <w:sz w:val="9"/>
                <w:szCs w:val="9"/>
                <w:color w:val="auto"/>
              </w:rPr>
              <w:t>(13)</w:t>
            </w:r>
          </w:p>
        </w:tc>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4/2038)</w:t>
            </w: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820" w:type="dxa"/>
            <w:vAlign w:val="bottom"/>
            <w:vMerge w:val="restart"/>
          </w:tcPr>
          <w:p>
            <w:pPr>
              <w:spacing w:after="0" w:line="181" w:lineRule="exact"/>
              <w:rPr>
                <w:sz w:val="20"/>
                <w:szCs w:val="20"/>
                <w:color w:val="auto"/>
              </w:rPr>
            </w:pPr>
            <w:r>
              <w:rPr>
                <w:rFonts w:ascii="Times New Roman" w:cs="Times New Roman" w:eastAsia="Times New Roman" w:hAnsi="Times New Roman"/>
                <w:sz w:val="13"/>
                <w:szCs w:val="13"/>
                <w:color w:val="auto"/>
              </w:rPr>
              <w:t xml:space="preserve">Madison Park Funding Ltd, Series 2025-65A </w:t>
            </w:r>
            <w:r>
              <w:rPr>
                <w:rFonts w:ascii="Times New Roman" w:cs="Times New Roman" w:eastAsia="Times New Roman" w:hAnsi="Times New Roman"/>
                <w:sz w:val="18"/>
                <w:szCs w:val="18"/>
                <w:color w:val="auto"/>
                <w:vertAlign w:val="superscript"/>
              </w:rPr>
              <w:t>(3)(4)</w:t>
            </w:r>
          </w:p>
        </w:tc>
        <w:tc>
          <w:tcPr>
            <w:tcW w:w="23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820" w:type="dxa"/>
            <w:vAlign w:val="bottom"/>
            <w:vMerge w:val="continue"/>
          </w:tcPr>
          <w:p>
            <w:pPr>
              <w:spacing w:after="0"/>
              <w:rPr>
                <w:sz w:val="10"/>
                <w:szCs w:val="10"/>
                <w:color w:val="auto"/>
              </w:rPr>
            </w:pPr>
          </w:p>
        </w:tc>
        <w:tc>
          <w:tcPr>
            <w:tcW w:w="23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($4,400 par, due</w:t>
            </w:r>
          </w:p>
        </w:tc>
        <w:tc>
          <w:tcPr>
            <w:tcW w:w="78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8/19/2025</w:t>
            </w:r>
          </w:p>
        </w:tc>
        <w:tc>
          <w:tcPr>
            <w:tcW w:w="12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+ 5.00%</w:t>
            </w:r>
          </w:p>
        </w:tc>
        <w:tc>
          <w:tcPr>
            <w:tcW w:w="114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8.79%</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4,407</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4,220</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17"/>
        </w:trPr>
        <w:tc>
          <w:tcPr>
            <w:tcW w:w="2820" w:type="dxa"/>
            <w:vAlign w:val="bottom"/>
          </w:tcPr>
          <w:p>
            <w:pPr>
              <w:spacing w:after="0"/>
              <w:rPr>
                <w:sz w:val="20"/>
                <w:szCs w:val="20"/>
                <w:color w:val="auto"/>
              </w:rPr>
            </w:pPr>
            <w:r>
              <w:rPr>
                <w:rFonts w:ascii="Times New Roman" w:cs="Times New Roman" w:eastAsia="Times New Roman" w:hAnsi="Times New Roman"/>
                <w:sz w:val="9"/>
                <w:szCs w:val="9"/>
                <w:color w:val="auto"/>
              </w:rPr>
              <w:t>(13)</w:t>
            </w:r>
          </w:p>
        </w:tc>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7/2038)</w:t>
            </w: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820" w:type="dxa"/>
            <w:vAlign w:val="bottom"/>
            <w:vMerge w:val="restart"/>
          </w:tcPr>
          <w:p>
            <w:pPr>
              <w:spacing w:after="0" w:line="181" w:lineRule="exact"/>
              <w:rPr>
                <w:sz w:val="20"/>
                <w:szCs w:val="20"/>
                <w:color w:val="auto"/>
              </w:rPr>
            </w:pPr>
            <w:r>
              <w:rPr>
                <w:rFonts w:ascii="Times New Roman" w:cs="Times New Roman" w:eastAsia="Times New Roman" w:hAnsi="Times New Roman"/>
                <w:sz w:val="13"/>
                <w:szCs w:val="13"/>
                <w:color w:val="auto"/>
              </w:rPr>
              <w:t xml:space="preserve">Madison Park Funding Ltd, Series 2025-72A </w:t>
            </w:r>
            <w:r>
              <w:rPr>
                <w:rFonts w:ascii="Times New Roman" w:cs="Times New Roman" w:eastAsia="Times New Roman" w:hAnsi="Times New Roman"/>
                <w:sz w:val="18"/>
                <w:szCs w:val="18"/>
                <w:color w:val="auto"/>
                <w:vertAlign w:val="superscript"/>
              </w:rPr>
              <w:t>(3)(4)</w:t>
            </w:r>
          </w:p>
        </w:tc>
        <w:tc>
          <w:tcPr>
            <w:tcW w:w="23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820" w:type="dxa"/>
            <w:vAlign w:val="bottom"/>
            <w:vMerge w:val="continue"/>
          </w:tcPr>
          <w:p>
            <w:pPr>
              <w:spacing w:after="0"/>
              <w:rPr>
                <w:sz w:val="10"/>
                <w:szCs w:val="10"/>
                <w:color w:val="auto"/>
              </w:rPr>
            </w:pPr>
          </w:p>
        </w:tc>
        <w:tc>
          <w:tcPr>
            <w:tcW w:w="23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($4,500 par, due</w:t>
            </w:r>
          </w:p>
        </w:tc>
        <w:tc>
          <w:tcPr>
            <w:tcW w:w="78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8/18/2025</w:t>
            </w:r>
          </w:p>
        </w:tc>
        <w:tc>
          <w:tcPr>
            <w:tcW w:w="12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+ 5.25%</w:t>
            </w:r>
          </w:p>
        </w:tc>
        <w:tc>
          <w:tcPr>
            <w:tcW w:w="114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9.00%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4,549</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4,295</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17"/>
        </w:trPr>
        <w:tc>
          <w:tcPr>
            <w:tcW w:w="2820" w:type="dxa"/>
            <w:vAlign w:val="bottom"/>
          </w:tcPr>
          <w:p>
            <w:pPr>
              <w:spacing w:after="0"/>
              <w:rPr>
                <w:sz w:val="20"/>
                <w:szCs w:val="20"/>
                <w:color w:val="auto"/>
              </w:rPr>
            </w:pPr>
            <w:r>
              <w:rPr>
                <w:rFonts w:ascii="Times New Roman" w:cs="Times New Roman" w:eastAsia="Times New Roman" w:hAnsi="Times New Roman"/>
                <w:sz w:val="9"/>
                <w:szCs w:val="9"/>
                <w:color w:val="auto"/>
              </w:rPr>
              <w:t>(13)</w:t>
            </w:r>
          </w:p>
        </w:tc>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7/2038)</w:t>
            </w: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820" w:type="dxa"/>
            <w:vAlign w:val="bottom"/>
            <w:vMerge w:val="restart"/>
          </w:tcPr>
          <w:p>
            <w:pPr>
              <w:spacing w:after="0" w:line="181" w:lineRule="exact"/>
              <w:rPr>
                <w:sz w:val="20"/>
                <w:szCs w:val="20"/>
                <w:color w:val="auto"/>
              </w:rPr>
            </w:pPr>
            <w:r>
              <w:rPr>
                <w:rFonts w:ascii="Times New Roman" w:cs="Times New Roman" w:eastAsia="Times New Roman" w:hAnsi="Times New Roman"/>
                <w:sz w:val="13"/>
                <w:szCs w:val="13"/>
                <w:color w:val="auto"/>
              </w:rPr>
              <w:t xml:space="preserve">Neuberger Berman CLO Ltd, Series 2017-16SA </w:t>
            </w:r>
            <w:r>
              <w:rPr>
                <w:rFonts w:ascii="Times New Roman" w:cs="Times New Roman" w:eastAsia="Times New Roman" w:hAnsi="Times New Roman"/>
                <w:sz w:val="18"/>
                <w:szCs w:val="18"/>
                <w:color w:val="auto"/>
                <w:vertAlign w:val="superscript"/>
              </w:rPr>
              <w:t>(3)</w:t>
            </w:r>
          </w:p>
        </w:tc>
        <w:tc>
          <w:tcPr>
            <w:tcW w:w="23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23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($4,000 par, due</w:t>
            </w:r>
          </w:p>
        </w:tc>
        <w:tc>
          <w:tcPr>
            <w:tcW w:w="78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7/28/2025</w:t>
            </w:r>
          </w:p>
        </w:tc>
        <w:tc>
          <w:tcPr>
            <w:tcW w:w="12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+ 4.90%</w:t>
            </w:r>
          </w:p>
        </w:tc>
        <w:tc>
          <w:tcPr>
            <w:tcW w:w="114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8.65%</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4,009</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3,882</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17"/>
        </w:trPr>
        <w:tc>
          <w:tcPr>
            <w:tcW w:w="2820" w:type="dxa"/>
            <w:vAlign w:val="bottom"/>
          </w:tcPr>
          <w:p>
            <w:pPr>
              <w:spacing w:after="0"/>
              <w:rPr>
                <w:sz w:val="20"/>
                <w:szCs w:val="20"/>
                <w:color w:val="auto"/>
              </w:rPr>
            </w:pPr>
            <w:r>
              <w:rPr>
                <w:rFonts w:ascii="Times New Roman" w:cs="Times New Roman" w:eastAsia="Times New Roman" w:hAnsi="Times New Roman"/>
                <w:sz w:val="9"/>
                <w:szCs w:val="9"/>
                <w:color w:val="auto"/>
              </w:rPr>
              <w:t>(4)(13)</w:t>
            </w:r>
          </w:p>
        </w:tc>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4/2039)</w:t>
            </w: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820" w:type="dxa"/>
            <w:vAlign w:val="bottom"/>
            <w:vMerge w:val="restart"/>
          </w:tcPr>
          <w:p>
            <w:pPr>
              <w:spacing w:after="0" w:line="181" w:lineRule="exact"/>
              <w:rPr>
                <w:sz w:val="20"/>
                <w:szCs w:val="20"/>
                <w:color w:val="auto"/>
              </w:rPr>
            </w:pPr>
            <w:r>
              <w:rPr>
                <w:rFonts w:ascii="Times New Roman" w:cs="Times New Roman" w:eastAsia="Times New Roman" w:hAnsi="Times New Roman"/>
                <w:sz w:val="13"/>
                <w:szCs w:val="13"/>
                <w:color w:val="auto"/>
              </w:rPr>
              <w:t xml:space="preserve">Neuberger Berman CLO Ltd, Series 2015-20A </w:t>
            </w:r>
            <w:r>
              <w:rPr>
                <w:rFonts w:ascii="Times New Roman" w:cs="Times New Roman" w:eastAsia="Times New Roman" w:hAnsi="Times New Roman"/>
                <w:sz w:val="18"/>
                <w:szCs w:val="18"/>
                <w:color w:val="auto"/>
                <w:vertAlign w:val="superscript"/>
              </w:rPr>
              <w:t>(3)(4)</w:t>
            </w:r>
          </w:p>
        </w:tc>
        <w:tc>
          <w:tcPr>
            <w:tcW w:w="23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23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($1,150 par, due</w:t>
            </w:r>
          </w:p>
        </w:tc>
        <w:tc>
          <w:tcPr>
            <w:tcW w:w="78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7/28/2025</w:t>
            </w:r>
          </w:p>
        </w:tc>
        <w:tc>
          <w:tcPr>
            <w:tcW w:w="128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+ 4.75%</w:t>
            </w:r>
          </w:p>
        </w:tc>
        <w:tc>
          <w:tcPr>
            <w:tcW w:w="114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8.50%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1,151</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1,111</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17"/>
        </w:trPr>
        <w:tc>
          <w:tcPr>
            <w:tcW w:w="2820" w:type="dxa"/>
            <w:vAlign w:val="bottom"/>
          </w:tcPr>
          <w:p>
            <w:pPr>
              <w:spacing w:after="0"/>
              <w:rPr>
                <w:sz w:val="20"/>
                <w:szCs w:val="20"/>
                <w:color w:val="auto"/>
              </w:rPr>
            </w:pPr>
            <w:r>
              <w:rPr>
                <w:rFonts w:ascii="Times New Roman" w:cs="Times New Roman" w:eastAsia="Times New Roman" w:hAnsi="Times New Roman"/>
                <w:sz w:val="9"/>
                <w:szCs w:val="9"/>
                <w:color w:val="auto"/>
              </w:rPr>
              <w:t>(13)</w:t>
            </w:r>
          </w:p>
        </w:tc>
        <w:tc>
          <w:tcPr>
            <w:tcW w:w="23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4/2039)</w:t>
            </w: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820" w:type="dxa"/>
            <w:vAlign w:val="bottom"/>
          </w:tcPr>
          <w:p>
            <w:pPr>
              <w:spacing w:after="0"/>
              <w:rPr>
                <w:sz w:val="5"/>
                <w:szCs w:val="5"/>
                <w:color w:val="auto"/>
              </w:rPr>
            </w:pPr>
          </w:p>
        </w:tc>
        <w:tc>
          <w:tcPr>
            <w:tcW w:w="23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8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Neuberger Berman Loan Advisers CLO Ltd, Series</w:t>
            </w:r>
          </w:p>
        </w:tc>
        <w:tc>
          <w:tcPr>
            <w:tcW w:w="230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($1,000 par, due</w:t>
            </w:r>
          </w:p>
        </w:tc>
        <w:tc>
          <w:tcPr>
            <w:tcW w:w="780" w:type="dxa"/>
            <w:vAlign w:val="bottom"/>
            <w:shd w:val="clear" w:color="auto" w:fill="CFF0FC"/>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8/25/2025</w:t>
            </w:r>
          </w:p>
        </w:tc>
        <w:tc>
          <w:tcPr>
            <w:tcW w:w="128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+ 7.00%</w:t>
            </w:r>
          </w:p>
        </w:tc>
        <w:tc>
          <w:tcPr>
            <w:tcW w:w="1140" w:type="dxa"/>
            <w:vAlign w:val="bottom"/>
            <w:shd w:val="clear" w:color="auto" w:fill="CFF0FC"/>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10.73%</w:t>
            </w: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1,023</w:t>
            </w:r>
          </w:p>
        </w:tc>
        <w:tc>
          <w:tcPr>
            <w:tcW w:w="10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990</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89"/>
        </w:trPr>
        <w:tc>
          <w:tcPr>
            <w:tcW w:w="28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2017-24A</w:t>
            </w:r>
            <w:r>
              <w:rPr>
                <w:rFonts w:ascii="Times New Roman" w:cs="Times New Roman" w:eastAsia="Times New Roman" w:hAnsi="Times New Roman"/>
                <w:sz w:val="8"/>
                <w:szCs w:val="8"/>
                <w:color w:val="auto"/>
              </w:rPr>
              <w:t xml:space="preserve"> (3)(4)(13)</w:t>
            </w:r>
          </w:p>
        </w:tc>
        <w:tc>
          <w:tcPr>
            <w:tcW w:w="2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10/2038)</w:t>
            </w:r>
          </w:p>
        </w:tc>
        <w:tc>
          <w:tcPr>
            <w:tcW w:w="7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-6771640</wp:posOffset>
            </wp:positionV>
            <wp:extent cx="7132320" cy="1028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-6368415</wp:posOffset>
            </wp:positionV>
            <wp:extent cx="713232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-6085840</wp:posOffset>
            </wp:positionV>
            <wp:extent cx="7132320" cy="1028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-5682615</wp:posOffset>
            </wp:positionV>
            <wp:extent cx="7132320" cy="1028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-5185410</wp:posOffset>
            </wp:positionV>
            <wp:extent cx="7132320" cy="102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-4979670</wp:posOffset>
            </wp:positionV>
            <wp:extent cx="7132320" cy="1028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-4491355</wp:posOffset>
            </wp:positionV>
            <wp:extent cx="7132320" cy="946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-4293870</wp:posOffset>
            </wp:positionV>
            <wp:extent cx="713232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-3608070</wp:posOffset>
            </wp:positionV>
            <wp:extent cx="713232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-3230880</wp:posOffset>
            </wp:positionV>
            <wp:extent cx="713232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-2853690</wp:posOffset>
            </wp:positionV>
            <wp:extent cx="713232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-2476500</wp:posOffset>
            </wp:positionV>
            <wp:extent cx="713232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-2099310</wp:posOffset>
            </wp:positionV>
            <wp:extent cx="713232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968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-6471285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-6471285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-6471285</wp:posOffset>
            </wp:positionV>
            <wp:extent cx="857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-5785485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-5785485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-5785485</wp:posOffset>
            </wp:positionV>
            <wp:extent cx="857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-5288280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-5288280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-5288280</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-4697095</wp:posOffset>
            </wp:positionV>
            <wp:extent cx="7132320" cy="1028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-3908425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-3908425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-3908425</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28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Neuberger Berman Loan Advisers CLO Ltd, Series</w:t>
            </w:r>
          </w:p>
        </w:tc>
        <w:tc>
          <w:tcPr>
            <w:tcW w:w="194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auto"/>
              </w:rPr>
              <w:t>Structured Credit ($2,000 par, due</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3"/>
                <w:szCs w:val="13"/>
                <w:color w:val="auto"/>
              </w:rPr>
              <w:t>9/9/2025</w:t>
            </w:r>
          </w:p>
        </w:tc>
        <w:tc>
          <w:tcPr>
            <w:tcW w:w="1200" w:type="dxa"/>
            <w:vAlign w:val="bottom"/>
            <w:gridSpan w:val="3"/>
          </w:tcPr>
          <w:p>
            <w:pPr>
              <w:jc w:val="right"/>
              <w:ind w:right="288"/>
              <w:spacing w:after="0"/>
              <w:rPr>
                <w:sz w:val="20"/>
                <w:szCs w:val="20"/>
                <w:color w:val="auto"/>
              </w:rPr>
            </w:pPr>
            <w:r>
              <w:rPr>
                <w:rFonts w:ascii="Times New Roman" w:cs="Times New Roman" w:eastAsia="Times New Roman" w:hAnsi="Times New Roman"/>
                <w:sz w:val="13"/>
                <w:szCs w:val="13"/>
                <w:color w:val="auto"/>
              </w:rPr>
              <w:t>SOFR + 5.50%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3"/>
                <w:szCs w:val="13"/>
                <w:color w:val="auto"/>
              </w:rPr>
              <w:t>9.29%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2,029</w:t>
            </w: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1,946</w:t>
            </w:r>
          </w:p>
        </w:tc>
        <w:tc>
          <w:tcPr>
            <w:tcW w:w="120" w:type="dxa"/>
            <w:vAlign w:val="bottom"/>
          </w:tcPr>
          <w:p>
            <w:pPr>
              <w:spacing w:after="0"/>
              <w:rPr>
                <w:sz w:val="12"/>
                <w:szCs w:val="1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89"/>
        </w:trPr>
        <w:tc>
          <w:tcPr>
            <w:tcW w:w="2500" w:type="dxa"/>
            <w:vAlign w:val="bottom"/>
            <w:gridSpan w:val="2"/>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2019-33A</w:t>
            </w:r>
            <w:r>
              <w:rPr>
                <w:rFonts w:ascii="Times New Roman" w:cs="Times New Roman" w:eastAsia="Times New Roman" w:hAnsi="Times New Roman"/>
                <w:sz w:val="8"/>
                <w:szCs w:val="8"/>
                <w:color w:val="auto"/>
              </w:rPr>
              <w:t xml:space="preserve"> (3)(4)(13)</w:t>
            </w:r>
          </w:p>
        </w:tc>
        <w:tc>
          <w:tcPr>
            <w:tcW w:w="32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4/2039)</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82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Neuberger Berman Loan Advisers CLO Ltd, Series</w:t>
            </w:r>
          </w:p>
        </w:tc>
        <w:tc>
          <w:tcPr>
            <w:tcW w:w="1940" w:type="dxa"/>
            <w:vAlign w:val="bottom"/>
            <w:gridSpan w:val="5"/>
          </w:tcPr>
          <w:p>
            <w:pPr>
              <w:ind w:left="60"/>
              <w:spacing w:after="0" w:line="122" w:lineRule="exact"/>
              <w:rPr>
                <w:sz w:val="20"/>
                <w:szCs w:val="20"/>
                <w:color w:val="auto"/>
              </w:rPr>
            </w:pPr>
            <w:r>
              <w:rPr>
                <w:rFonts w:ascii="Times New Roman" w:cs="Times New Roman" w:eastAsia="Times New Roman" w:hAnsi="Times New Roman"/>
                <w:sz w:val="13"/>
                <w:szCs w:val="13"/>
                <w:color w:val="auto"/>
              </w:rPr>
              <w:t>Structured Credit ($1,000 par, due</w:t>
            </w:r>
          </w:p>
        </w:tc>
        <w:tc>
          <w:tcPr>
            <w:tcW w:w="1180" w:type="dxa"/>
            <w:vAlign w:val="bottom"/>
          </w:tcPr>
          <w:p>
            <w:pPr>
              <w:jc w:val="right"/>
              <w:ind w:right="31"/>
              <w:spacing w:after="0" w:line="122" w:lineRule="exact"/>
              <w:rPr>
                <w:sz w:val="20"/>
                <w:szCs w:val="20"/>
                <w:color w:val="auto"/>
              </w:rPr>
            </w:pPr>
            <w:r>
              <w:rPr>
                <w:rFonts w:ascii="Times New Roman" w:cs="Times New Roman" w:eastAsia="Times New Roman" w:hAnsi="Times New Roman"/>
                <w:sz w:val="13"/>
                <w:szCs w:val="13"/>
                <w:color w:val="auto"/>
              </w:rPr>
              <w:t>8/15/2025</w:t>
            </w:r>
          </w:p>
        </w:tc>
        <w:tc>
          <w:tcPr>
            <w:tcW w:w="1200" w:type="dxa"/>
            <w:vAlign w:val="bottom"/>
            <w:gridSpan w:val="3"/>
          </w:tcPr>
          <w:p>
            <w:pPr>
              <w:jc w:val="right"/>
              <w:ind w:right="288"/>
              <w:spacing w:after="0" w:line="122" w:lineRule="exact"/>
              <w:rPr>
                <w:sz w:val="20"/>
                <w:szCs w:val="20"/>
                <w:color w:val="auto"/>
              </w:rPr>
            </w:pPr>
            <w:r>
              <w:rPr>
                <w:rFonts w:ascii="Times New Roman" w:cs="Times New Roman" w:eastAsia="Times New Roman" w:hAnsi="Times New Roman"/>
                <w:sz w:val="13"/>
                <w:szCs w:val="13"/>
                <w:color w:val="auto"/>
              </w:rPr>
              <w:t>SOFR + 5.15%</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right"/>
              <w:ind w:right="11"/>
              <w:spacing w:after="0" w:line="122" w:lineRule="exact"/>
              <w:rPr>
                <w:sz w:val="20"/>
                <w:szCs w:val="20"/>
                <w:color w:val="auto"/>
              </w:rPr>
            </w:pPr>
            <w:r>
              <w:rPr>
                <w:rFonts w:ascii="Times New Roman" w:cs="Times New Roman" w:eastAsia="Times New Roman" w:hAnsi="Times New Roman"/>
                <w:sz w:val="13"/>
                <w:szCs w:val="13"/>
                <w:color w:val="auto"/>
              </w:rPr>
              <w:t>8.94%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1,005</w:t>
            </w:r>
          </w:p>
        </w:tc>
        <w:tc>
          <w:tcPr>
            <w:tcW w:w="1040" w:type="dxa"/>
            <w:vAlign w:val="bottom"/>
            <w:gridSpan w:val="4"/>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992</w:t>
            </w:r>
          </w:p>
        </w:tc>
        <w:tc>
          <w:tcPr>
            <w:tcW w:w="120" w:type="dxa"/>
            <w:vAlign w:val="bottom"/>
          </w:tcPr>
          <w:p>
            <w:pPr>
              <w:spacing w:after="0"/>
              <w:rPr>
                <w:sz w:val="10"/>
                <w:szCs w:val="10"/>
                <w:color w:val="auto"/>
              </w:rPr>
            </w:pPr>
          </w:p>
        </w:tc>
        <w:tc>
          <w:tcPr>
            <w:tcW w:w="10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2"/>
        </w:trPr>
        <w:tc>
          <w:tcPr>
            <w:tcW w:w="2500" w:type="dxa"/>
            <w:vAlign w:val="bottom"/>
            <w:gridSpan w:val="2"/>
          </w:tcPr>
          <w:p>
            <w:pPr>
              <w:spacing w:after="0" w:line="153" w:lineRule="exact"/>
              <w:rPr>
                <w:sz w:val="20"/>
                <w:szCs w:val="20"/>
                <w:color w:val="auto"/>
              </w:rPr>
            </w:pPr>
            <w:r>
              <w:rPr>
                <w:rFonts w:ascii="Times New Roman" w:cs="Times New Roman" w:eastAsia="Times New Roman" w:hAnsi="Times New Roman"/>
                <w:sz w:val="17"/>
                <w:szCs w:val="17"/>
                <w:color w:val="auto"/>
                <w:vertAlign w:val="subscript"/>
              </w:rPr>
              <w:t>2021-44A</w:t>
            </w:r>
            <w:r>
              <w:rPr>
                <w:rFonts w:ascii="Times New Roman" w:cs="Times New Roman" w:eastAsia="Times New Roman" w:hAnsi="Times New Roman"/>
                <w:sz w:val="7"/>
                <w:szCs w:val="7"/>
                <w:color w:val="auto"/>
              </w:rPr>
              <w:t xml:space="preserve"> (3)(4)(13)</w:t>
            </w:r>
          </w:p>
        </w:tc>
        <w:tc>
          <w:tcPr>
            <w:tcW w:w="3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10/2035)</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500" w:type="dxa"/>
            <w:vAlign w:val="bottom"/>
            <w:gridSpan w:val="2"/>
          </w:tcPr>
          <w:p>
            <w:pPr>
              <w:spacing w:after="0" w:line="172" w:lineRule="exact"/>
              <w:rPr>
                <w:sz w:val="20"/>
                <w:szCs w:val="20"/>
                <w:color w:val="auto"/>
              </w:rPr>
            </w:pPr>
            <w:r>
              <w:rPr>
                <w:rFonts w:ascii="Times New Roman" w:cs="Times New Roman" w:eastAsia="Times New Roman" w:hAnsi="Times New Roman"/>
                <w:sz w:val="13"/>
                <w:szCs w:val="13"/>
                <w:color w:val="auto"/>
              </w:rPr>
              <w:t xml:space="preserve">Oaktree CLO Ltd, Series 2022-2A </w:t>
            </w:r>
            <w:r>
              <w:rPr>
                <w:rFonts w:ascii="Times New Roman" w:cs="Times New Roman" w:eastAsia="Times New Roman" w:hAnsi="Times New Roman"/>
                <w:sz w:val="18"/>
                <w:szCs w:val="18"/>
                <w:color w:val="auto"/>
                <w:vertAlign w:val="superscript"/>
              </w:rPr>
              <w:t>(3)(4)(13)</w:t>
            </w:r>
          </w:p>
        </w:tc>
        <w:tc>
          <w:tcPr>
            <w:tcW w:w="320" w:type="dxa"/>
            <w:vAlign w:val="bottom"/>
          </w:tcPr>
          <w:p>
            <w:pPr>
              <w:spacing w:after="0"/>
              <w:rPr>
                <w:sz w:val="14"/>
                <w:szCs w:val="14"/>
                <w:color w:val="auto"/>
              </w:rPr>
            </w:pPr>
          </w:p>
        </w:tc>
        <w:tc>
          <w:tcPr>
            <w:tcW w:w="194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auto"/>
              </w:rPr>
              <w:t>Structured Credit ($3,500 par, due</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3"/>
                <w:szCs w:val="13"/>
                <w:color w:val="auto"/>
              </w:rPr>
              <w:t>7/17/2025</w:t>
            </w:r>
          </w:p>
        </w:tc>
        <w:tc>
          <w:tcPr>
            <w:tcW w:w="1200" w:type="dxa"/>
            <w:vAlign w:val="bottom"/>
            <w:gridSpan w:val="3"/>
          </w:tcPr>
          <w:p>
            <w:pPr>
              <w:jc w:val="right"/>
              <w:ind w:right="288"/>
              <w:spacing w:after="0"/>
              <w:rPr>
                <w:sz w:val="20"/>
                <w:szCs w:val="20"/>
                <w:color w:val="auto"/>
              </w:rPr>
            </w:pPr>
            <w:r>
              <w:rPr>
                <w:rFonts w:ascii="Times New Roman" w:cs="Times New Roman" w:eastAsia="Times New Roman" w:hAnsi="Times New Roman"/>
                <w:sz w:val="13"/>
                <w:szCs w:val="13"/>
                <w:color w:val="auto"/>
              </w:rPr>
              <w:t>SOFR + 6.40%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3"/>
                <w:szCs w:val="13"/>
                <w:color w:val="auto"/>
              </w:rPr>
              <w:t>10.15%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3,540</w:t>
            </w: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3,441</w:t>
            </w:r>
          </w:p>
        </w:tc>
        <w:tc>
          <w:tcPr>
            <w:tcW w:w="12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 xml:space="preserve">Octagon 67 Ltd, Series 2023-1A </w:t>
            </w:r>
            <w:r>
              <w:rPr>
                <w:rFonts w:ascii="Times New Roman" w:cs="Times New Roman" w:eastAsia="Times New Roman" w:hAnsi="Times New Roman"/>
                <w:sz w:val="18"/>
                <w:szCs w:val="18"/>
                <w:color w:val="auto"/>
                <w:vertAlign w:val="superscript"/>
              </w:rPr>
              <w:t>(3)(4)(13)</w:t>
            </w:r>
          </w:p>
        </w:tc>
        <w:tc>
          <w:tcPr>
            <w:tcW w:w="32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10/2037)</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5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3"/>
                <w:szCs w:val="13"/>
                <w:color w:val="auto"/>
              </w:rPr>
              <w:t>Structured Credit ($3,000 par, due</w:t>
            </w:r>
          </w:p>
        </w:tc>
        <w:tc>
          <w:tcPr>
            <w:tcW w:w="1180" w:type="dxa"/>
            <w:vAlign w:val="bottom"/>
          </w:tcPr>
          <w:p>
            <w:pPr>
              <w:jc w:val="right"/>
              <w:ind w:right="31"/>
              <w:spacing w:after="0" w:line="136" w:lineRule="exact"/>
              <w:rPr>
                <w:sz w:val="20"/>
                <w:szCs w:val="20"/>
                <w:color w:val="auto"/>
              </w:rPr>
            </w:pPr>
            <w:r>
              <w:rPr>
                <w:rFonts w:ascii="Times New Roman" w:cs="Times New Roman" w:eastAsia="Times New Roman" w:hAnsi="Times New Roman"/>
                <w:sz w:val="13"/>
                <w:szCs w:val="13"/>
                <w:color w:val="auto"/>
              </w:rPr>
              <w:t>9/4/2025</w:t>
            </w:r>
          </w:p>
        </w:tc>
        <w:tc>
          <w:tcPr>
            <w:tcW w:w="1200" w:type="dxa"/>
            <w:vAlign w:val="bottom"/>
            <w:gridSpan w:val="3"/>
          </w:tcPr>
          <w:p>
            <w:pPr>
              <w:jc w:val="right"/>
              <w:ind w:right="288"/>
              <w:spacing w:after="0" w:line="136" w:lineRule="exact"/>
              <w:rPr>
                <w:sz w:val="20"/>
                <w:szCs w:val="20"/>
                <w:color w:val="auto"/>
              </w:rPr>
            </w:pPr>
            <w:r>
              <w:rPr>
                <w:rFonts w:ascii="Times New Roman" w:cs="Times New Roman" w:eastAsia="Times New Roman" w:hAnsi="Times New Roman"/>
                <w:sz w:val="13"/>
                <w:szCs w:val="13"/>
                <w:color w:val="auto"/>
              </w:rPr>
              <w:t>SOFR + 7.41%</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1"/>
              <w:spacing w:after="0" w:line="136" w:lineRule="exact"/>
              <w:rPr>
                <w:sz w:val="20"/>
                <w:szCs w:val="20"/>
                <w:color w:val="auto"/>
              </w:rPr>
            </w:pPr>
            <w:r>
              <w:rPr>
                <w:rFonts w:ascii="Times New Roman" w:cs="Times New Roman" w:eastAsia="Times New Roman" w:hAnsi="Times New Roman"/>
                <w:sz w:val="13"/>
                <w:szCs w:val="13"/>
                <w:color w:val="auto"/>
              </w:rPr>
              <w:t>11.22%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3,097</w:t>
            </w:r>
          </w:p>
        </w:tc>
        <w:tc>
          <w:tcPr>
            <w:tcW w:w="1040" w:type="dxa"/>
            <w:vAlign w:val="bottom"/>
            <w:gridSpan w:val="4"/>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3,007</w:t>
            </w:r>
          </w:p>
        </w:tc>
        <w:tc>
          <w:tcPr>
            <w:tcW w:w="120" w:type="dxa"/>
            <w:vAlign w:val="bottom"/>
          </w:tcPr>
          <w:p>
            <w:pPr>
              <w:spacing w:after="0"/>
              <w:rPr>
                <w:sz w:val="11"/>
                <w:szCs w:val="11"/>
                <w:color w:val="auto"/>
              </w:rPr>
            </w:pPr>
          </w:p>
        </w:tc>
        <w:tc>
          <w:tcPr>
            <w:tcW w:w="106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 xml:space="preserve">Palmer Square CLO Ltd, Series 2021-4 </w:t>
            </w:r>
            <w:r>
              <w:rPr>
                <w:rFonts w:ascii="Times New Roman" w:cs="Times New Roman" w:eastAsia="Times New Roman" w:hAnsi="Times New Roman"/>
                <w:sz w:val="18"/>
                <w:szCs w:val="18"/>
                <w:color w:val="auto"/>
                <w:vertAlign w:val="superscript"/>
              </w:rPr>
              <w:t>(3)(4)(13)</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7/2038)</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gridSpan w:val="3"/>
            <w:vMerge w:val="continue"/>
          </w:tcPr>
          <w:p>
            <w:pPr>
              <w:spacing w:after="0"/>
              <w:rPr>
                <w:sz w:val="11"/>
                <w:szCs w:val="11"/>
                <w:color w:val="auto"/>
              </w:rPr>
            </w:pPr>
          </w:p>
        </w:tc>
        <w:tc>
          <w:tcPr>
            <w:tcW w:w="194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3"/>
                <w:szCs w:val="13"/>
                <w:color w:val="auto"/>
              </w:rPr>
              <w:t>Structured Credit ($4,000 par, due</w:t>
            </w:r>
          </w:p>
        </w:tc>
        <w:tc>
          <w:tcPr>
            <w:tcW w:w="1180" w:type="dxa"/>
            <w:vAlign w:val="bottom"/>
          </w:tcPr>
          <w:p>
            <w:pPr>
              <w:jc w:val="right"/>
              <w:ind w:right="31"/>
              <w:spacing w:after="0" w:line="136" w:lineRule="exact"/>
              <w:rPr>
                <w:sz w:val="20"/>
                <w:szCs w:val="20"/>
                <w:color w:val="auto"/>
              </w:rPr>
            </w:pPr>
            <w:r>
              <w:rPr>
                <w:rFonts w:ascii="Times New Roman" w:cs="Times New Roman" w:eastAsia="Times New Roman" w:hAnsi="Times New Roman"/>
                <w:sz w:val="13"/>
                <w:szCs w:val="13"/>
                <w:color w:val="auto"/>
              </w:rPr>
              <w:t>9/16/2025</w:t>
            </w:r>
          </w:p>
        </w:tc>
        <w:tc>
          <w:tcPr>
            <w:tcW w:w="1200" w:type="dxa"/>
            <w:vAlign w:val="bottom"/>
            <w:gridSpan w:val="3"/>
          </w:tcPr>
          <w:p>
            <w:pPr>
              <w:jc w:val="right"/>
              <w:ind w:right="288"/>
              <w:spacing w:after="0" w:line="136" w:lineRule="exact"/>
              <w:rPr>
                <w:sz w:val="20"/>
                <w:szCs w:val="20"/>
                <w:color w:val="auto"/>
              </w:rPr>
            </w:pPr>
            <w:r>
              <w:rPr>
                <w:rFonts w:ascii="Times New Roman" w:cs="Times New Roman" w:eastAsia="Times New Roman" w:hAnsi="Times New Roman"/>
                <w:sz w:val="13"/>
                <w:szCs w:val="13"/>
                <w:color w:val="auto"/>
              </w:rPr>
              <w:t>SOFR + 5.75%</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1"/>
              <w:spacing w:after="0" w:line="136" w:lineRule="exact"/>
              <w:rPr>
                <w:sz w:val="20"/>
                <w:szCs w:val="20"/>
                <w:color w:val="auto"/>
              </w:rPr>
            </w:pPr>
            <w:r>
              <w:rPr>
                <w:rFonts w:ascii="Times New Roman" w:cs="Times New Roman" w:eastAsia="Times New Roman" w:hAnsi="Times New Roman"/>
                <w:sz w:val="13"/>
                <w:szCs w:val="13"/>
                <w:color w:val="auto"/>
              </w:rPr>
              <w:t>9.50%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4,034</w:t>
            </w:r>
          </w:p>
        </w:tc>
        <w:tc>
          <w:tcPr>
            <w:tcW w:w="1040" w:type="dxa"/>
            <w:vAlign w:val="bottom"/>
            <w:gridSpan w:val="4"/>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3,795</w:t>
            </w:r>
          </w:p>
        </w:tc>
        <w:tc>
          <w:tcPr>
            <w:tcW w:w="120" w:type="dxa"/>
            <w:vAlign w:val="bottom"/>
          </w:tcPr>
          <w:p>
            <w:pPr>
              <w:spacing w:after="0"/>
              <w:rPr>
                <w:sz w:val="11"/>
                <w:szCs w:val="11"/>
                <w:color w:val="auto"/>
              </w:rPr>
            </w:pPr>
          </w:p>
        </w:tc>
        <w:tc>
          <w:tcPr>
            <w:tcW w:w="106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 xml:space="preserve">Palmer Square CLO Ltd, Series 2025-1A </w:t>
            </w:r>
            <w:r>
              <w:rPr>
                <w:rFonts w:ascii="Times New Roman" w:cs="Times New Roman" w:eastAsia="Times New Roman" w:hAnsi="Times New Roman"/>
                <w:sz w:val="18"/>
                <w:szCs w:val="18"/>
                <w:color w:val="auto"/>
                <w:vertAlign w:val="superscript"/>
              </w:rPr>
              <w:t>(3)(4)(13)</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7/2038)</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gridSpan w:val="3"/>
            <w:vMerge w:val="continue"/>
          </w:tcPr>
          <w:p>
            <w:pPr>
              <w:spacing w:after="0"/>
              <w:rPr>
                <w:sz w:val="11"/>
                <w:szCs w:val="11"/>
                <w:color w:val="auto"/>
              </w:rPr>
            </w:pPr>
          </w:p>
        </w:tc>
        <w:tc>
          <w:tcPr>
            <w:tcW w:w="194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3"/>
                <w:szCs w:val="13"/>
                <w:color w:val="auto"/>
              </w:rPr>
              <w:t>Structured Credit ($2,250 par, due</w:t>
            </w:r>
          </w:p>
        </w:tc>
        <w:tc>
          <w:tcPr>
            <w:tcW w:w="1180" w:type="dxa"/>
            <w:vAlign w:val="bottom"/>
          </w:tcPr>
          <w:p>
            <w:pPr>
              <w:jc w:val="right"/>
              <w:ind w:right="31"/>
              <w:spacing w:after="0" w:line="136" w:lineRule="exact"/>
              <w:rPr>
                <w:sz w:val="20"/>
                <w:szCs w:val="20"/>
                <w:color w:val="auto"/>
              </w:rPr>
            </w:pPr>
            <w:r>
              <w:rPr>
                <w:rFonts w:ascii="Times New Roman" w:cs="Times New Roman" w:eastAsia="Times New Roman" w:hAnsi="Times New Roman"/>
                <w:sz w:val="13"/>
                <w:szCs w:val="13"/>
                <w:color w:val="auto"/>
              </w:rPr>
              <w:t>8/21/2025</w:t>
            </w:r>
          </w:p>
        </w:tc>
        <w:tc>
          <w:tcPr>
            <w:tcW w:w="1200" w:type="dxa"/>
            <w:vAlign w:val="bottom"/>
            <w:gridSpan w:val="3"/>
          </w:tcPr>
          <w:p>
            <w:pPr>
              <w:jc w:val="right"/>
              <w:ind w:right="288"/>
              <w:spacing w:after="0" w:line="136" w:lineRule="exact"/>
              <w:rPr>
                <w:sz w:val="20"/>
                <w:szCs w:val="20"/>
                <w:color w:val="auto"/>
              </w:rPr>
            </w:pPr>
            <w:r>
              <w:rPr>
                <w:rFonts w:ascii="Times New Roman" w:cs="Times New Roman" w:eastAsia="Times New Roman" w:hAnsi="Times New Roman"/>
                <w:sz w:val="13"/>
                <w:szCs w:val="13"/>
                <w:color w:val="auto"/>
              </w:rPr>
              <w:t>SOFR + 4.50%</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1"/>
              <w:spacing w:after="0" w:line="136" w:lineRule="exact"/>
              <w:rPr>
                <w:sz w:val="20"/>
                <w:szCs w:val="20"/>
                <w:color w:val="auto"/>
              </w:rPr>
            </w:pPr>
            <w:r>
              <w:rPr>
                <w:rFonts w:ascii="Times New Roman" w:cs="Times New Roman" w:eastAsia="Times New Roman" w:hAnsi="Times New Roman"/>
                <w:sz w:val="13"/>
                <w:szCs w:val="13"/>
                <w:color w:val="auto"/>
              </w:rPr>
              <w:t>8.23%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2,250</w:t>
            </w:r>
          </w:p>
        </w:tc>
        <w:tc>
          <w:tcPr>
            <w:tcW w:w="1040" w:type="dxa"/>
            <w:vAlign w:val="bottom"/>
            <w:gridSpan w:val="4"/>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2,210</w:t>
            </w:r>
          </w:p>
        </w:tc>
        <w:tc>
          <w:tcPr>
            <w:tcW w:w="120" w:type="dxa"/>
            <w:vAlign w:val="bottom"/>
          </w:tcPr>
          <w:p>
            <w:pPr>
              <w:spacing w:after="0"/>
              <w:rPr>
                <w:sz w:val="11"/>
                <w:szCs w:val="11"/>
                <w:color w:val="auto"/>
              </w:rPr>
            </w:pPr>
          </w:p>
        </w:tc>
        <w:tc>
          <w:tcPr>
            <w:tcW w:w="106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w w:val="98"/>
              </w:rPr>
              <w:t xml:space="preserve">Pikes Peak CLO Ltd, Series 2023-14A </w:t>
            </w:r>
            <w:r>
              <w:rPr>
                <w:rFonts w:ascii="Times New Roman" w:cs="Times New Roman" w:eastAsia="Times New Roman" w:hAnsi="Times New Roman"/>
                <w:sz w:val="18"/>
                <w:szCs w:val="18"/>
                <w:color w:val="auto"/>
                <w:w w:val="98"/>
                <w:vertAlign w:val="superscript"/>
              </w:rPr>
              <w:t>(3)(4)(13)</w:t>
            </w:r>
          </w:p>
        </w:tc>
        <w:tc>
          <w:tcPr>
            <w:tcW w:w="32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4/2038)</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5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3"/>
                <w:szCs w:val="13"/>
                <w:color w:val="auto"/>
              </w:rPr>
              <w:t>Structured Credit ($3,000 par, due</w:t>
            </w:r>
          </w:p>
        </w:tc>
        <w:tc>
          <w:tcPr>
            <w:tcW w:w="1180" w:type="dxa"/>
            <w:vAlign w:val="bottom"/>
          </w:tcPr>
          <w:p>
            <w:pPr>
              <w:jc w:val="right"/>
              <w:ind w:right="31"/>
              <w:spacing w:after="0" w:line="136" w:lineRule="exact"/>
              <w:rPr>
                <w:sz w:val="20"/>
                <w:szCs w:val="20"/>
                <w:color w:val="auto"/>
              </w:rPr>
            </w:pPr>
            <w:r>
              <w:rPr>
                <w:rFonts w:ascii="Times New Roman" w:cs="Times New Roman" w:eastAsia="Times New Roman" w:hAnsi="Times New Roman"/>
                <w:sz w:val="13"/>
                <w:szCs w:val="13"/>
                <w:color w:val="auto"/>
              </w:rPr>
              <w:t>7/30/2025</w:t>
            </w:r>
          </w:p>
        </w:tc>
        <w:tc>
          <w:tcPr>
            <w:tcW w:w="1200" w:type="dxa"/>
            <w:vAlign w:val="bottom"/>
            <w:gridSpan w:val="3"/>
          </w:tcPr>
          <w:p>
            <w:pPr>
              <w:jc w:val="right"/>
              <w:ind w:right="288"/>
              <w:spacing w:after="0" w:line="136" w:lineRule="exact"/>
              <w:rPr>
                <w:sz w:val="20"/>
                <w:szCs w:val="20"/>
                <w:color w:val="auto"/>
              </w:rPr>
            </w:pPr>
            <w:r>
              <w:rPr>
                <w:rFonts w:ascii="Times New Roman" w:cs="Times New Roman" w:eastAsia="Times New Roman" w:hAnsi="Times New Roman"/>
                <w:sz w:val="13"/>
                <w:szCs w:val="13"/>
                <w:color w:val="auto"/>
              </w:rPr>
              <w:t>SOFR + 6.00%</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1"/>
              <w:spacing w:after="0" w:line="136" w:lineRule="exact"/>
              <w:rPr>
                <w:sz w:val="20"/>
                <w:szCs w:val="20"/>
                <w:color w:val="auto"/>
              </w:rPr>
            </w:pPr>
            <w:r>
              <w:rPr>
                <w:rFonts w:ascii="Times New Roman" w:cs="Times New Roman" w:eastAsia="Times New Roman" w:hAnsi="Times New Roman"/>
                <w:sz w:val="13"/>
                <w:szCs w:val="13"/>
                <w:color w:val="auto"/>
              </w:rPr>
              <w:t>9.73%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3,064</w:t>
            </w:r>
          </w:p>
        </w:tc>
        <w:tc>
          <w:tcPr>
            <w:tcW w:w="1040" w:type="dxa"/>
            <w:vAlign w:val="bottom"/>
            <w:gridSpan w:val="4"/>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2,958</w:t>
            </w:r>
          </w:p>
        </w:tc>
        <w:tc>
          <w:tcPr>
            <w:tcW w:w="120" w:type="dxa"/>
            <w:vAlign w:val="bottom"/>
          </w:tcPr>
          <w:p>
            <w:pPr>
              <w:spacing w:after="0"/>
              <w:rPr>
                <w:sz w:val="11"/>
                <w:szCs w:val="11"/>
                <w:color w:val="auto"/>
              </w:rPr>
            </w:pPr>
          </w:p>
        </w:tc>
        <w:tc>
          <w:tcPr>
            <w:tcW w:w="106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 xml:space="preserve">Regatta Funding Ltd, Series 2020-1A </w:t>
            </w:r>
            <w:r>
              <w:rPr>
                <w:rFonts w:ascii="Times New Roman" w:cs="Times New Roman" w:eastAsia="Times New Roman" w:hAnsi="Times New Roman"/>
                <w:sz w:val="18"/>
                <w:szCs w:val="18"/>
                <w:color w:val="auto"/>
                <w:vertAlign w:val="superscript"/>
              </w:rPr>
              <w:t>(3)(4)(13)</w:t>
            </w:r>
          </w:p>
        </w:tc>
        <w:tc>
          <w:tcPr>
            <w:tcW w:w="32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7/2038)</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5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3"/>
                <w:szCs w:val="13"/>
                <w:color w:val="auto"/>
              </w:rPr>
              <w:t>Structured Credit ($1,000 par, due</w:t>
            </w:r>
          </w:p>
        </w:tc>
        <w:tc>
          <w:tcPr>
            <w:tcW w:w="1180" w:type="dxa"/>
            <w:vAlign w:val="bottom"/>
          </w:tcPr>
          <w:p>
            <w:pPr>
              <w:jc w:val="right"/>
              <w:ind w:right="31"/>
              <w:spacing w:after="0" w:line="136" w:lineRule="exact"/>
              <w:rPr>
                <w:sz w:val="20"/>
                <w:szCs w:val="20"/>
                <w:color w:val="auto"/>
              </w:rPr>
            </w:pPr>
            <w:r>
              <w:rPr>
                <w:rFonts w:ascii="Times New Roman" w:cs="Times New Roman" w:eastAsia="Times New Roman" w:hAnsi="Times New Roman"/>
                <w:sz w:val="13"/>
                <w:szCs w:val="13"/>
                <w:color w:val="auto"/>
              </w:rPr>
              <w:t>7/17/2025</w:t>
            </w:r>
          </w:p>
        </w:tc>
        <w:tc>
          <w:tcPr>
            <w:tcW w:w="1200" w:type="dxa"/>
            <w:vAlign w:val="bottom"/>
            <w:gridSpan w:val="3"/>
          </w:tcPr>
          <w:p>
            <w:pPr>
              <w:jc w:val="right"/>
              <w:ind w:right="288"/>
              <w:spacing w:after="0" w:line="136" w:lineRule="exact"/>
              <w:rPr>
                <w:sz w:val="20"/>
                <w:szCs w:val="20"/>
                <w:color w:val="auto"/>
              </w:rPr>
            </w:pPr>
            <w:r>
              <w:rPr>
                <w:rFonts w:ascii="Times New Roman" w:cs="Times New Roman" w:eastAsia="Times New Roman" w:hAnsi="Times New Roman"/>
                <w:sz w:val="13"/>
                <w:szCs w:val="13"/>
                <w:color w:val="auto"/>
              </w:rPr>
              <w:t>SOFR + 6.50%</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1"/>
              <w:spacing w:after="0" w:line="136" w:lineRule="exact"/>
              <w:rPr>
                <w:sz w:val="20"/>
                <w:szCs w:val="20"/>
                <w:color w:val="auto"/>
              </w:rPr>
            </w:pPr>
            <w:r>
              <w:rPr>
                <w:rFonts w:ascii="Times New Roman" w:cs="Times New Roman" w:eastAsia="Times New Roman" w:hAnsi="Times New Roman"/>
                <w:sz w:val="13"/>
                <w:szCs w:val="13"/>
                <w:color w:val="auto"/>
              </w:rPr>
              <w:t>10.25%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1,018</w:t>
            </w:r>
          </w:p>
        </w:tc>
        <w:tc>
          <w:tcPr>
            <w:tcW w:w="1040" w:type="dxa"/>
            <w:vAlign w:val="bottom"/>
            <w:gridSpan w:val="4"/>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991</w:t>
            </w:r>
          </w:p>
        </w:tc>
        <w:tc>
          <w:tcPr>
            <w:tcW w:w="120" w:type="dxa"/>
            <w:vAlign w:val="bottom"/>
          </w:tcPr>
          <w:p>
            <w:pPr>
              <w:spacing w:after="0"/>
              <w:rPr>
                <w:sz w:val="11"/>
                <w:szCs w:val="11"/>
                <w:color w:val="auto"/>
              </w:rPr>
            </w:pPr>
          </w:p>
        </w:tc>
        <w:tc>
          <w:tcPr>
            <w:tcW w:w="106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 xml:space="preserve">Riverbank Park CLO Ltd, Series 2024-1A </w:t>
            </w:r>
            <w:r>
              <w:rPr>
                <w:rFonts w:ascii="Times New Roman" w:cs="Times New Roman" w:eastAsia="Times New Roman" w:hAnsi="Times New Roman"/>
                <w:sz w:val="18"/>
                <w:szCs w:val="18"/>
                <w:color w:val="auto"/>
                <w:vertAlign w:val="superscript"/>
              </w:rPr>
              <w:t>(3)(4)(13)</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10/2037)</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820" w:type="dxa"/>
            <w:vAlign w:val="bottom"/>
            <w:gridSpan w:val="3"/>
            <w:vMerge w:val="continue"/>
          </w:tcPr>
          <w:p>
            <w:pPr>
              <w:spacing w:after="0"/>
              <w:rPr>
                <w:sz w:val="11"/>
                <w:szCs w:val="11"/>
                <w:color w:val="auto"/>
              </w:rPr>
            </w:pPr>
          </w:p>
        </w:tc>
        <w:tc>
          <w:tcPr>
            <w:tcW w:w="194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3"/>
                <w:szCs w:val="13"/>
                <w:color w:val="auto"/>
              </w:rPr>
              <w:t>Structured Credit ($4,500 par, due</w:t>
            </w:r>
          </w:p>
        </w:tc>
        <w:tc>
          <w:tcPr>
            <w:tcW w:w="1180" w:type="dxa"/>
            <w:vAlign w:val="bottom"/>
          </w:tcPr>
          <w:p>
            <w:pPr>
              <w:jc w:val="right"/>
              <w:ind w:right="31"/>
              <w:spacing w:after="0" w:line="136" w:lineRule="exact"/>
              <w:rPr>
                <w:sz w:val="20"/>
                <w:szCs w:val="20"/>
                <w:color w:val="auto"/>
              </w:rPr>
            </w:pPr>
            <w:r>
              <w:rPr>
                <w:rFonts w:ascii="Times New Roman" w:cs="Times New Roman" w:eastAsia="Times New Roman" w:hAnsi="Times New Roman"/>
                <w:sz w:val="13"/>
                <w:szCs w:val="13"/>
                <w:color w:val="auto"/>
              </w:rPr>
              <w:t>7/29/2025</w:t>
            </w:r>
          </w:p>
        </w:tc>
        <w:tc>
          <w:tcPr>
            <w:tcW w:w="1200" w:type="dxa"/>
            <w:vAlign w:val="bottom"/>
            <w:gridSpan w:val="3"/>
          </w:tcPr>
          <w:p>
            <w:pPr>
              <w:jc w:val="right"/>
              <w:ind w:right="288"/>
              <w:spacing w:after="0" w:line="136" w:lineRule="exact"/>
              <w:rPr>
                <w:sz w:val="20"/>
                <w:szCs w:val="20"/>
                <w:color w:val="auto"/>
              </w:rPr>
            </w:pPr>
            <w:r>
              <w:rPr>
                <w:rFonts w:ascii="Times New Roman" w:cs="Times New Roman" w:eastAsia="Times New Roman" w:hAnsi="Times New Roman"/>
                <w:sz w:val="13"/>
                <w:szCs w:val="13"/>
                <w:color w:val="auto"/>
              </w:rPr>
              <w:t>SOFR + 4.80%</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1"/>
              <w:spacing w:after="0" w:line="136" w:lineRule="exact"/>
              <w:rPr>
                <w:sz w:val="20"/>
                <w:szCs w:val="20"/>
                <w:color w:val="auto"/>
              </w:rPr>
            </w:pPr>
            <w:r>
              <w:rPr>
                <w:rFonts w:ascii="Times New Roman" w:cs="Times New Roman" w:eastAsia="Times New Roman" w:hAnsi="Times New Roman"/>
                <w:sz w:val="13"/>
                <w:szCs w:val="13"/>
                <w:color w:val="auto"/>
              </w:rPr>
              <w:t>8.61%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4,527</w:t>
            </w:r>
          </w:p>
        </w:tc>
        <w:tc>
          <w:tcPr>
            <w:tcW w:w="1040" w:type="dxa"/>
            <w:vAlign w:val="bottom"/>
            <w:gridSpan w:val="4"/>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4,151</w:t>
            </w:r>
          </w:p>
        </w:tc>
        <w:tc>
          <w:tcPr>
            <w:tcW w:w="120" w:type="dxa"/>
            <w:vAlign w:val="bottom"/>
          </w:tcPr>
          <w:p>
            <w:pPr>
              <w:spacing w:after="0"/>
              <w:rPr>
                <w:sz w:val="11"/>
                <w:szCs w:val="11"/>
                <w:color w:val="auto"/>
              </w:rPr>
            </w:pPr>
          </w:p>
        </w:tc>
        <w:tc>
          <w:tcPr>
            <w:tcW w:w="106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1"/>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 xml:space="preserve">RR Ltd, Series 2021-19A </w:t>
            </w:r>
            <w:r>
              <w:rPr>
                <w:rFonts w:ascii="Times New Roman" w:cs="Times New Roman" w:eastAsia="Times New Roman" w:hAnsi="Times New Roman"/>
                <w:sz w:val="18"/>
                <w:szCs w:val="18"/>
                <w:color w:val="auto"/>
                <w:vertAlign w:val="superscript"/>
              </w:rPr>
              <w:t>(3)(4)(13)</w:t>
            </w:r>
          </w:p>
        </w:tc>
        <w:tc>
          <w:tcPr>
            <w:tcW w:w="32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1/2038)</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5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5"/>
          </w:tcPr>
          <w:p>
            <w:pPr>
              <w:ind w:left="60"/>
              <w:spacing w:after="0" w:line="136" w:lineRule="exact"/>
              <w:rPr>
                <w:sz w:val="20"/>
                <w:szCs w:val="20"/>
                <w:color w:val="auto"/>
              </w:rPr>
            </w:pPr>
            <w:r>
              <w:rPr>
                <w:rFonts w:ascii="Times New Roman" w:cs="Times New Roman" w:eastAsia="Times New Roman" w:hAnsi="Times New Roman"/>
                <w:sz w:val="13"/>
                <w:szCs w:val="13"/>
                <w:color w:val="auto"/>
              </w:rPr>
              <w:t>Structured Credit ($1,000 par, due</w:t>
            </w:r>
          </w:p>
        </w:tc>
        <w:tc>
          <w:tcPr>
            <w:tcW w:w="1180" w:type="dxa"/>
            <w:vAlign w:val="bottom"/>
          </w:tcPr>
          <w:p>
            <w:pPr>
              <w:jc w:val="right"/>
              <w:ind w:right="31"/>
              <w:spacing w:after="0" w:line="136" w:lineRule="exact"/>
              <w:rPr>
                <w:sz w:val="20"/>
                <w:szCs w:val="20"/>
                <w:color w:val="auto"/>
              </w:rPr>
            </w:pPr>
            <w:r>
              <w:rPr>
                <w:rFonts w:ascii="Times New Roman" w:cs="Times New Roman" w:eastAsia="Times New Roman" w:hAnsi="Times New Roman"/>
                <w:sz w:val="13"/>
                <w:szCs w:val="13"/>
                <w:color w:val="auto"/>
              </w:rPr>
              <w:t>7/17/2025</w:t>
            </w:r>
          </w:p>
        </w:tc>
        <w:tc>
          <w:tcPr>
            <w:tcW w:w="1200" w:type="dxa"/>
            <w:vAlign w:val="bottom"/>
            <w:gridSpan w:val="3"/>
          </w:tcPr>
          <w:p>
            <w:pPr>
              <w:jc w:val="right"/>
              <w:ind w:right="288"/>
              <w:spacing w:after="0" w:line="136" w:lineRule="exact"/>
              <w:rPr>
                <w:sz w:val="20"/>
                <w:szCs w:val="20"/>
                <w:color w:val="auto"/>
              </w:rPr>
            </w:pPr>
            <w:r>
              <w:rPr>
                <w:rFonts w:ascii="Times New Roman" w:cs="Times New Roman" w:eastAsia="Times New Roman" w:hAnsi="Times New Roman"/>
                <w:sz w:val="13"/>
                <w:szCs w:val="13"/>
                <w:color w:val="auto"/>
              </w:rPr>
              <w:t>SOFR + 4.70%</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1"/>
              <w:spacing w:after="0" w:line="136" w:lineRule="exact"/>
              <w:rPr>
                <w:sz w:val="20"/>
                <w:szCs w:val="20"/>
                <w:color w:val="auto"/>
              </w:rPr>
            </w:pPr>
            <w:r>
              <w:rPr>
                <w:rFonts w:ascii="Times New Roman" w:cs="Times New Roman" w:eastAsia="Times New Roman" w:hAnsi="Times New Roman"/>
                <w:sz w:val="13"/>
                <w:szCs w:val="13"/>
                <w:color w:val="auto"/>
              </w:rPr>
              <w:t>8.45%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999</w:t>
            </w:r>
          </w:p>
        </w:tc>
        <w:tc>
          <w:tcPr>
            <w:tcW w:w="1040" w:type="dxa"/>
            <w:vAlign w:val="bottom"/>
            <w:gridSpan w:val="4"/>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970</w:t>
            </w:r>
          </w:p>
        </w:tc>
        <w:tc>
          <w:tcPr>
            <w:tcW w:w="120" w:type="dxa"/>
            <w:vAlign w:val="bottom"/>
          </w:tcPr>
          <w:p>
            <w:pPr>
              <w:spacing w:after="0"/>
              <w:rPr>
                <w:sz w:val="11"/>
                <w:szCs w:val="11"/>
                <w:color w:val="auto"/>
              </w:rPr>
            </w:pPr>
          </w:p>
        </w:tc>
        <w:tc>
          <w:tcPr>
            <w:tcW w:w="106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 xml:space="preserve">Texas Debt Capital CLO Ltd, Series 2023-1A </w:t>
            </w:r>
            <w:r>
              <w:rPr>
                <w:rFonts w:ascii="Times New Roman" w:cs="Times New Roman" w:eastAsia="Times New Roman" w:hAnsi="Times New Roman"/>
                <w:sz w:val="18"/>
                <w:szCs w:val="18"/>
                <w:color w:val="auto"/>
                <w:vertAlign w:val="superscript"/>
              </w:rPr>
              <w:t>(3)(4)</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4/2040)</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820" w:type="dxa"/>
            <w:vAlign w:val="bottom"/>
            <w:gridSpan w:val="3"/>
            <w:vMerge w:val="continue"/>
          </w:tcPr>
          <w:p>
            <w:pPr>
              <w:spacing w:after="0"/>
              <w:rPr>
                <w:sz w:val="10"/>
                <w:szCs w:val="10"/>
                <w:color w:val="auto"/>
              </w:rPr>
            </w:pPr>
          </w:p>
        </w:tc>
        <w:tc>
          <w:tcPr>
            <w:tcW w:w="1940" w:type="dxa"/>
            <w:vAlign w:val="bottom"/>
            <w:gridSpan w:val="5"/>
          </w:tcPr>
          <w:p>
            <w:pPr>
              <w:ind w:left="60"/>
              <w:spacing w:after="0" w:line="122" w:lineRule="exact"/>
              <w:rPr>
                <w:sz w:val="20"/>
                <w:szCs w:val="20"/>
                <w:color w:val="auto"/>
              </w:rPr>
            </w:pPr>
            <w:r>
              <w:rPr>
                <w:rFonts w:ascii="Times New Roman" w:cs="Times New Roman" w:eastAsia="Times New Roman" w:hAnsi="Times New Roman"/>
                <w:sz w:val="13"/>
                <w:szCs w:val="13"/>
                <w:color w:val="auto"/>
              </w:rPr>
              <w:t>Structured Credit ($2,000 par, due</w:t>
            </w:r>
          </w:p>
        </w:tc>
        <w:tc>
          <w:tcPr>
            <w:tcW w:w="1180" w:type="dxa"/>
            <w:vAlign w:val="bottom"/>
          </w:tcPr>
          <w:p>
            <w:pPr>
              <w:jc w:val="right"/>
              <w:ind w:right="31"/>
              <w:spacing w:after="0" w:line="122" w:lineRule="exact"/>
              <w:rPr>
                <w:sz w:val="20"/>
                <w:szCs w:val="20"/>
                <w:color w:val="auto"/>
              </w:rPr>
            </w:pPr>
            <w:r>
              <w:rPr>
                <w:rFonts w:ascii="Times New Roman" w:cs="Times New Roman" w:eastAsia="Times New Roman" w:hAnsi="Times New Roman"/>
                <w:sz w:val="13"/>
                <w:szCs w:val="13"/>
                <w:color w:val="auto"/>
              </w:rPr>
              <w:t>8/12/2025</w:t>
            </w:r>
          </w:p>
        </w:tc>
        <w:tc>
          <w:tcPr>
            <w:tcW w:w="1200" w:type="dxa"/>
            <w:vAlign w:val="bottom"/>
            <w:gridSpan w:val="3"/>
          </w:tcPr>
          <w:p>
            <w:pPr>
              <w:jc w:val="right"/>
              <w:ind w:right="288"/>
              <w:spacing w:after="0" w:line="122" w:lineRule="exact"/>
              <w:rPr>
                <w:sz w:val="20"/>
                <w:szCs w:val="20"/>
                <w:color w:val="auto"/>
              </w:rPr>
            </w:pPr>
            <w:r>
              <w:rPr>
                <w:rFonts w:ascii="Times New Roman" w:cs="Times New Roman" w:eastAsia="Times New Roman" w:hAnsi="Times New Roman"/>
                <w:sz w:val="13"/>
                <w:szCs w:val="13"/>
                <w:color w:val="auto"/>
              </w:rPr>
              <w:t>SOFR + 4.95%</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right"/>
              <w:ind w:right="11"/>
              <w:spacing w:after="0" w:line="122" w:lineRule="exact"/>
              <w:rPr>
                <w:sz w:val="20"/>
                <w:szCs w:val="20"/>
                <w:color w:val="auto"/>
              </w:rPr>
            </w:pPr>
            <w:r>
              <w:rPr>
                <w:rFonts w:ascii="Times New Roman" w:cs="Times New Roman" w:eastAsia="Times New Roman" w:hAnsi="Times New Roman"/>
                <w:sz w:val="13"/>
                <w:szCs w:val="13"/>
                <w:color w:val="auto"/>
              </w:rPr>
              <w:t>8.68%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2,022</w:t>
            </w:r>
          </w:p>
        </w:tc>
        <w:tc>
          <w:tcPr>
            <w:tcW w:w="1040" w:type="dxa"/>
            <w:vAlign w:val="bottom"/>
            <w:gridSpan w:val="4"/>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1,992</w:t>
            </w:r>
          </w:p>
        </w:tc>
        <w:tc>
          <w:tcPr>
            <w:tcW w:w="120" w:type="dxa"/>
            <w:vAlign w:val="bottom"/>
          </w:tcPr>
          <w:p>
            <w:pPr>
              <w:spacing w:after="0"/>
              <w:rPr>
                <w:sz w:val="10"/>
                <w:szCs w:val="10"/>
                <w:color w:val="auto"/>
              </w:rPr>
            </w:pPr>
          </w:p>
        </w:tc>
        <w:tc>
          <w:tcPr>
            <w:tcW w:w="106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17"/>
        </w:trPr>
        <w:tc>
          <w:tcPr>
            <w:tcW w:w="2380" w:type="dxa"/>
            <w:vAlign w:val="bottom"/>
          </w:tcPr>
          <w:p>
            <w:pPr>
              <w:spacing w:after="0"/>
              <w:rPr>
                <w:sz w:val="20"/>
                <w:szCs w:val="20"/>
                <w:color w:val="auto"/>
              </w:rPr>
            </w:pPr>
            <w:r>
              <w:rPr>
                <w:rFonts w:ascii="Times New Roman" w:cs="Times New Roman" w:eastAsia="Times New Roman" w:hAnsi="Times New Roman"/>
                <w:sz w:val="9"/>
                <w:szCs w:val="9"/>
                <w:color w:val="auto"/>
              </w:rPr>
              <w:t>(13)</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7/2038)</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5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Structured Credit Investments</w:t>
            </w:r>
          </w:p>
        </w:tc>
        <w:tc>
          <w:tcPr>
            <w:tcW w:w="3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tcBorders>
              <w:left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84,890</w:t>
            </w:r>
          </w:p>
        </w:tc>
        <w:tc>
          <w:tcPr>
            <w:tcW w:w="1040" w:type="dxa"/>
            <w:vAlign w:val="bottom"/>
            <w:tcBorders>
              <w:right w:val="single" w:sz="8" w:color="CFF0FC"/>
            </w:tcBorders>
            <w:gridSpan w:val="4"/>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81,597</w:t>
            </w: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267"/>
        </w:trPr>
        <w:tc>
          <w:tcPr>
            <w:tcW w:w="25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Joint Venture Investments</w:t>
            </w:r>
          </w:p>
        </w:tc>
        <w:tc>
          <w:tcPr>
            <w:tcW w:w="320" w:type="dxa"/>
            <w:vAlign w:val="bottom"/>
            <w:tcBorders>
              <w:top w:val="single" w:sz="8" w:color="CFF0FC"/>
            </w:tcBorders>
          </w:tcPr>
          <w:p>
            <w:pPr>
              <w:spacing w:after="0"/>
              <w:rPr>
                <w:sz w:val="23"/>
                <w:szCs w:val="23"/>
                <w:color w:val="auto"/>
              </w:rPr>
            </w:pPr>
          </w:p>
        </w:tc>
        <w:tc>
          <w:tcPr>
            <w:tcW w:w="460" w:type="dxa"/>
            <w:vAlign w:val="bottom"/>
            <w:tcBorders>
              <w:top w:val="single" w:sz="8" w:color="CFF0FC"/>
            </w:tcBorders>
          </w:tcPr>
          <w:p>
            <w:pPr>
              <w:spacing w:after="0"/>
              <w:rPr>
                <w:sz w:val="23"/>
                <w:szCs w:val="23"/>
                <w:color w:val="auto"/>
              </w:rPr>
            </w:pPr>
          </w:p>
        </w:tc>
        <w:tc>
          <w:tcPr>
            <w:tcW w:w="14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100" w:type="dxa"/>
            <w:vAlign w:val="bottom"/>
            <w:tcBorders>
              <w:top w:val="single" w:sz="8" w:color="CFF0FC"/>
            </w:tcBorders>
          </w:tcPr>
          <w:p>
            <w:pPr>
              <w:spacing w:after="0"/>
              <w:rPr>
                <w:sz w:val="23"/>
                <w:szCs w:val="23"/>
                <w:color w:val="auto"/>
              </w:rPr>
            </w:pPr>
          </w:p>
        </w:tc>
        <w:tc>
          <w:tcPr>
            <w:tcW w:w="140" w:type="dxa"/>
            <w:vAlign w:val="bottom"/>
            <w:tcBorders>
              <w:top w:val="single" w:sz="8" w:color="CFF0FC"/>
            </w:tcBorders>
          </w:tcPr>
          <w:p>
            <w:pPr>
              <w:spacing w:after="0"/>
              <w:rPr>
                <w:sz w:val="23"/>
                <w:szCs w:val="23"/>
                <w:color w:val="auto"/>
              </w:rPr>
            </w:pPr>
          </w:p>
        </w:tc>
        <w:tc>
          <w:tcPr>
            <w:tcW w:w="1180" w:type="dxa"/>
            <w:vAlign w:val="bottom"/>
            <w:tcBorders>
              <w:top w:val="single" w:sz="8" w:color="CFF0FC"/>
            </w:tcBorders>
          </w:tcPr>
          <w:p>
            <w:pPr>
              <w:spacing w:after="0"/>
              <w:rPr>
                <w:sz w:val="23"/>
                <w:szCs w:val="23"/>
                <w:color w:val="auto"/>
              </w:rPr>
            </w:pPr>
          </w:p>
        </w:tc>
        <w:tc>
          <w:tcPr>
            <w:tcW w:w="140" w:type="dxa"/>
            <w:vAlign w:val="bottom"/>
            <w:tcBorders>
              <w:top w:val="single" w:sz="8" w:color="CFF0FC"/>
            </w:tcBorders>
          </w:tcPr>
          <w:p>
            <w:pPr>
              <w:spacing w:after="0"/>
              <w:rPr>
                <w:sz w:val="23"/>
                <w:szCs w:val="23"/>
                <w:color w:val="auto"/>
              </w:rPr>
            </w:pPr>
          </w:p>
        </w:tc>
        <w:tc>
          <w:tcPr>
            <w:tcW w:w="180" w:type="dxa"/>
            <w:vAlign w:val="bottom"/>
            <w:tcBorders>
              <w:top w:val="single" w:sz="8" w:color="CFF0FC"/>
            </w:tcBorders>
          </w:tcPr>
          <w:p>
            <w:pPr>
              <w:spacing w:after="0"/>
              <w:rPr>
                <w:sz w:val="23"/>
                <w:szCs w:val="23"/>
                <w:color w:val="auto"/>
              </w:rPr>
            </w:pPr>
          </w:p>
        </w:tc>
        <w:tc>
          <w:tcPr>
            <w:tcW w:w="880" w:type="dxa"/>
            <w:vAlign w:val="bottom"/>
            <w:tcBorders>
              <w:top w:val="single" w:sz="8" w:color="CFF0FC"/>
            </w:tcBorders>
          </w:tcPr>
          <w:p>
            <w:pPr>
              <w:spacing w:after="0"/>
              <w:rPr>
                <w:sz w:val="23"/>
                <w:szCs w:val="23"/>
                <w:color w:val="auto"/>
              </w:rPr>
            </w:pPr>
          </w:p>
        </w:tc>
        <w:tc>
          <w:tcPr>
            <w:tcW w:w="260" w:type="dxa"/>
            <w:vAlign w:val="bottom"/>
            <w:tcBorders>
              <w:top w:val="single" w:sz="8" w:color="CFF0FC"/>
            </w:tcBorders>
          </w:tcPr>
          <w:p>
            <w:pPr>
              <w:spacing w:after="0"/>
              <w:rPr>
                <w:sz w:val="23"/>
                <w:szCs w:val="23"/>
                <w:color w:val="auto"/>
              </w:rPr>
            </w:pPr>
          </w:p>
        </w:tc>
        <w:tc>
          <w:tcPr>
            <w:tcW w:w="180" w:type="dxa"/>
            <w:vAlign w:val="bottom"/>
            <w:tcBorders>
              <w:top w:val="single" w:sz="8" w:color="CFF0FC"/>
            </w:tcBorders>
          </w:tcPr>
          <w:p>
            <w:pPr>
              <w:spacing w:after="0"/>
              <w:rPr>
                <w:sz w:val="23"/>
                <w:szCs w:val="23"/>
                <w:color w:val="auto"/>
              </w:rPr>
            </w:pPr>
          </w:p>
        </w:tc>
        <w:tc>
          <w:tcPr>
            <w:tcW w:w="74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6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500" w:type="dxa"/>
            <w:vAlign w:val="bottom"/>
            <w:gridSpan w:val="2"/>
            <w:vMerge w:val="restart"/>
          </w:tcPr>
          <w:p>
            <w:pPr>
              <w:spacing w:after="0" w:line="172" w:lineRule="exact"/>
              <w:rPr>
                <w:sz w:val="20"/>
                <w:szCs w:val="20"/>
                <w:color w:val="auto"/>
              </w:rPr>
            </w:pPr>
            <w:r>
              <w:rPr>
                <w:rFonts w:ascii="Times New Roman" w:cs="Times New Roman" w:eastAsia="Times New Roman" w:hAnsi="Times New Roman"/>
                <w:sz w:val="13"/>
                <w:szCs w:val="13"/>
                <w:color w:val="auto"/>
              </w:rPr>
              <w:t xml:space="preserve">Structured Credit Partners JV, LLC </w:t>
            </w:r>
            <w:r>
              <w:rPr>
                <w:rFonts w:ascii="Times New Roman" w:cs="Times New Roman" w:eastAsia="Times New Roman" w:hAnsi="Times New Roman"/>
                <w:sz w:val="18"/>
                <w:szCs w:val="18"/>
                <w:color w:val="auto"/>
                <w:vertAlign w:val="superscript"/>
              </w:rPr>
              <w:t>(4)(6)(11)</w:t>
            </w:r>
          </w:p>
        </w:tc>
        <w:tc>
          <w:tcPr>
            <w:tcW w:w="320" w:type="dxa"/>
            <w:vAlign w:val="bottom"/>
          </w:tcPr>
          <w:p>
            <w:pPr>
              <w:spacing w:after="0"/>
              <w:rPr>
                <w:sz w:val="2"/>
                <w:szCs w:val="2"/>
                <w:color w:val="auto"/>
              </w:rPr>
            </w:pPr>
          </w:p>
        </w:tc>
        <w:tc>
          <w:tcPr>
            <w:tcW w:w="1940" w:type="dxa"/>
            <w:vAlign w:val="bottom"/>
            <w:gridSpan w:val="5"/>
            <w:vMerge w:val="restart"/>
          </w:tcPr>
          <w:p>
            <w:pPr>
              <w:ind w:left="60"/>
              <w:spacing w:after="0"/>
              <w:rPr>
                <w:sz w:val="20"/>
                <w:szCs w:val="20"/>
                <w:color w:val="auto"/>
              </w:rPr>
            </w:pPr>
            <w:r>
              <w:rPr>
                <w:rFonts w:ascii="Times New Roman" w:cs="Times New Roman" w:eastAsia="Times New Roman" w:hAnsi="Times New Roman"/>
                <w:sz w:val="13"/>
                <w:szCs w:val="13"/>
                <w:color w:val="auto"/>
              </w:rPr>
              <w:t>Partnership Interest (25.00%</w:t>
            </w:r>
          </w:p>
        </w:tc>
        <w:tc>
          <w:tcPr>
            <w:tcW w:w="1180" w:type="dxa"/>
            <w:vAlign w:val="bottom"/>
            <w:vMerge w:val="restart"/>
          </w:tcPr>
          <w:p>
            <w:pPr>
              <w:jc w:val="right"/>
              <w:ind w:right="31"/>
              <w:spacing w:after="0"/>
              <w:rPr>
                <w:sz w:val="20"/>
                <w:szCs w:val="20"/>
                <w:color w:val="auto"/>
              </w:rPr>
            </w:pPr>
            <w:r>
              <w:rPr>
                <w:rFonts w:ascii="Times New Roman" w:cs="Times New Roman" w:eastAsia="Times New Roman" w:hAnsi="Times New Roman"/>
                <w:sz w:val="13"/>
                <w:szCs w:val="13"/>
                <w:color w:val="auto"/>
              </w:rPr>
              <w:t>12/23/2025</w:t>
            </w: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5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5"/>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75,641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79,990</w:t>
            </w:r>
          </w:p>
        </w:tc>
        <w:tc>
          <w:tcPr>
            <w:tcW w:w="120" w:type="dxa"/>
            <w:vAlign w:val="bottom"/>
          </w:tcPr>
          <w:p>
            <w:pPr>
              <w:spacing w:after="0"/>
              <w:rPr>
                <w:sz w:val="11"/>
                <w:szCs w:val="11"/>
                <w:color w:val="auto"/>
              </w:rPr>
            </w:pPr>
          </w:p>
        </w:tc>
        <w:tc>
          <w:tcPr>
            <w:tcW w:w="10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3"/>
          </w:tcPr>
          <w:p>
            <w:pPr>
              <w:ind w:left="60"/>
              <w:spacing w:after="0" w:line="148" w:lineRule="exact"/>
              <w:rPr>
                <w:sz w:val="20"/>
                <w:szCs w:val="20"/>
                <w:color w:val="auto"/>
              </w:rPr>
            </w:pPr>
            <w:r>
              <w:rPr>
                <w:rFonts w:ascii="Times New Roman" w:cs="Times New Roman" w:eastAsia="Times New Roman" w:hAnsi="Times New Roman"/>
                <w:sz w:val="13"/>
                <w:szCs w:val="13"/>
                <w:color w:val="auto"/>
              </w:rPr>
              <w:t>ownership)</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4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240" w:type="dxa"/>
            <w:vAlign w:val="bottom"/>
            <w:tcBorders>
              <w:left w:val="single" w:sz="8" w:color="CFF0FC"/>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right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right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500" w:type="dxa"/>
            <w:vAlign w:val="bottom"/>
            <w:gridSpan w:val="2"/>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Total Equity, Structured Credit and Joint</w:t>
            </w: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341,751</w:t>
            </w:r>
          </w:p>
        </w:tc>
        <w:tc>
          <w:tcPr>
            <w:tcW w:w="1040" w:type="dxa"/>
            <w:vAlign w:val="bottom"/>
            <w:gridSpan w:val="4"/>
          </w:tcPr>
          <w:p>
            <w:pPr>
              <w:jc w:val="right"/>
              <w:ind w:right="40"/>
              <w:spacing w:after="0" w:line="126" w:lineRule="exact"/>
              <w:rPr>
                <w:sz w:val="20"/>
                <w:szCs w:val="20"/>
                <w:color w:val="auto"/>
              </w:rPr>
            </w:pPr>
            <w:r>
              <w:rPr>
                <w:rFonts w:ascii="Times New Roman" w:cs="Times New Roman" w:eastAsia="Times New Roman" w:hAnsi="Times New Roman"/>
                <w:sz w:val="13"/>
                <w:szCs w:val="13"/>
                <w:color w:val="auto"/>
              </w:rPr>
              <w:t>353,787</w:t>
            </w:r>
          </w:p>
        </w:tc>
        <w:tc>
          <w:tcPr>
            <w:tcW w:w="120" w:type="dxa"/>
            <w:vAlign w:val="bottom"/>
          </w:tcPr>
          <w:p>
            <w:pPr>
              <w:spacing w:after="0"/>
              <w:rPr>
                <w:sz w:val="10"/>
                <w:szCs w:val="10"/>
                <w:color w:val="auto"/>
              </w:rPr>
            </w:pPr>
          </w:p>
        </w:tc>
        <w:tc>
          <w:tcPr>
            <w:tcW w:w="106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52"/>
        </w:trPr>
        <w:tc>
          <w:tcPr>
            <w:tcW w:w="2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Venture Investments</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50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Total Investments</w:t>
            </w:r>
          </w:p>
        </w:tc>
        <w:tc>
          <w:tcPr>
            <w:tcW w:w="3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40" w:type="dxa"/>
            <w:vAlign w:val="bottom"/>
            <w:gridSpan w:val="5"/>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  3,407,64</w:t>
            </w:r>
          </w:p>
        </w:tc>
        <w:tc>
          <w:tcPr>
            <w:tcW w:w="1040" w:type="dxa"/>
            <w:vAlign w:val="bottom"/>
            <w:tcBorders>
              <w:right w:val="single" w:sz="8" w:color="CFF0FC"/>
            </w:tcBorders>
            <w:gridSpan w:val="4"/>
            <w:shd w:val="clear" w:color="auto" w:fill="CFF0FC"/>
          </w:tcPr>
          <w:p>
            <w:pPr>
              <w:jc w:val="right"/>
              <w:ind w:right="40"/>
              <w:spacing w:after="0" w:line="126" w:lineRule="exact"/>
              <w:rPr>
                <w:sz w:val="20"/>
                <w:szCs w:val="20"/>
                <w:color w:val="auto"/>
              </w:rPr>
            </w:pPr>
            <w:r>
              <w:rPr>
                <w:rFonts w:ascii="Times New Roman" w:cs="Times New Roman" w:eastAsia="Times New Roman" w:hAnsi="Times New Roman"/>
                <w:sz w:val="13"/>
                <w:szCs w:val="13"/>
                <w:b w:val="1"/>
                <w:bCs w:val="1"/>
                <w:color w:val="auto"/>
              </w:rPr>
              <w:t>$   3,393,035</w:t>
            </w:r>
          </w:p>
        </w:tc>
        <w:tc>
          <w:tcPr>
            <w:tcW w:w="12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3"/>
                <w:szCs w:val="13"/>
                <w:b w:val="1"/>
                <w:bCs w:val="1"/>
                <w:color w:val="auto"/>
              </w:rPr>
              <w:t>219.0%</w:t>
            </w:r>
          </w:p>
        </w:tc>
        <w:tc>
          <w:tcPr>
            <w:tcW w:w="0" w:type="dxa"/>
            <w:vAlign w:val="bottom"/>
          </w:tcPr>
          <w:p>
            <w:pPr>
              <w:spacing w:after="0"/>
              <w:rPr>
                <w:sz w:val="1"/>
                <w:szCs w:val="1"/>
                <w:color w:val="auto"/>
              </w:rPr>
            </w:pPr>
          </w:p>
        </w:tc>
      </w:tr>
      <w:tr>
        <w:trPr>
          <w:trHeight w:val="205"/>
        </w:trPr>
        <w:tc>
          <w:tcPr>
            <w:tcW w:w="2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left w:val="single" w:sz="8" w:color="CFF0FC"/>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0</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right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right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9"/>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Interest Rate Swaps as of September 30, 2026</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4"/>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Upfront</w:t>
            </w:r>
          </w:p>
        </w:tc>
        <w:tc>
          <w:tcPr>
            <w:tcW w:w="120" w:type="dxa"/>
            <w:vAlign w:val="bottom"/>
          </w:tcPr>
          <w:p>
            <w:pPr>
              <w:spacing w:after="0"/>
              <w:rPr>
                <w:sz w:val="10"/>
                <w:szCs w:val="10"/>
                <w:color w:val="auto"/>
              </w:rPr>
            </w:pPr>
          </w:p>
        </w:tc>
        <w:tc>
          <w:tcPr>
            <w:tcW w:w="960" w:type="dxa"/>
            <w:vAlign w:val="bottom"/>
          </w:tcPr>
          <w:p>
            <w:pPr>
              <w:jc w:val="center"/>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30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Interest rate swap </w:t>
            </w:r>
            <w:r>
              <w:rPr>
                <w:rFonts w:ascii="Times New Roman" w:cs="Times New Roman" w:eastAsia="Times New Roman" w:hAnsi="Times New Roman"/>
                <w:sz w:val="19"/>
                <w:szCs w:val="19"/>
                <w:color w:val="auto"/>
                <w:vertAlign w:val="superscript"/>
              </w:rPr>
              <w:t>(a)(b)</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Receives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Pays</w:t>
            </w:r>
          </w:p>
        </w:tc>
        <w:tc>
          <w:tcPr>
            <w:tcW w:w="140" w:type="dxa"/>
            <w:vAlign w:val="bottom"/>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240" w:type="dxa"/>
            <w:vAlign w:val="bottom"/>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Gains / (Losses)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73"/>
              <w:spacing w:after="0" w:line="142" w:lineRule="exact"/>
              <w:rPr>
                <w:sz w:val="20"/>
                <w:szCs w:val="20"/>
                <w:color w:val="auto"/>
              </w:rPr>
            </w:pPr>
            <w:r>
              <w:rPr>
                <w:rFonts w:ascii="Times New Roman" w:cs="Times New Roman" w:eastAsia="Times New Roman" w:hAnsi="Times New Roman"/>
                <w:sz w:val="14"/>
                <w:szCs w:val="14"/>
                <w:color w:val="auto"/>
                <w:w w:val="99"/>
              </w:rPr>
              <w:t>6.95%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color w:val="auto"/>
              </w:rPr>
              <w:t>SOFR + 2.99%</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8/14/2028</w:t>
            </w:r>
          </w:p>
        </w:tc>
        <w:tc>
          <w:tcPr>
            <w:tcW w:w="32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300,000</w:t>
            </w:r>
          </w:p>
        </w:tc>
        <w:tc>
          <w:tcPr>
            <w:tcW w:w="4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(4,267)</w:t>
            </w:r>
          </w:p>
        </w:tc>
        <w:tc>
          <w:tcPr>
            <w:tcW w:w="50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(8,762)</w:t>
            </w:r>
          </w:p>
        </w:tc>
        <w:tc>
          <w:tcPr>
            <w:tcW w:w="0" w:type="dxa"/>
            <w:vAlign w:val="bottom"/>
          </w:tcPr>
          <w:p>
            <w:pPr>
              <w:spacing w:after="0"/>
              <w:rPr>
                <w:sz w:val="1"/>
                <w:szCs w:val="1"/>
                <w:color w:val="auto"/>
              </w:rPr>
            </w:pPr>
          </w:p>
        </w:tc>
      </w:tr>
      <w:tr>
        <w:trPr>
          <w:trHeight w:val="175"/>
        </w:trPr>
        <w:tc>
          <w:tcPr>
            <w:tcW w:w="2500" w:type="dxa"/>
            <w:vAlign w:val="bottom"/>
            <w:gridSpan w:val="2"/>
          </w:tcPr>
          <w:p>
            <w:pPr>
              <w:spacing w:after="0" w:line="175" w:lineRule="exact"/>
              <w:rPr>
                <w:sz w:val="20"/>
                <w:szCs w:val="20"/>
                <w:color w:val="auto"/>
              </w:rPr>
            </w:pPr>
            <w:r>
              <w:rPr>
                <w:rFonts w:ascii="Times New Roman" w:cs="Times New Roman" w:eastAsia="Times New Roman" w:hAnsi="Times New Roman"/>
                <w:sz w:val="14"/>
                <w:szCs w:val="14"/>
                <w:color w:val="auto"/>
              </w:rPr>
              <w:t xml:space="preserve">Interest rate swap </w:t>
            </w:r>
            <w:r>
              <w:rPr>
                <w:rFonts w:ascii="Times New Roman" w:cs="Times New Roman" w:eastAsia="Times New Roman" w:hAnsi="Times New Roman"/>
                <w:sz w:val="19"/>
                <w:szCs w:val="19"/>
                <w:color w:val="auto"/>
                <w:vertAlign w:val="superscript"/>
              </w:rPr>
              <w:t>(a)(b)</w:t>
            </w:r>
          </w:p>
        </w:tc>
        <w:tc>
          <w:tcPr>
            <w:tcW w:w="780" w:type="dxa"/>
            <w:vAlign w:val="bottom"/>
            <w:gridSpan w:val="2"/>
          </w:tcPr>
          <w:p>
            <w:pPr>
              <w:jc w:val="center"/>
              <w:ind w:right="73"/>
              <w:spacing w:after="0"/>
              <w:rPr>
                <w:sz w:val="20"/>
                <w:szCs w:val="20"/>
                <w:color w:val="auto"/>
              </w:rPr>
            </w:pPr>
            <w:r>
              <w:rPr>
                <w:rFonts w:ascii="Times New Roman" w:cs="Times New Roman" w:eastAsia="Times New Roman" w:hAnsi="Times New Roman"/>
                <w:sz w:val="14"/>
                <w:szCs w:val="14"/>
                <w:color w:val="auto"/>
              </w:rPr>
              <w:t>6.125%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SOFR + 2.44%</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3/1/2029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(8,728)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(12,035)</w:t>
            </w:r>
          </w:p>
        </w:tc>
        <w:tc>
          <w:tcPr>
            <w:tcW w:w="0" w:type="dxa"/>
            <w:vAlign w:val="bottom"/>
          </w:tcPr>
          <w:p>
            <w:pPr>
              <w:spacing w:after="0"/>
              <w:rPr>
                <w:sz w:val="1"/>
                <w:szCs w:val="1"/>
                <w:color w:val="auto"/>
              </w:rPr>
            </w:pPr>
          </w:p>
        </w:tc>
      </w:tr>
      <w:tr>
        <w:trPr>
          <w:trHeight w:val="176"/>
        </w:trPr>
        <w:tc>
          <w:tcPr>
            <w:tcW w:w="2500" w:type="dxa"/>
            <w:vAlign w:val="bottom"/>
            <w:gridSpan w:val="2"/>
          </w:tcPr>
          <w:p>
            <w:pPr>
              <w:spacing w:after="0" w:line="175" w:lineRule="exact"/>
              <w:rPr>
                <w:sz w:val="20"/>
                <w:szCs w:val="20"/>
                <w:color w:val="auto"/>
              </w:rPr>
            </w:pPr>
            <w:r>
              <w:rPr>
                <w:rFonts w:ascii="Times New Roman" w:cs="Times New Roman" w:eastAsia="Times New Roman" w:hAnsi="Times New Roman"/>
                <w:sz w:val="14"/>
                <w:szCs w:val="14"/>
                <w:color w:val="auto"/>
              </w:rPr>
              <w:t xml:space="preserve">Interest rate swap </w:t>
            </w:r>
            <w:r>
              <w:rPr>
                <w:rFonts w:ascii="Times New Roman" w:cs="Times New Roman" w:eastAsia="Times New Roman" w:hAnsi="Times New Roman"/>
                <w:sz w:val="19"/>
                <w:szCs w:val="19"/>
                <w:color w:val="auto"/>
                <w:vertAlign w:val="superscript"/>
              </w:rPr>
              <w:t>(a)(b)</w:t>
            </w:r>
          </w:p>
        </w:tc>
        <w:tc>
          <w:tcPr>
            <w:tcW w:w="780" w:type="dxa"/>
            <w:vAlign w:val="bottom"/>
            <w:gridSpan w:val="2"/>
          </w:tcPr>
          <w:p>
            <w:pPr>
              <w:jc w:val="center"/>
              <w:ind w:right="73"/>
              <w:spacing w:after="0"/>
              <w:rPr>
                <w:sz w:val="20"/>
                <w:szCs w:val="20"/>
                <w:color w:val="auto"/>
              </w:rPr>
            </w:pPr>
            <w:r>
              <w:rPr>
                <w:rFonts w:ascii="Times New Roman" w:cs="Times New Roman" w:eastAsia="Times New Roman" w:hAnsi="Times New Roman"/>
                <w:sz w:val="14"/>
                <w:szCs w:val="14"/>
                <w:color w:val="auto"/>
              </w:rPr>
              <w:t>5.625%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SOFR + 1.53%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8/15/2030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(7,444)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(15,728)</w:t>
            </w:r>
          </w:p>
        </w:tc>
        <w:tc>
          <w:tcPr>
            <w:tcW w:w="0" w:type="dxa"/>
            <w:vAlign w:val="bottom"/>
          </w:tcPr>
          <w:p>
            <w:pPr>
              <w:spacing w:after="0"/>
              <w:rPr>
                <w:sz w:val="1"/>
                <w:szCs w:val="1"/>
                <w:color w:val="auto"/>
              </w:rPr>
            </w:pPr>
          </w:p>
        </w:tc>
      </w:tr>
      <w:tr>
        <w:trPr>
          <w:trHeight w:val="189"/>
        </w:trPr>
        <w:tc>
          <w:tcPr>
            <w:tcW w:w="2500" w:type="dxa"/>
            <w:vAlign w:val="bottom"/>
            <w:gridSpan w:val="2"/>
          </w:tcPr>
          <w:p>
            <w:pPr>
              <w:spacing w:after="0" w:line="189" w:lineRule="exact"/>
              <w:rPr>
                <w:sz w:val="20"/>
                <w:szCs w:val="20"/>
                <w:color w:val="auto"/>
              </w:rPr>
            </w:pPr>
            <w:r>
              <w:rPr>
                <w:rFonts w:ascii="Times New Roman" w:cs="Times New Roman" w:eastAsia="Times New Roman" w:hAnsi="Times New Roman"/>
                <w:sz w:val="14"/>
                <w:szCs w:val="14"/>
                <w:color w:val="auto"/>
              </w:rPr>
              <w:t xml:space="preserve">Interest rate swap </w:t>
            </w:r>
            <w:r>
              <w:rPr>
                <w:rFonts w:ascii="Times New Roman" w:cs="Times New Roman" w:eastAsia="Times New Roman" w:hAnsi="Times New Roman"/>
                <w:sz w:val="19"/>
                <w:szCs w:val="19"/>
                <w:color w:val="auto"/>
                <w:vertAlign w:val="superscript"/>
              </w:rPr>
              <w:t>(a)(b)</w:t>
            </w:r>
          </w:p>
        </w:tc>
        <w:tc>
          <w:tcPr>
            <w:tcW w:w="780" w:type="dxa"/>
            <w:vAlign w:val="bottom"/>
            <w:gridSpan w:val="2"/>
          </w:tcPr>
          <w:p>
            <w:pPr>
              <w:jc w:val="center"/>
              <w:ind w:right="73"/>
              <w:spacing w:after="0"/>
              <w:rPr>
                <w:sz w:val="20"/>
                <w:szCs w:val="20"/>
                <w:color w:val="auto"/>
              </w:rPr>
            </w:pPr>
            <w:r>
              <w:rPr>
                <w:rFonts w:ascii="Times New Roman" w:cs="Times New Roman" w:eastAsia="Times New Roman" w:hAnsi="Times New Roman"/>
                <w:sz w:val="14"/>
                <w:szCs w:val="14"/>
                <w:color w:val="auto"/>
              </w:rPr>
              <w:t>5.650%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SOFR + 1.85%</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8/15/2031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(13,253)</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(13,253)</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Hedge Accounting Swaps</w:t>
            </w:r>
          </w:p>
        </w:tc>
        <w:tc>
          <w:tcPr>
            <w:tcW w:w="3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1,250,000</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(33,692)</w:t>
            </w:r>
          </w:p>
        </w:tc>
        <w:tc>
          <w:tcPr>
            <w:tcW w:w="240" w:type="dxa"/>
            <w:vAlign w:val="bottom"/>
            <w:tcBorders>
              <w:lef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tcBorders>
              <w:right w:val="single" w:sz="8" w:color="CFF0FC"/>
            </w:tcBorders>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(49,778)</w:t>
            </w:r>
          </w:p>
        </w:tc>
        <w:tc>
          <w:tcPr>
            <w:tcW w:w="0" w:type="dxa"/>
            <w:vAlign w:val="bottom"/>
          </w:tcPr>
          <w:p>
            <w:pPr>
              <w:spacing w:after="0"/>
              <w:rPr>
                <w:sz w:val="1"/>
                <w:szCs w:val="1"/>
                <w:color w:val="auto"/>
              </w:rPr>
            </w:pPr>
          </w:p>
        </w:tc>
      </w:tr>
      <w:tr>
        <w:trPr>
          <w:trHeight w:val="148"/>
        </w:trPr>
        <w:tc>
          <w:tcPr>
            <w:tcW w:w="2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collateral</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69,095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gridSpan w:val="2"/>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Total derivatives</w:t>
            </w:r>
          </w:p>
        </w:tc>
        <w:tc>
          <w:tcPr>
            <w:tcW w:w="3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1,250,000</w:t>
            </w:r>
          </w:p>
        </w:tc>
        <w:tc>
          <w:tcPr>
            <w:tcW w:w="4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35,403</w:t>
            </w:r>
          </w:p>
        </w:tc>
        <w:tc>
          <w:tcPr>
            <w:tcW w:w="500" w:type="dxa"/>
            <w:vAlign w:val="bottom"/>
            <w:tcBorders>
              <w:left w:val="single" w:sz="8" w:color="CFF0FC"/>
            </w:tcBorders>
            <w:gridSpan w:val="2"/>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Borders>
              <w:right w:val="single" w:sz="8" w:color="CFF0FC"/>
            </w:tcBorders>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(49,778)</w:t>
            </w: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-4199890</wp:posOffset>
            </wp:positionV>
            <wp:extent cx="7132320" cy="1968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-3813810</wp:posOffset>
            </wp:positionV>
            <wp:extent cx="713232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-3436620</wp:posOffset>
            </wp:positionV>
            <wp:extent cx="713232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-3059430</wp:posOffset>
            </wp:positionV>
            <wp:extent cx="713232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-2682240</wp:posOffset>
            </wp:positionV>
            <wp:extent cx="713232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-2211070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-2211070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-2211070</wp:posOffset>
            </wp:positionV>
            <wp:extent cx="939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-2108200</wp:posOffset>
            </wp:positionV>
            <wp:extent cx="7132320" cy="1028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-1722120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-1722120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-1722120</wp:posOffset>
            </wp:positionV>
            <wp:extent cx="939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-1336675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-1319530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-1336675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-1319530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-1336675</wp:posOffset>
            </wp:positionV>
            <wp:extent cx="939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-1319530</wp:posOffset>
            </wp:positionV>
            <wp:extent cx="939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111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1111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020" w:hanging="503"/>
        <w:spacing w:after="0"/>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SOFR.</w:t>
      </w:r>
    </w:p>
    <w:p>
      <w:pPr>
        <w:spacing w:after="0" w:line="27"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is used in a hedge accounting relationship. The associated change in fair value is recorded along with the change in fair value of the hedged item within interest expense.</w:t>
      </w:r>
    </w:p>
    <w:p>
      <w:pPr>
        <w:ind w:left="520" w:right="46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Certain portfolio company investments are subject to contractual restrictions on sales.</w:t>
      </w:r>
    </w:p>
    <w:p>
      <w:pPr>
        <w:ind w:left="5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Euro Interbank Offer Rate (“Euribor” or “E”), Sterling Overnight Index Average (“SONIA” or “S”), Secured Overnight Financing Rate (“SOFR”) which may also contain a credit spread adjustment depending on the tenor election,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2026.</w:t>
      </w:r>
    </w:p>
    <w:p>
      <w:pPr>
        <w:spacing w:after="0" w:line="2"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23.3% of total assets as of September 30, 2026.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3" w:name="page14"/>
    <w:bookmarkEnd w:id="13"/>
    <w:p>
      <w:pPr>
        <w:ind w:left="520" w:hanging="512"/>
        <w:spacing w:after="0" w:line="255"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2" w:lineRule="exact"/>
        <w:rPr>
          <w:rFonts w:ascii="Times New Roman" w:cs="Times New Roman" w:eastAsia="Times New Roman" w:hAnsi="Times New Roman"/>
          <w:sz w:val="18"/>
          <w:szCs w:val="18"/>
          <w:color w:val="auto"/>
        </w:rPr>
      </w:pPr>
    </w:p>
    <w:p>
      <w:pPr>
        <w:ind w:left="520" w:right="200" w:hanging="512"/>
        <w:spacing w:after="0" w:line="255"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an “Affiliated Person” (as defined in the 1940 Act) of this portfolio company, as the Company owns more than 5% of the portfolio company’s outstanding voting securities. Transactions during the nine months ended September 30, 2026 in which the Company was an Affiliated Person of the portfolio company are as follows:</w:t>
      </w: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Non-Controlled, Affiliated Investments during the nine months ended September 30, 2026</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180" w:type="dxa"/>
            <w:vAlign w:val="bottom"/>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w:t>
            </w:r>
          </w:p>
        </w:tc>
        <w:tc>
          <w:tcPr>
            <w:tcW w:w="18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w:t>
            </w:r>
          </w:p>
        </w:tc>
        <w:tc>
          <w:tcPr>
            <w:tcW w:w="100" w:type="dxa"/>
            <w:vAlign w:val="bottom"/>
          </w:tcPr>
          <w:p>
            <w:pPr>
              <w:spacing w:after="0"/>
              <w:rPr>
                <w:sz w:val="12"/>
                <w:szCs w:val="12"/>
                <w:color w:val="auto"/>
              </w:rPr>
            </w:pPr>
          </w:p>
        </w:tc>
        <w:tc>
          <w:tcPr>
            <w:tcW w:w="6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w:t>
            </w:r>
          </w:p>
        </w:tc>
        <w:tc>
          <w:tcPr>
            <w:tcW w:w="1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83"/>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4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18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1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 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t</w:t>
            </w:r>
          </w:p>
        </w:tc>
        <w:tc>
          <w:tcPr>
            <w:tcW w:w="180" w:type="dxa"/>
            <w:vAlign w:val="bottom"/>
          </w:tcPr>
          <w:p>
            <w:pPr>
              <w:spacing w:after="0"/>
              <w:rPr>
                <w:sz w:val="12"/>
                <w:szCs w:val="12"/>
                <w:color w:val="auto"/>
              </w:rPr>
            </w:pPr>
          </w:p>
        </w:tc>
        <w:tc>
          <w:tcPr>
            <w:tcW w:w="5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6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Incom</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w:t>
            </w: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1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w:t>
            </w:r>
          </w:p>
        </w:tc>
        <w:tc>
          <w:tcPr>
            <w:tcW w:w="840" w:type="dxa"/>
            <w:vAlign w:val="bottom"/>
            <w:gridSpan w:val="2"/>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4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Structured Credit Partners JV,</w:t>
            </w: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75,641</w:t>
            </w:r>
          </w:p>
        </w:tc>
        <w:tc>
          <w:tcPr>
            <w:tcW w:w="340" w:type="dxa"/>
            <w:vAlign w:val="bottom"/>
            <w:gridSpan w:val="2"/>
            <w:vMerge w:val="restart"/>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vMerge w:val="restart"/>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280" w:type="dxa"/>
            <w:vAlign w:val="bottom"/>
            <w:gridSpan w:val="2"/>
            <w:vMerge w:val="restart"/>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vMerge w:val="restart"/>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vMerge w:val="restart"/>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rPr>
              <w:t>$ 79,990</w:t>
            </w:r>
          </w:p>
        </w:tc>
        <w:tc>
          <w:tcPr>
            <w:tcW w:w="320" w:type="dxa"/>
            <w:vAlign w:val="bottom"/>
            <w:gridSpan w:val="2"/>
            <w:vMerge w:val="restart"/>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gridSpan w:val="2"/>
            <w:vMerge w:val="restart"/>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$ 5,173</w:t>
            </w:r>
          </w:p>
        </w:tc>
        <w:tc>
          <w:tcPr>
            <w:tcW w:w="300" w:type="dxa"/>
            <w:vAlign w:val="bottom"/>
            <w:gridSpan w:val="2"/>
            <w:vMerge w:val="restart"/>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LLC</w:t>
            </w:r>
          </w:p>
        </w:tc>
        <w:tc>
          <w:tcPr>
            <w:tcW w:w="140" w:type="dxa"/>
            <w:vAlign w:val="bottom"/>
            <w:gridSpan w:val="2"/>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320" w:type="dxa"/>
            <w:vAlign w:val="bottom"/>
            <w:gridSpan w:val="2"/>
            <w:vMerge w:val="continue"/>
            <w:shd w:val="clear" w:color="auto" w:fill="CFF0FC"/>
          </w:tcPr>
          <w:p>
            <w:pPr>
              <w:spacing w:after="0"/>
              <w:rPr>
                <w:sz w:val="19"/>
                <w:szCs w:val="19"/>
                <w:color w:val="auto"/>
              </w:rPr>
            </w:pPr>
          </w:p>
        </w:tc>
        <w:tc>
          <w:tcPr>
            <w:tcW w:w="660" w:type="dxa"/>
            <w:vAlign w:val="bottom"/>
            <w:vMerge w:val="continue"/>
            <w:shd w:val="clear" w:color="auto" w:fill="CFF0FC"/>
          </w:tcPr>
          <w:p>
            <w:pPr>
              <w:spacing w:after="0"/>
              <w:rPr>
                <w:sz w:val="19"/>
                <w:szCs w:val="19"/>
                <w:color w:val="auto"/>
              </w:rPr>
            </w:pPr>
          </w:p>
        </w:tc>
        <w:tc>
          <w:tcPr>
            <w:tcW w:w="340" w:type="dxa"/>
            <w:vAlign w:val="bottom"/>
            <w:gridSpan w:val="2"/>
            <w:vMerge w:val="continue"/>
            <w:shd w:val="clear" w:color="auto" w:fill="CFF0FC"/>
          </w:tcPr>
          <w:p>
            <w:pPr>
              <w:spacing w:after="0"/>
              <w:rPr>
                <w:sz w:val="19"/>
                <w:szCs w:val="19"/>
                <w:color w:val="auto"/>
              </w:rPr>
            </w:pPr>
          </w:p>
        </w:tc>
        <w:tc>
          <w:tcPr>
            <w:tcW w:w="740" w:type="dxa"/>
            <w:vAlign w:val="bottom"/>
            <w:vMerge w:val="continue"/>
            <w:shd w:val="clear" w:color="auto" w:fill="CFF0FC"/>
          </w:tcPr>
          <w:p>
            <w:pPr>
              <w:spacing w:after="0"/>
              <w:rPr>
                <w:sz w:val="19"/>
                <w:szCs w:val="19"/>
                <w:color w:val="auto"/>
              </w:rPr>
            </w:pPr>
          </w:p>
        </w:tc>
        <w:tc>
          <w:tcPr>
            <w:tcW w:w="440" w:type="dxa"/>
            <w:vAlign w:val="bottom"/>
            <w:gridSpan w:val="2"/>
            <w:vMerge w:val="continue"/>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280" w:type="dxa"/>
            <w:vAlign w:val="bottom"/>
            <w:gridSpan w:val="2"/>
            <w:vMerge w:val="continue"/>
            <w:shd w:val="clear" w:color="auto" w:fill="CFF0FC"/>
          </w:tcPr>
          <w:p>
            <w:pPr>
              <w:spacing w:after="0"/>
              <w:rPr>
                <w:sz w:val="19"/>
                <w:szCs w:val="19"/>
                <w:color w:val="auto"/>
              </w:rPr>
            </w:pPr>
          </w:p>
        </w:tc>
        <w:tc>
          <w:tcPr>
            <w:tcW w:w="640" w:type="dxa"/>
            <w:vAlign w:val="bottom"/>
            <w:vMerge w:val="continue"/>
            <w:shd w:val="clear" w:color="auto" w:fill="CFF0FC"/>
          </w:tcPr>
          <w:p>
            <w:pPr>
              <w:spacing w:after="0"/>
              <w:rPr>
                <w:sz w:val="19"/>
                <w:szCs w:val="19"/>
                <w:color w:val="auto"/>
              </w:rPr>
            </w:pPr>
          </w:p>
        </w:tc>
        <w:tc>
          <w:tcPr>
            <w:tcW w:w="340" w:type="dxa"/>
            <w:vAlign w:val="bottom"/>
            <w:gridSpan w:val="2"/>
            <w:vMerge w:val="continue"/>
            <w:shd w:val="clear" w:color="auto" w:fill="CFF0FC"/>
          </w:tcPr>
          <w:p>
            <w:pPr>
              <w:spacing w:after="0"/>
              <w:rPr>
                <w:sz w:val="19"/>
                <w:szCs w:val="19"/>
                <w:color w:val="auto"/>
              </w:rPr>
            </w:pPr>
          </w:p>
        </w:tc>
        <w:tc>
          <w:tcPr>
            <w:tcW w:w="420" w:type="dxa"/>
            <w:vAlign w:val="bottom"/>
            <w:vMerge w:val="continue"/>
            <w:shd w:val="clear" w:color="auto" w:fill="CFF0FC"/>
          </w:tcPr>
          <w:p>
            <w:pPr>
              <w:spacing w:after="0"/>
              <w:rPr>
                <w:sz w:val="19"/>
                <w:szCs w:val="19"/>
                <w:color w:val="auto"/>
              </w:rPr>
            </w:pPr>
          </w:p>
        </w:tc>
        <w:tc>
          <w:tcPr>
            <w:tcW w:w="840" w:type="dxa"/>
            <w:vAlign w:val="bottom"/>
            <w:gridSpan w:val="2"/>
            <w:vMerge w:val="continue"/>
            <w:shd w:val="clear" w:color="auto" w:fill="CFF0FC"/>
          </w:tcPr>
          <w:p>
            <w:pPr>
              <w:spacing w:after="0"/>
              <w:rPr>
                <w:sz w:val="19"/>
                <w:szCs w:val="19"/>
                <w:color w:val="auto"/>
              </w:rPr>
            </w:pPr>
          </w:p>
        </w:tc>
        <w:tc>
          <w:tcPr>
            <w:tcW w:w="320" w:type="dxa"/>
            <w:vAlign w:val="bottom"/>
            <w:gridSpan w:val="2"/>
            <w:vMerge w:val="continue"/>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740" w:type="dxa"/>
            <w:vAlign w:val="bottom"/>
            <w:gridSpan w:val="2"/>
            <w:vMerge w:val="continue"/>
            <w:shd w:val="clear" w:color="auto" w:fill="CFF0FC"/>
          </w:tcPr>
          <w:p>
            <w:pPr>
              <w:spacing w:after="0"/>
              <w:rPr>
                <w:sz w:val="19"/>
                <w:szCs w:val="19"/>
                <w:color w:val="auto"/>
              </w:rPr>
            </w:pPr>
          </w:p>
        </w:tc>
        <w:tc>
          <w:tcPr>
            <w:tcW w:w="300" w:type="dxa"/>
            <w:vAlign w:val="bottom"/>
            <w:gridSpan w:val="2"/>
            <w:vMerge w:val="continue"/>
            <w:shd w:val="clear" w:color="auto" w:fill="CFF0FC"/>
          </w:tcPr>
          <w:p>
            <w:pPr>
              <w:spacing w:after="0"/>
              <w:rPr>
                <w:sz w:val="19"/>
                <w:szCs w:val="19"/>
                <w:color w:val="auto"/>
              </w:rPr>
            </w:pPr>
          </w:p>
        </w:tc>
        <w:tc>
          <w:tcPr>
            <w:tcW w:w="4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75,641</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4,349</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4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b w:val="1"/>
                <w:bCs w:val="1"/>
                <w:color w:val="auto"/>
              </w:rPr>
              <w:t>$ 79,990</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$ 5,173</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-170815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-170815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-170815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-170815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-170815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-170815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020" w:right="40" w:hanging="503"/>
        <w:spacing w:after="0" w:line="261"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20" w:right="160" w:hanging="503"/>
        <w:spacing w:after="0" w:line="255"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85" w:lineRule="exact"/>
        <w:rPr>
          <w:rFonts w:ascii="Times New Roman" w:cs="Times New Roman" w:eastAsia="Times New Roman" w:hAnsi="Times New Roman"/>
          <w:sz w:val="18"/>
          <w:szCs w:val="18"/>
          <w:color w:val="auto"/>
        </w:rPr>
      </w:pPr>
    </w:p>
    <w:p>
      <w:pPr>
        <w:ind w:left="520" w:right="40" w:hanging="512"/>
        <w:spacing w:after="0" w:line="261"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2026 in which the issuer was an Affiliated Person of and was deemed to Control a portfolio company are as follows: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Affiliated Investments during the nine months ended September 30, 2026</w:t>
      </w:r>
    </w:p>
    <w:p>
      <w:pPr>
        <w:sectPr>
          <w:pgSz w:w="11900" w:h="16838" w:orient="portrait"/>
          <w:cols w:equalWidth="0" w:num="1">
            <w:col w:w="11200"/>
          </w:cols>
          <w:pgMar w:left="320" w:top="98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9420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IRGSE Holding Corp.</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Weave Parent, LLC and its subsidiary Neuintel, LLC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74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Net Change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180" w:type="dxa"/>
            <w:vAlign w:val="bottom"/>
          </w:tcPr>
          <w:p>
            <w:pPr>
              <w:spacing w:after="0"/>
              <w:rPr>
                <w:sz w:val="12"/>
                <w:szCs w:val="12"/>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7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8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6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Incom</w:t>
            </w:r>
          </w:p>
        </w:tc>
        <w:tc>
          <w:tcPr>
            <w:tcW w:w="1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7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8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Gain/(Loss)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e</w:t>
            </w:r>
          </w:p>
        </w:tc>
        <w:tc>
          <w:tcPr>
            <w:tcW w:w="18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1"/>
        </w:trPr>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58,372</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(9,847)</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55,794</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7"/>
        </w:trPr>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6,25</w:t>
            </w:r>
          </w:p>
        </w:tc>
        <w:tc>
          <w:tcPr>
            <w:tcW w:w="0" w:type="dxa"/>
            <w:vAlign w:val="bottom"/>
          </w:tcPr>
          <w:p>
            <w:pPr>
              <w:spacing w:after="0"/>
              <w:rPr>
                <w:sz w:val="1"/>
                <w:szCs w:val="1"/>
                <w:color w:val="auto"/>
              </w:rPr>
            </w:pPr>
          </w:p>
        </w:tc>
      </w:tr>
      <w:tr>
        <w:trPr>
          <w:trHeight w:val="23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58,372</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57,528</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(9,814)</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106,086</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-847725</wp:posOffset>
            </wp:positionV>
            <wp:extent cx="7132320" cy="2743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-299720</wp:posOffset>
            </wp:positionV>
            <wp:extent cx="7132320" cy="3003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2740" w:space="320"/>
            <w:col w:w="8140"/>
          </w:cols>
          <w:pgMar w:left="320" w:top="985" w:right="379" w:bottom="1440" w:gutter="0" w:footer="0" w:header="0"/>
          <w:type w:val="continuous"/>
        </w:sectPr>
      </w:pPr>
    </w:p>
    <w:p>
      <w:pPr>
        <w:ind w:left="1020" w:right="40" w:hanging="503"/>
        <w:spacing w:after="0" w:line="261"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20" w:right="160" w:hanging="503"/>
        <w:spacing w:after="0" w:line="255"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85" w:lineRule="exact"/>
        <w:rPr>
          <w:rFonts w:ascii="Times New Roman" w:cs="Times New Roman" w:eastAsia="Times New Roman" w:hAnsi="Times New Roman"/>
          <w:sz w:val="18"/>
          <w:szCs w:val="18"/>
          <w:color w:val="auto"/>
        </w:rPr>
      </w:pPr>
    </w:p>
    <w:p>
      <w:pPr>
        <w:ind w:left="520" w:right="600" w:hanging="512"/>
        <w:spacing w:after="0" w:line="261"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the estimated cost basis of investments for U.S. federal tax purposes was $3,418,558 resulting in estimated gross unrealized gains and losses of $193,711 and $234,062, respectively.</w:t>
      </w:r>
    </w:p>
    <w:p>
      <w:pPr>
        <w:ind w:left="520" w:right="20" w:hanging="512"/>
        <w:spacing w:after="0" w:line="25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14" w:name="page15"/>
    <w:bookmarkEnd w:id="14"/>
    <w:p>
      <w:pPr>
        <w:ind w:left="512" w:right="40" w:hanging="512"/>
        <w:spacing w:after="0" w:line="257" w:lineRule="auto"/>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as amended (the “Securities Act”), and may be deemed to be “restricted securities” under the Securities Act. As of September 30, 2026, the aggregate fair value of these securities is $125,269, or 8.1% of the Company’s net assets.</w:t>
      </w:r>
    </w:p>
    <w:p>
      <w:pPr>
        <w:spacing w:after="0" w:line="1"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on non-accrual status as of September 30, 2026.</w:t>
      </w:r>
    </w:p>
    <w:p>
      <w:pPr>
        <w:spacing w:after="0" w:line="9" w:lineRule="exact"/>
        <w:rPr>
          <w:rFonts w:ascii="Times New Roman" w:cs="Times New Roman" w:eastAsia="Times New Roman" w:hAnsi="Times New Roman"/>
          <w:sz w:val="18"/>
          <w:szCs w:val="18"/>
          <w:color w:val="auto"/>
        </w:rPr>
      </w:pPr>
    </w:p>
    <w:p>
      <w:pPr>
        <w:ind w:left="512" w:right="80" w:hanging="512"/>
        <w:spacing w:after="0" w:line="250" w:lineRule="auto"/>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ind w:left="512" w:right="80" w:hanging="512"/>
        <w:spacing w:after="0" w:line="250" w:lineRule="auto"/>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ind w:left="512" w:hanging="512"/>
        <w:spacing w:after="0"/>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investments may occur through a holding company or partnership.</w:t>
      </w:r>
    </w:p>
    <w:p>
      <w:pPr>
        <w:spacing w:after="0" w:line="9" w:lineRule="exact"/>
        <w:rPr>
          <w:rFonts w:ascii="Times New Roman" w:cs="Times New Roman" w:eastAsia="Times New Roman" w:hAnsi="Times New Roman"/>
          <w:sz w:val="18"/>
          <w:szCs w:val="18"/>
          <w:color w:val="auto"/>
        </w:rPr>
      </w:pPr>
    </w:p>
    <w:p>
      <w:pPr>
        <w:ind w:left="512" w:hanging="512"/>
        <w:spacing w:after="0" w:line="253" w:lineRule="auto"/>
        <w:tabs>
          <w:tab w:leader="none" w:pos="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principal amount outstanding and accrued interest owed on this investment, the Company is entitled to a separate Make-Whole Amount (the “Make-Whole”) of $17.6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473075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5" w:right="359" w:bottom="1440" w:gutter="0" w:footer="0" w:header="0"/>
        </w:sectPr>
      </w:pPr>
    </w:p>
    <w:bookmarkStart w:id="15" w:name="page16"/>
    <w:bookmarkEnd w:id="15"/>
    <w:p>
      <w:pPr>
        <w:jc w:val="center"/>
        <w:ind w:left="2100" w:right="2099"/>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Sixth Street Specialty Lending, Inc. Consolidated Schedule of Investments as of December 31, 2025 (Amounts in thousands, except share amounts) </w:t>
      </w: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594995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81"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52"/>
        </w:trPr>
        <w:tc>
          <w:tcPr>
            <w:tcW w:w="2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4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Reference</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Amortize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8"/>
                <w:szCs w:val="18"/>
                <w:b w:val="1"/>
                <w:bCs w:val="1"/>
                <w:color w:val="auto"/>
                <w:vertAlign w:val="superscript"/>
              </w:rPr>
              <w:t>(1)</w:t>
            </w:r>
          </w:p>
        </w:tc>
        <w:tc>
          <w:tcPr>
            <w:tcW w:w="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40" w:type="dxa"/>
            <w:vAlign w:val="bottom"/>
          </w:tcPr>
          <w:p>
            <w:pPr>
              <w:spacing w:after="0"/>
              <w:rPr>
                <w:sz w:val="12"/>
                <w:szCs w:val="12"/>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Rate and</w:t>
            </w: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Pr>
          <w:p>
            <w:pPr>
              <w:spacing w:after="0"/>
              <w:rPr>
                <w:sz w:val="12"/>
                <w:szCs w:val="12"/>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76"/>
        </w:trPr>
        <w:tc>
          <w:tcPr>
            <w:tcW w:w="2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4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Spread</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Cost</w:t>
            </w:r>
            <w:r>
              <w:rPr>
                <w:rFonts w:ascii="Times New Roman" w:cs="Times New Roman" w:eastAsia="Times New Roman" w:hAnsi="Times New Roman"/>
                <w:sz w:val="8"/>
                <w:szCs w:val="8"/>
                <w:b w:val="1"/>
                <w:bCs w:val="1"/>
                <w:color w:val="auto"/>
              </w:rPr>
              <w:t xml:space="preserve"> (2)(7)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93"/>
              <w:spacing w:after="0" w:line="176" w:lineRule="exact"/>
              <w:rPr>
                <w:sz w:val="20"/>
                <w:szCs w:val="20"/>
                <w:color w:val="auto"/>
              </w:rPr>
            </w:pPr>
            <w:r>
              <w:rPr>
                <w:rFonts w:ascii="Times New Roman" w:cs="Times New Roman" w:eastAsia="Times New Roman" w:hAnsi="Times New Roman"/>
                <w:sz w:val="13"/>
                <w:szCs w:val="13"/>
                <w:b w:val="1"/>
                <w:bCs w:val="1"/>
                <w:color w:val="auto"/>
                <w:w w:val="96"/>
              </w:rPr>
              <w:t xml:space="preserve">Value </w:t>
            </w:r>
            <w:r>
              <w:rPr>
                <w:rFonts w:ascii="Times New Roman" w:cs="Times New Roman" w:eastAsia="Times New Roman" w:hAnsi="Times New Roman"/>
                <w:sz w:val="18"/>
                <w:szCs w:val="18"/>
                <w:b w:val="1"/>
                <w:bCs w:val="1"/>
                <w:color w:val="auto"/>
                <w:w w:val="96"/>
                <w:vertAlign w:val="superscript"/>
              </w:rPr>
              <w:t>(8)</w:t>
            </w:r>
          </w:p>
        </w:tc>
        <w:tc>
          <w:tcPr>
            <w:tcW w:w="16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of Net Assets</w:t>
            </w:r>
          </w:p>
        </w:tc>
        <w:tc>
          <w:tcPr>
            <w:tcW w:w="0" w:type="dxa"/>
            <w:vAlign w:val="bottom"/>
          </w:tcPr>
          <w:p>
            <w:pPr>
              <w:spacing w:after="0"/>
              <w:rPr>
                <w:sz w:val="1"/>
                <w:szCs w:val="1"/>
                <w:color w:val="auto"/>
              </w:rPr>
            </w:pPr>
          </w:p>
        </w:tc>
      </w:tr>
      <w:tr>
        <w:trPr>
          <w:trHeight w:val="142"/>
        </w:trPr>
        <w:tc>
          <w:tcPr>
            <w:tcW w:w="27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Debt Investments</w:t>
            </w:r>
          </w:p>
        </w:tc>
        <w:tc>
          <w:tcPr>
            <w:tcW w:w="60" w:type="dxa"/>
            <w:vAlign w:val="bottom"/>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Artisan Bidco, Inc.</w:t>
            </w:r>
            <w:r>
              <w:rPr>
                <w:rFonts w:ascii="Times New Roman" w:cs="Times New Roman" w:eastAsia="Times New Roman" w:hAnsi="Times New Roman"/>
                <w:sz w:val="18"/>
                <w:szCs w:val="18"/>
                <w:color w:val="auto"/>
                <w:vertAlign w:val="superscript"/>
              </w:rPr>
              <w:t>(3)</w:t>
            </w:r>
          </w:p>
        </w:tc>
        <w:tc>
          <w:tcPr>
            <w:tcW w:w="6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($38,438 par, due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11/7/2023</w:t>
            </w:r>
          </w:p>
        </w:tc>
        <w:tc>
          <w:tcPr>
            <w:tcW w:w="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SOFR + 7.00%</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10.94%</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37,903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38,245</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11/2029)</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First-lien loan (EUR 17,380 par, due</w:t>
            </w:r>
          </w:p>
        </w:tc>
        <w:tc>
          <w:tcPr>
            <w:tcW w:w="82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11/7/2023</w:t>
            </w:r>
          </w:p>
        </w:tc>
        <w:tc>
          <w:tcPr>
            <w:tcW w:w="4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E + 7.00%</w:t>
            </w:r>
          </w:p>
        </w:tc>
        <w:tc>
          <w:tcPr>
            <w:tcW w:w="1420" w:type="dxa"/>
            <w:vAlign w:val="bottom"/>
            <w:gridSpan w:val="2"/>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9.03%</w:t>
            </w:r>
          </w:p>
        </w:tc>
        <w:tc>
          <w:tcPr>
            <w:tcW w:w="7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18,414</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20,310</w:t>
            </w:r>
          </w:p>
        </w:tc>
        <w:tc>
          <w:tcPr>
            <w:tcW w:w="120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49"/>
        </w:trPr>
        <w:tc>
          <w:tcPr>
            <w:tcW w:w="2700" w:type="dxa"/>
            <w:vAlign w:val="bottom"/>
            <w:shd w:val="clear" w:color="auto" w:fill="CFF0FC"/>
          </w:tcPr>
          <w:p>
            <w:pPr>
              <w:spacing w:after="0"/>
              <w:rPr>
                <w:sz w:val="12"/>
                <w:szCs w:val="12"/>
                <w:color w:val="auto"/>
              </w:rPr>
            </w:pPr>
          </w:p>
        </w:tc>
        <w:tc>
          <w:tcPr>
            <w:tcW w:w="22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11/2029)</w:t>
            </w: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17,293)</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First-lien revolving loan ($4,287 par,</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11/7/2023</w:t>
            </w:r>
          </w:p>
        </w:tc>
        <w:tc>
          <w:tcPr>
            <w:tcW w:w="40" w:type="dxa"/>
            <w:vAlign w:val="bottom"/>
          </w:tcPr>
          <w:p>
            <w:pPr>
              <w:spacing w:after="0"/>
              <w:rPr>
                <w:sz w:val="11"/>
                <w:szCs w:val="11"/>
                <w:color w:val="auto"/>
              </w:rPr>
            </w:pPr>
          </w:p>
        </w:tc>
        <w:tc>
          <w:tcPr>
            <w:tcW w:w="110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SOFR + 7.00%</w:t>
            </w:r>
          </w:p>
        </w:tc>
        <w:tc>
          <w:tcPr>
            <w:tcW w:w="14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10.95%</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4,214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4,259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Azurite Intermediate Holdings, Inc. </w:t>
            </w:r>
            <w:r>
              <w:rPr>
                <w:rFonts w:ascii="Times New Roman" w:cs="Times New Roman" w:eastAsia="Times New Roman" w:hAnsi="Times New Roman"/>
                <w:sz w:val="18"/>
                <w:szCs w:val="18"/>
                <w:color w:val="auto"/>
                <w:vertAlign w:val="superscript"/>
              </w:rPr>
              <w:t>(3)</w:t>
            </w:r>
          </w:p>
        </w:tc>
        <w:tc>
          <w:tcPr>
            <w:tcW w:w="6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due 11/2029)</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First-lien loan ($42,750 par, due</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3/19/2024</w:t>
            </w:r>
          </w:p>
        </w:tc>
        <w:tc>
          <w:tcPr>
            <w:tcW w:w="40" w:type="dxa"/>
            <w:vAlign w:val="bottom"/>
          </w:tcPr>
          <w:p>
            <w:pPr>
              <w:spacing w:after="0"/>
              <w:rPr>
                <w:sz w:val="11"/>
                <w:szCs w:val="11"/>
                <w:color w:val="auto"/>
              </w:rPr>
            </w:pPr>
          </w:p>
        </w:tc>
        <w:tc>
          <w:tcPr>
            <w:tcW w:w="110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SOFR + 6.00%</w:t>
            </w:r>
          </w:p>
        </w:tc>
        <w:tc>
          <w:tcPr>
            <w:tcW w:w="14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9.72%</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42,138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42,988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BCTO Ignition Purchaser, Inc. </w:t>
            </w:r>
            <w:r>
              <w:rPr>
                <w:rFonts w:ascii="Times New Roman" w:cs="Times New Roman" w:eastAsia="Times New Roman" w:hAnsi="Times New Roman"/>
                <w:sz w:val="18"/>
                <w:szCs w:val="18"/>
                <w:color w:val="auto"/>
                <w:vertAlign w:val="superscript"/>
              </w:rPr>
              <w:t>(3)</w:t>
            </w: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3/2031)</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First-lien holdco loan ($54,435 par, due</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4/18/2023</w:t>
            </w:r>
          </w:p>
        </w:tc>
        <w:tc>
          <w:tcPr>
            <w:tcW w:w="40" w:type="dxa"/>
            <w:vAlign w:val="bottom"/>
          </w:tcPr>
          <w:p>
            <w:pPr>
              <w:spacing w:after="0"/>
              <w:rPr>
                <w:sz w:val="11"/>
                <w:szCs w:val="11"/>
                <w:color w:val="auto"/>
              </w:rPr>
            </w:pPr>
          </w:p>
        </w:tc>
        <w:tc>
          <w:tcPr>
            <w:tcW w:w="110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SOFR + 7.50%</w:t>
            </w:r>
          </w:p>
        </w:tc>
        <w:tc>
          <w:tcPr>
            <w:tcW w:w="142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11.37% PIK</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53,519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55,388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Crewline Buyer, Inc.</w:t>
            </w:r>
            <w:r>
              <w:rPr>
                <w:rFonts w:ascii="Times New Roman" w:cs="Times New Roman" w:eastAsia="Times New Roman" w:hAnsi="Times New Roman"/>
                <w:sz w:val="18"/>
                <w:szCs w:val="18"/>
                <w:color w:val="auto"/>
                <w:vertAlign w:val="superscript"/>
              </w:rPr>
              <w:t>(3)</w:t>
            </w: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10/2030)</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First-lien loan ($58,384 par, due</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11/8/2023</w:t>
            </w:r>
          </w:p>
        </w:tc>
        <w:tc>
          <w:tcPr>
            <w:tcW w:w="40" w:type="dxa"/>
            <w:vAlign w:val="bottom"/>
          </w:tcPr>
          <w:p>
            <w:pPr>
              <w:spacing w:after="0"/>
              <w:rPr>
                <w:sz w:val="11"/>
                <w:szCs w:val="11"/>
                <w:color w:val="auto"/>
              </w:rPr>
            </w:pPr>
          </w:p>
        </w:tc>
        <w:tc>
          <w:tcPr>
            <w:tcW w:w="110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SOFR + 6.75%</w:t>
            </w:r>
          </w:p>
        </w:tc>
        <w:tc>
          <w:tcPr>
            <w:tcW w:w="14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10.59%</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57,145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58,705</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Dye &amp; Durham Corp. </w:t>
            </w:r>
            <w:r>
              <w:rPr>
                <w:rFonts w:ascii="Times New Roman" w:cs="Times New Roman" w:eastAsia="Times New Roman" w:hAnsi="Times New Roman"/>
                <w:sz w:val="18"/>
                <w:szCs w:val="18"/>
                <w:color w:val="auto"/>
                <w:vertAlign w:val="superscript"/>
              </w:rPr>
              <w:t>(3)(4)(9)</w:t>
            </w: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11/2030)</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First-lien loan ($945 par, due 4/2031)</w:t>
            </w:r>
          </w:p>
        </w:tc>
        <w:tc>
          <w:tcPr>
            <w:tcW w:w="8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4/4/2024</w:t>
            </w:r>
          </w:p>
        </w:tc>
        <w:tc>
          <w:tcPr>
            <w:tcW w:w="40" w:type="dxa"/>
            <w:vAlign w:val="bottom"/>
          </w:tcPr>
          <w:p>
            <w:pPr>
              <w:spacing w:after="0"/>
              <w:rPr>
                <w:sz w:val="10"/>
                <w:szCs w:val="10"/>
                <w:color w:val="auto"/>
              </w:rPr>
            </w:pPr>
          </w:p>
        </w:tc>
        <w:tc>
          <w:tcPr>
            <w:tcW w:w="110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3"/>
                <w:szCs w:val="13"/>
                <w:color w:val="auto"/>
              </w:rPr>
              <w:t>SOFR + 4.35%</w:t>
            </w:r>
          </w:p>
        </w:tc>
        <w:tc>
          <w:tcPr>
            <w:tcW w:w="142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3"/>
                <w:szCs w:val="13"/>
                <w:color w:val="auto"/>
              </w:rPr>
              <w:t>8.02%</w:t>
            </w: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933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869</w:t>
            </w:r>
          </w:p>
        </w:tc>
        <w:tc>
          <w:tcPr>
            <w:tcW w:w="120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2"/>
        </w:trPr>
        <w:tc>
          <w:tcPr>
            <w:tcW w:w="270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Elements Finco Limited </w:t>
            </w:r>
            <w:r>
              <w:rPr>
                <w:rFonts w:ascii="Times New Roman" w:cs="Times New Roman" w:eastAsia="Times New Roman" w:hAnsi="Times New Roman"/>
                <w:sz w:val="18"/>
                <w:szCs w:val="18"/>
                <w:color w:val="auto"/>
                <w:vertAlign w:val="superscript"/>
              </w:rPr>
              <w:t>(3)(4)</w:t>
            </w:r>
          </w:p>
        </w:tc>
        <w:tc>
          <w:tcPr>
            <w:tcW w:w="6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($2,270 par, due 4/2031)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4/29/2024</w:t>
            </w:r>
          </w:p>
        </w:tc>
        <w:tc>
          <w:tcPr>
            <w:tcW w:w="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SOFR + 5.25%</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8.97% (incl. 2.25 %</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2,293</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PIK)</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($1,848 par, due 4/2031)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4/29/2024</w:t>
            </w:r>
          </w:p>
        </w:tc>
        <w:tc>
          <w:tcPr>
            <w:tcW w:w="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SOFR + 5.00%</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8.72%</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1,858</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First-lien loan (GBP 10,529 par, due</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4/29/2024</w:t>
            </w:r>
          </w:p>
        </w:tc>
        <w:tc>
          <w:tcPr>
            <w:tcW w:w="40" w:type="dxa"/>
            <w:vAlign w:val="bottom"/>
          </w:tcPr>
          <w:p>
            <w:pPr>
              <w:spacing w:after="0"/>
              <w:rPr>
                <w:sz w:val="11"/>
                <w:szCs w:val="11"/>
                <w:color w:val="auto"/>
              </w:rPr>
            </w:pPr>
          </w:p>
        </w:tc>
        <w:tc>
          <w:tcPr>
            <w:tcW w:w="110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S + 5.50%</w:t>
            </w:r>
          </w:p>
        </w:tc>
        <w:tc>
          <w:tcPr>
            <w:tcW w:w="142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9.23% (incl. 2.50%</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13,101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14,338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4/2031)</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PIK)</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ExtraHop Networks, Inc. </w:t>
            </w:r>
            <w:r>
              <w:rPr>
                <w:rFonts w:ascii="Times New Roman" w:cs="Times New Roman" w:eastAsia="Times New Roman" w:hAnsi="Times New Roman"/>
                <w:sz w:val="18"/>
                <w:szCs w:val="18"/>
                <w:color w:val="auto"/>
                <w:vertAlign w:val="superscript"/>
              </w:rPr>
              <w:t>(3)(5)</w:t>
            </w: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10,660)</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First-lien loan ($76,301 par, due</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7/22/2021</w:t>
            </w:r>
          </w:p>
        </w:tc>
        <w:tc>
          <w:tcPr>
            <w:tcW w:w="40" w:type="dxa"/>
            <w:vAlign w:val="bottom"/>
          </w:tcPr>
          <w:p>
            <w:pPr>
              <w:spacing w:after="0"/>
              <w:rPr>
                <w:sz w:val="11"/>
                <w:szCs w:val="11"/>
                <w:color w:val="auto"/>
              </w:rPr>
            </w:pPr>
          </w:p>
        </w:tc>
        <w:tc>
          <w:tcPr>
            <w:tcW w:w="110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SOFR + 6.60%</w:t>
            </w:r>
          </w:p>
        </w:tc>
        <w:tc>
          <w:tcPr>
            <w:tcW w:w="14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10.32%</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75,851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76,492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7/2027)</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First-lien revolving loan ($669 par, due</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7/22/2021</w:t>
            </w:r>
          </w:p>
        </w:tc>
        <w:tc>
          <w:tcPr>
            <w:tcW w:w="40" w:type="dxa"/>
            <w:vAlign w:val="bottom"/>
          </w:tcPr>
          <w:p>
            <w:pPr>
              <w:spacing w:after="0"/>
              <w:rPr>
                <w:sz w:val="11"/>
                <w:szCs w:val="11"/>
                <w:color w:val="auto"/>
              </w:rPr>
            </w:pPr>
          </w:p>
        </w:tc>
        <w:tc>
          <w:tcPr>
            <w:tcW w:w="110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SOFR + 6.60%</w:t>
            </w:r>
          </w:p>
        </w:tc>
        <w:tc>
          <w:tcPr>
            <w:tcW w:w="14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10.33%</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657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672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Galileo Parent, Inc. </w:t>
            </w:r>
            <w:r>
              <w:rPr>
                <w:rFonts w:ascii="Times New Roman" w:cs="Times New Roman" w:eastAsia="Times New Roman" w:hAnsi="Times New Roman"/>
                <w:sz w:val="18"/>
                <w:szCs w:val="18"/>
                <w:color w:val="auto"/>
                <w:vertAlign w:val="superscript"/>
              </w:rPr>
              <w:t>(3)</w:t>
            </w: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7/2027)</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First-lien loan ($63,444 par, due</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5/3/2023</w:t>
            </w:r>
          </w:p>
        </w:tc>
        <w:tc>
          <w:tcPr>
            <w:tcW w:w="40" w:type="dxa"/>
            <w:vAlign w:val="bottom"/>
          </w:tcPr>
          <w:p>
            <w:pPr>
              <w:spacing w:after="0"/>
              <w:rPr>
                <w:sz w:val="11"/>
                <w:szCs w:val="11"/>
                <w:color w:val="auto"/>
              </w:rPr>
            </w:pPr>
          </w:p>
        </w:tc>
        <w:tc>
          <w:tcPr>
            <w:tcW w:w="110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SOFR + 5.75%</w:t>
            </w:r>
          </w:p>
        </w:tc>
        <w:tc>
          <w:tcPr>
            <w:tcW w:w="14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9.42%</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62,098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64,078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5/2030)</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First-lien revolving loan ($6,635 par,</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5/3/2023</w:t>
            </w:r>
          </w:p>
        </w:tc>
        <w:tc>
          <w:tcPr>
            <w:tcW w:w="40" w:type="dxa"/>
            <w:vAlign w:val="bottom"/>
          </w:tcPr>
          <w:p>
            <w:pPr>
              <w:spacing w:after="0"/>
              <w:rPr>
                <w:sz w:val="11"/>
                <w:szCs w:val="11"/>
                <w:color w:val="auto"/>
              </w:rPr>
            </w:pPr>
          </w:p>
        </w:tc>
        <w:tc>
          <w:tcPr>
            <w:tcW w:w="110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SOFR + 5.75%</w:t>
            </w:r>
          </w:p>
        </w:tc>
        <w:tc>
          <w:tcPr>
            <w:tcW w:w="14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9.42%</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6,466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6,736</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Lynx BidCo </w:t>
            </w:r>
            <w:r>
              <w:rPr>
                <w:rFonts w:ascii="Times New Roman" w:cs="Times New Roman" w:eastAsia="Times New Roman" w:hAnsi="Times New Roman"/>
                <w:sz w:val="18"/>
                <w:szCs w:val="18"/>
                <w:color w:val="auto"/>
                <w:vertAlign w:val="superscript"/>
              </w:rPr>
              <w:t>(3)(4)</w:t>
            </w:r>
          </w:p>
        </w:tc>
        <w:tc>
          <w:tcPr>
            <w:tcW w:w="6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due 5/2030)</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($1,523 par, due 7/2031)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7/5/2024</w:t>
            </w:r>
          </w:p>
        </w:tc>
        <w:tc>
          <w:tcPr>
            <w:tcW w:w="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SOFR + 6.50%</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10.17%</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1,467</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First-lien loan (EUR 23,956 par, due</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7/5/2024</w:t>
            </w:r>
          </w:p>
        </w:tc>
        <w:tc>
          <w:tcPr>
            <w:tcW w:w="40" w:type="dxa"/>
            <w:vAlign w:val="bottom"/>
          </w:tcPr>
          <w:p>
            <w:pPr>
              <w:spacing w:after="0"/>
              <w:rPr>
                <w:sz w:val="11"/>
                <w:szCs w:val="11"/>
                <w:color w:val="auto"/>
              </w:rPr>
            </w:pPr>
          </w:p>
        </w:tc>
        <w:tc>
          <w:tcPr>
            <w:tcW w:w="110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E + 6.50%</w:t>
            </w:r>
          </w:p>
        </w:tc>
        <w:tc>
          <w:tcPr>
            <w:tcW w:w="14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8.52%</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27,370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27,875</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7/2031)</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Mitnick Corporate Purchaser, Inc. </w:t>
            </w:r>
            <w:r>
              <w:rPr>
                <w:rFonts w:ascii="Times New Roman" w:cs="Times New Roman" w:eastAsia="Times New Roman" w:hAnsi="Times New Roman"/>
                <w:sz w:val="18"/>
                <w:szCs w:val="18"/>
                <w:color w:val="auto"/>
                <w:vertAlign w:val="superscript"/>
              </w:rPr>
              <w:t>(3)(9)</w:t>
            </w: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23,735)</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20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First-lien loan ($323 par, due 5/2029)</w:t>
            </w:r>
          </w:p>
        </w:tc>
        <w:tc>
          <w:tcPr>
            <w:tcW w:w="8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5/2/2022</w:t>
            </w:r>
          </w:p>
        </w:tc>
        <w:tc>
          <w:tcPr>
            <w:tcW w:w="40" w:type="dxa"/>
            <w:vAlign w:val="bottom"/>
          </w:tcPr>
          <w:p>
            <w:pPr>
              <w:spacing w:after="0"/>
              <w:rPr>
                <w:sz w:val="10"/>
                <w:szCs w:val="10"/>
                <w:color w:val="auto"/>
              </w:rPr>
            </w:pPr>
          </w:p>
        </w:tc>
        <w:tc>
          <w:tcPr>
            <w:tcW w:w="110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3"/>
                <w:szCs w:val="13"/>
                <w:color w:val="auto"/>
              </w:rPr>
              <w:t>SOFR + 4.85%</w:t>
            </w:r>
          </w:p>
        </w:tc>
        <w:tc>
          <w:tcPr>
            <w:tcW w:w="142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3"/>
                <w:szCs w:val="13"/>
                <w:color w:val="auto"/>
              </w:rPr>
              <w:t>8.69%</w:t>
            </w: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323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206</w:t>
            </w:r>
          </w:p>
        </w:tc>
        <w:tc>
          <w:tcPr>
            <w:tcW w:w="120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72"/>
        </w:trPr>
        <w:tc>
          <w:tcPr>
            <w:tcW w:w="270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Price Fx Inc. </w:t>
            </w:r>
            <w:r>
              <w:rPr>
                <w:rFonts w:ascii="Times New Roman" w:cs="Times New Roman" w:eastAsia="Times New Roman" w:hAnsi="Times New Roman"/>
                <w:sz w:val="18"/>
                <w:szCs w:val="18"/>
                <w:color w:val="auto"/>
                <w:vertAlign w:val="superscript"/>
              </w:rPr>
              <w:t>(3)(4)</w:t>
            </w:r>
          </w:p>
        </w:tc>
        <w:tc>
          <w:tcPr>
            <w:tcW w:w="6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(EUR 910 par, due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10/27/2023</w:t>
            </w:r>
          </w:p>
        </w:tc>
        <w:tc>
          <w:tcPr>
            <w:tcW w:w="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E + 7.00%</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9.08%</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10/2029)</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926)</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First-lien loan (EUR 910 par, due</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12/19/2024</w:t>
            </w:r>
          </w:p>
        </w:tc>
        <w:tc>
          <w:tcPr>
            <w:tcW w:w="40" w:type="dxa"/>
            <w:vAlign w:val="bottom"/>
          </w:tcPr>
          <w:p>
            <w:pPr>
              <w:spacing w:after="0"/>
              <w:rPr>
                <w:sz w:val="11"/>
                <w:szCs w:val="11"/>
                <w:color w:val="auto"/>
              </w:rPr>
            </w:pPr>
          </w:p>
        </w:tc>
        <w:tc>
          <w:tcPr>
            <w:tcW w:w="110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E + 6.25%</w:t>
            </w:r>
          </w:p>
        </w:tc>
        <w:tc>
          <w:tcPr>
            <w:tcW w:w="14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8.33%</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926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1,079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USA DeBusk, LLC </w:t>
            </w:r>
            <w:r>
              <w:rPr>
                <w:rFonts w:ascii="Times New Roman" w:cs="Times New Roman" w:eastAsia="Times New Roman" w:hAnsi="Times New Roman"/>
                <w:sz w:val="18"/>
                <w:szCs w:val="18"/>
                <w:color w:val="auto"/>
                <w:vertAlign w:val="superscript"/>
              </w:rPr>
              <w:t>(3)</w:t>
            </w: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10/2029)</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919)</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($8,322 par, due 4/2031)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4/30/2024</w:t>
            </w:r>
          </w:p>
        </w:tc>
        <w:tc>
          <w:tcPr>
            <w:tcW w:w="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SOFR + 5.25%</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8,374</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First-lien revolving loan ($901 par, due</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4/30/2024</w:t>
            </w:r>
          </w:p>
        </w:tc>
        <w:tc>
          <w:tcPr>
            <w:tcW w:w="40" w:type="dxa"/>
            <w:vAlign w:val="bottom"/>
          </w:tcPr>
          <w:p>
            <w:pPr>
              <w:spacing w:after="0"/>
              <w:rPr>
                <w:sz w:val="11"/>
                <w:szCs w:val="11"/>
                <w:color w:val="auto"/>
              </w:rPr>
            </w:pPr>
          </w:p>
        </w:tc>
        <w:tc>
          <w:tcPr>
            <w:tcW w:w="110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SOFR + 5.25%</w:t>
            </w:r>
          </w:p>
        </w:tc>
        <w:tc>
          <w:tcPr>
            <w:tcW w:w="14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9.06%</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888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908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Wrangler TopCo, LLC </w:t>
            </w:r>
            <w:r>
              <w:rPr>
                <w:rFonts w:ascii="Times New Roman" w:cs="Times New Roman" w:eastAsia="Times New Roman" w:hAnsi="Times New Roman"/>
                <w:sz w:val="18"/>
                <w:szCs w:val="18"/>
                <w:color w:val="auto"/>
                <w:vertAlign w:val="superscript"/>
              </w:rPr>
              <w:t>(3)</w:t>
            </w: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4/2030)</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($5,970 par, due 9/2029)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7/7/2023</w:t>
            </w:r>
          </w:p>
        </w:tc>
        <w:tc>
          <w:tcPr>
            <w:tcW w:w="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SOFR + 5.75%</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9.49%</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6,038</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Chemicals</w:t>
            </w:r>
          </w:p>
        </w:tc>
        <w:tc>
          <w:tcPr>
            <w:tcW w:w="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422,516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434,265</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27.0%</w:t>
            </w: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Erling Lux Bidco SARL </w:t>
            </w:r>
            <w:r>
              <w:rPr>
                <w:rFonts w:ascii="Times New Roman" w:cs="Times New Roman" w:eastAsia="Times New Roman" w:hAnsi="Times New Roman"/>
                <w:sz w:val="18"/>
                <w:szCs w:val="18"/>
                <w:color w:val="auto"/>
                <w:vertAlign w:val="superscript"/>
              </w:rPr>
              <w:t>(3)(4)</w:t>
            </w:r>
          </w:p>
        </w:tc>
        <w:tc>
          <w:tcPr>
            <w:tcW w:w="6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(EUR 11,549 par, due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9/6/2022</w:t>
            </w:r>
          </w:p>
        </w:tc>
        <w:tc>
          <w:tcPr>
            <w:tcW w:w="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E + 7.00%</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9.07%</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9/2028)</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11,758)</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First-lien loan (GBP 19,592 par, due</w:t>
            </w:r>
          </w:p>
        </w:tc>
        <w:tc>
          <w:tcPr>
            <w:tcW w:w="82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9/6/2022</w:t>
            </w:r>
          </w:p>
        </w:tc>
        <w:tc>
          <w:tcPr>
            <w:tcW w:w="4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S + 7.00%</w:t>
            </w:r>
          </w:p>
        </w:tc>
        <w:tc>
          <w:tcPr>
            <w:tcW w:w="1420" w:type="dxa"/>
            <w:vAlign w:val="bottom"/>
            <w:gridSpan w:val="2"/>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10.73%</w:t>
            </w:r>
          </w:p>
        </w:tc>
        <w:tc>
          <w:tcPr>
            <w:tcW w:w="7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23,151</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26,681</w:t>
            </w:r>
          </w:p>
        </w:tc>
        <w:tc>
          <w:tcPr>
            <w:tcW w:w="120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48"/>
        </w:trPr>
        <w:tc>
          <w:tcPr>
            <w:tcW w:w="2700" w:type="dxa"/>
            <w:vAlign w:val="bottom"/>
            <w:shd w:val="clear" w:color="auto" w:fill="CFF0FC"/>
          </w:tcPr>
          <w:p>
            <w:pPr>
              <w:spacing w:after="0"/>
              <w:rPr>
                <w:sz w:val="12"/>
                <w:szCs w:val="12"/>
                <w:color w:val="auto"/>
              </w:rPr>
            </w:pPr>
          </w:p>
        </w:tc>
        <w:tc>
          <w:tcPr>
            <w:tcW w:w="22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9/2028)</w:t>
            </w: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w:t>
            </w: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19,836)</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First-lien loan (NOK 7,427 par, due</w:t>
            </w:r>
          </w:p>
        </w:tc>
        <w:tc>
          <w:tcPr>
            <w:tcW w:w="8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9/6/2022</w:t>
            </w:r>
          </w:p>
        </w:tc>
        <w:tc>
          <w:tcPr>
            <w:tcW w:w="40" w:type="dxa"/>
            <w:vAlign w:val="bottom"/>
          </w:tcPr>
          <w:p>
            <w:pPr>
              <w:spacing w:after="0"/>
              <w:rPr>
                <w:sz w:val="11"/>
                <w:szCs w:val="11"/>
                <w:color w:val="auto"/>
              </w:rPr>
            </w:pPr>
          </w:p>
        </w:tc>
        <w:tc>
          <w:tcPr>
            <w:tcW w:w="110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N + 7.00%</w:t>
            </w:r>
          </w:p>
        </w:tc>
        <w:tc>
          <w:tcPr>
            <w:tcW w:w="142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11.23%</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712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745</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9/2028)</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(NOK</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7,520)</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20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First-lien revolving loan (GBP 593 par,</w:t>
            </w:r>
          </w:p>
        </w:tc>
        <w:tc>
          <w:tcPr>
            <w:tcW w:w="82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9/6/2022</w:t>
            </w:r>
          </w:p>
        </w:tc>
        <w:tc>
          <w:tcPr>
            <w:tcW w:w="4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S + 7.00%</w:t>
            </w:r>
          </w:p>
        </w:tc>
        <w:tc>
          <w:tcPr>
            <w:tcW w:w="1420" w:type="dxa"/>
            <w:vAlign w:val="bottom"/>
            <w:gridSpan w:val="2"/>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10.73%</w:t>
            </w:r>
          </w:p>
        </w:tc>
        <w:tc>
          <w:tcPr>
            <w:tcW w:w="7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730</w:t>
            </w:r>
          </w:p>
        </w:tc>
        <w:tc>
          <w:tcPr>
            <w:tcW w:w="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807</w:t>
            </w:r>
          </w:p>
        </w:tc>
        <w:tc>
          <w:tcPr>
            <w:tcW w:w="120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due 9/2028)</w:t>
            </w:r>
          </w:p>
        </w:tc>
        <w:tc>
          <w:tcPr>
            <w:tcW w:w="6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600)</w:t>
            </w:r>
          </w:p>
        </w:tc>
        <w:tc>
          <w:tcPr>
            <w:tcW w:w="16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Communications</w:t>
            </w:r>
          </w:p>
        </w:tc>
        <w:tc>
          <w:tcPr>
            <w:tcW w:w="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36,223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42,042</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Aurelia Netherlands B.V. </w:t>
            </w:r>
            <w:r>
              <w:rPr>
                <w:rFonts w:ascii="Times New Roman" w:cs="Times New Roman" w:eastAsia="Times New Roman" w:hAnsi="Times New Roman"/>
                <w:sz w:val="18"/>
                <w:szCs w:val="18"/>
                <w:color w:val="auto"/>
                <w:vertAlign w:val="superscript"/>
              </w:rPr>
              <w:t>(3)(4)</w:t>
            </w:r>
          </w:p>
        </w:tc>
        <w:tc>
          <w:tcPr>
            <w:tcW w:w="6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(EUR 32,904 par, due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5/22/2024</w:t>
            </w:r>
          </w:p>
        </w:tc>
        <w:tc>
          <w:tcPr>
            <w:tcW w:w="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E + 4.75%</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6.78%</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38,837</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5/2031)</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X Holdings Inc. </w:t>
            </w:r>
            <w:r>
              <w:rPr>
                <w:rFonts w:ascii="Times New Roman" w:cs="Times New Roman" w:eastAsia="Times New Roman" w:hAnsi="Times New Roman"/>
                <w:sz w:val="18"/>
                <w:szCs w:val="18"/>
                <w:color w:val="auto"/>
                <w:vertAlign w:val="superscript"/>
              </w:rPr>
              <w:t>(9)</w:t>
            </w: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33,068)</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20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First-lien loan ($9,338 par, due</w:t>
            </w:r>
          </w:p>
        </w:tc>
        <w:tc>
          <w:tcPr>
            <w:tcW w:w="8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2/5/2025</w:t>
            </w:r>
          </w:p>
        </w:tc>
        <w:tc>
          <w:tcPr>
            <w:tcW w:w="40" w:type="dxa"/>
            <w:vAlign w:val="bottom"/>
          </w:tcPr>
          <w:p>
            <w:pPr>
              <w:spacing w:after="0"/>
              <w:rPr>
                <w:sz w:val="10"/>
                <w:szCs w:val="10"/>
                <w:color w:val="auto"/>
              </w:rPr>
            </w:pPr>
          </w:p>
        </w:tc>
        <w:tc>
          <w:tcPr>
            <w:tcW w:w="11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3"/>
                <w:szCs w:val="13"/>
                <w:color w:val="auto"/>
              </w:rPr>
              <w:t>SOFR +</w:t>
            </w:r>
          </w:p>
        </w:tc>
        <w:tc>
          <w:tcPr>
            <w:tcW w:w="14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3"/>
                <w:szCs w:val="13"/>
                <w:color w:val="auto"/>
              </w:rPr>
              <w:t>10.45%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9,098</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9,164</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226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3"/>
                <w:szCs w:val="13"/>
                <w:color w:val="auto"/>
              </w:rPr>
              <w:t xml:space="preserve">10/2029) </w:t>
            </w:r>
            <w:r>
              <w:rPr>
                <w:rFonts w:ascii="Times New Roman" w:cs="Times New Roman" w:eastAsia="Times New Roman" w:hAnsi="Times New Roman"/>
                <w:sz w:val="18"/>
                <w:szCs w:val="18"/>
                <w:color w:val="auto"/>
                <w:vertAlign w:val="superscript"/>
              </w:rPr>
              <w:t>(3)</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First-lien loan ($988 par, due 10/2029)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4/28/2025</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9.50%</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9.50%</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45,072</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48,985</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2"/>
        </w:trPr>
        <w:tc>
          <w:tcPr>
            <w:tcW w:w="2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b w:val="1"/>
                <w:bCs w:val="1"/>
                <w:color w:val="auto"/>
              </w:rPr>
              <w:t>Education</w:t>
            </w:r>
          </w:p>
        </w:tc>
        <w:tc>
          <w:tcPr>
            <w:tcW w:w="60" w:type="dxa"/>
            <w:vAlign w:val="bottom"/>
            <w:tcBorders>
              <w:top w:val="single" w:sz="8" w:color="CFF0FC"/>
            </w:tcBorders>
          </w:tcPr>
          <w:p>
            <w:pPr>
              <w:spacing w:after="0"/>
              <w:rPr>
                <w:sz w:val="14"/>
                <w:szCs w:val="14"/>
                <w:color w:val="auto"/>
              </w:rPr>
            </w:pPr>
          </w:p>
        </w:tc>
        <w:tc>
          <w:tcPr>
            <w:tcW w:w="220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2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3"/>
        </w:trPr>
        <w:tc>
          <w:tcPr>
            <w:tcW w:w="2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-6857365</wp:posOffset>
            </wp:positionV>
            <wp:extent cx="7132320" cy="946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-6102985</wp:posOffset>
            </wp:positionV>
            <wp:extent cx="7132320" cy="188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-5725795</wp:posOffset>
            </wp:positionV>
            <wp:extent cx="7132320" cy="188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-5434330</wp:posOffset>
            </wp:positionV>
            <wp:extent cx="7132320" cy="188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-5151120</wp:posOffset>
            </wp:positionV>
            <wp:extent cx="7132320" cy="283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-4679950</wp:posOffset>
            </wp:positionV>
            <wp:extent cx="7132320" cy="188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-4302760</wp:posOffset>
            </wp:positionV>
            <wp:extent cx="7132320" cy="1885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-4011295</wp:posOffset>
            </wp:positionV>
            <wp:extent cx="7132320" cy="283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-3625215</wp:posOffset>
            </wp:positionV>
            <wp:extent cx="7132320"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-3248025</wp:posOffset>
            </wp:positionV>
            <wp:extent cx="7132320" cy="1028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-2750820</wp:posOffset>
            </wp:positionV>
            <wp:extent cx="7132320" cy="946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939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974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-2956560</wp:posOffset>
            </wp:positionV>
            <wp:extent cx="7132320" cy="1028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-1619250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-1619250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-1619250</wp:posOffset>
            </wp:positionV>
            <wp:extent cx="85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-736600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-736600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-736600</wp:posOffset>
            </wp:positionV>
            <wp:extent cx="857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Astra Acquisition Corp. </w:t>
            </w:r>
            <w:r>
              <w:rPr>
                <w:rFonts w:ascii="Times New Roman" w:cs="Times New Roman" w:eastAsia="Times New Roman" w:hAnsi="Times New Roman"/>
                <w:sz w:val="18"/>
                <w:szCs w:val="18"/>
                <w:color w:val="auto"/>
                <w:vertAlign w:val="superscript"/>
              </w:rPr>
              <w:t>(3)(14)</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Second-lien loan ($40,084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10/22/2021</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P + 9.88%</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16.63%</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39,489</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EMS Linq, Inc. </w:t>
            </w:r>
            <w:r>
              <w:rPr>
                <w:rFonts w:ascii="Times New Roman" w:cs="Times New Roman" w:eastAsia="Times New Roman" w:hAnsi="Times New Roman"/>
                <w:sz w:val="18"/>
                <w:szCs w:val="18"/>
                <w:color w:val="auto"/>
                <w:vertAlign w:val="superscript"/>
              </w:rPr>
              <w:t>(3)</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10/2029)</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vMerge w:val="continue"/>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loan ($56,216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12/22/2021</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+ 6.35%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10.07%</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55,773</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55,232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4"/>
                <w:szCs w:val="14"/>
                <w:color w:val="auto"/>
              </w:rPr>
            </w:pP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12/2027)</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revolving loan ($2,916 par,</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12/22/2021</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+ 6.35%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10.07%</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2,858</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2,762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Kangaroo Bidco AS </w:t>
            </w:r>
            <w:r>
              <w:rPr>
                <w:rFonts w:ascii="Times New Roman" w:cs="Times New Roman" w:eastAsia="Times New Roman" w:hAnsi="Times New Roman"/>
                <w:sz w:val="18"/>
                <w:szCs w:val="18"/>
                <w:color w:val="auto"/>
                <w:vertAlign w:val="superscript"/>
              </w:rPr>
              <w:t>(3)(4)</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due 12/2027)</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vMerge w:val="continue"/>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loan ($30,625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11/2/2023</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+ 6.25%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9.99%</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29,945</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30,975</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Severin Acquisition, LLC </w:t>
            </w:r>
            <w:r>
              <w:rPr>
                <w:rFonts w:ascii="Times New Roman" w:cs="Times New Roman" w:eastAsia="Times New Roman" w:hAnsi="Times New Roman"/>
                <w:sz w:val="18"/>
                <w:szCs w:val="18"/>
                <w:color w:val="auto"/>
                <w:vertAlign w:val="superscript"/>
              </w:rPr>
              <w:t>(3)</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11/2030)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vMerge w:val="continue"/>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loan ($15,905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10/1/2024</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+ 4.75%</w:t>
            </w:r>
          </w:p>
        </w:tc>
        <w:tc>
          <w:tcPr>
            <w:tcW w:w="1500" w:type="dxa"/>
            <w:vAlign w:val="bottom"/>
            <w:gridSpan w:val="2"/>
          </w:tcPr>
          <w:p>
            <w:pPr>
              <w:jc w:val="right"/>
              <w:ind w:right="320"/>
              <w:spacing w:after="0" w:line="136" w:lineRule="exact"/>
              <w:rPr>
                <w:sz w:val="20"/>
                <w:szCs w:val="20"/>
                <w:color w:val="auto"/>
              </w:rPr>
            </w:pPr>
            <w:r>
              <w:rPr>
                <w:rFonts w:ascii="Times New Roman" w:cs="Times New Roman" w:eastAsia="Times New Roman" w:hAnsi="Times New Roman"/>
                <w:sz w:val="13"/>
                <w:szCs w:val="13"/>
                <w:color w:val="auto"/>
              </w:rPr>
              <w:t>8.47% (incl. 2.25%</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15,887</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15,855</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700" w:type="dxa"/>
            <w:vAlign w:val="bottom"/>
          </w:tcPr>
          <w:p>
            <w:pPr>
              <w:ind w:left="440"/>
              <w:spacing w:after="0" w:line="148" w:lineRule="exact"/>
              <w:rPr>
                <w:sz w:val="20"/>
                <w:szCs w:val="20"/>
                <w:color w:val="auto"/>
              </w:rPr>
            </w:pPr>
            <w:r>
              <w:rPr>
                <w:rFonts w:ascii="Times New Roman" w:cs="Times New Roman" w:eastAsia="Times New Roman" w:hAnsi="Times New Roman"/>
                <w:sz w:val="13"/>
                <w:szCs w:val="13"/>
                <w:color w:val="auto"/>
              </w:rPr>
              <w:t>10/2031)</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00" w:type="dxa"/>
            <w:vAlign w:val="bottom"/>
            <w:gridSpan w:val="2"/>
          </w:tcPr>
          <w:p>
            <w:pPr>
              <w:jc w:val="right"/>
              <w:ind w:right="280"/>
              <w:spacing w:after="0" w:line="148" w:lineRule="exact"/>
              <w:rPr>
                <w:sz w:val="20"/>
                <w:szCs w:val="20"/>
                <w:color w:val="auto"/>
              </w:rPr>
            </w:pPr>
            <w:r>
              <w:rPr>
                <w:rFonts w:ascii="Times New Roman" w:cs="Times New Roman" w:eastAsia="Times New Roman" w:hAnsi="Times New Roman"/>
                <w:sz w:val="13"/>
                <w:szCs w:val="13"/>
                <w:color w:val="auto"/>
              </w:rPr>
              <w:t>PIK)</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Electronics</w:t>
            </w:r>
          </w:p>
        </w:tc>
        <w:tc>
          <w:tcPr>
            <w:tcW w:w="2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143,952</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104,824</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15"/>
        </w:trPr>
        <w:tc>
          <w:tcPr>
            <w:tcW w:w="2320" w:type="dxa"/>
            <w:vAlign w:val="bottom"/>
            <w:vMerge w:val="continue"/>
          </w:tcPr>
          <w:p>
            <w:pPr>
              <w:spacing w:after="0"/>
              <w:rPr>
                <w:sz w:val="10"/>
                <w:szCs w:val="10"/>
                <w:color w:val="auto"/>
              </w:rPr>
            </w:pPr>
          </w:p>
        </w:tc>
        <w:tc>
          <w:tcPr>
            <w:tcW w:w="2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32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Sapphire Software Buyer, Inc. </w:t>
            </w:r>
            <w:r>
              <w:rPr>
                <w:rFonts w:ascii="Times New Roman" w:cs="Times New Roman" w:eastAsia="Times New Roman" w:hAnsi="Times New Roman"/>
                <w:sz w:val="18"/>
                <w:szCs w:val="18"/>
                <w:color w:val="auto"/>
                <w:vertAlign w:val="superscript"/>
              </w:rPr>
              <w:t>(3)</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First-lien loan ($26,963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9/30/2024</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SOFR + 5.00%</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8.87%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26,812</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Financial Services</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9/2031)</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320" w:type="dxa"/>
            <w:vAlign w:val="bottom"/>
            <w:vMerge w:val="continue"/>
          </w:tcPr>
          <w:p>
            <w:pPr>
              <w:spacing w:after="0"/>
              <w:rPr>
                <w:sz w:val="10"/>
                <w:szCs w:val="10"/>
                <w:color w:val="auto"/>
              </w:rPr>
            </w:pPr>
          </w:p>
        </w:tc>
        <w:tc>
          <w:tcPr>
            <w:tcW w:w="2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32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Alaska Bidco Oy </w:t>
            </w:r>
            <w:r>
              <w:rPr>
                <w:rFonts w:ascii="Times New Roman" w:cs="Times New Roman" w:eastAsia="Times New Roman" w:hAnsi="Times New Roman"/>
                <w:sz w:val="18"/>
                <w:szCs w:val="18"/>
                <w:color w:val="auto"/>
                <w:vertAlign w:val="superscript"/>
              </w:rPr>
              <w:t>(3)(4)</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First-lien loan (EUR 727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5/30/2023</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E + 5.75%</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Arlberg Bidco LLC </w:t>
            </w:r>
            <w:r>
              <w:rPr>
                <w:rFonts w:ascii="Times New Roman" w:cs="Times New Roman" w:eastAsia="Times New Roman" w:hAnsi="Times New Roman"/>
                <w:sz w:val="18"/>
                <w:szCs w:val="18"/>
                <w:color w:val="auto"/>
                <w:vertAlign w:val="superscript"/>
              </w:rPr>
              <w:t>(3)(4)(5)</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5/2030)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732)</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320" w:type="dxa"/>
            <w:vAlign w:val="bottom"/>
            <w:vMerge w:val="continue"/>
          </w:tcPr>
          <w:p>
            <w:pPr>
              <w:spacing w:after="0"/>
              <w:rPr>
                <w:sz w:val="10"/>
                <w:szCs w:val="10"/>
                <w:color w:val="auto"/>
              </w:rPr>
            </w:pPr>
          </w:p>
        </w:tc>
        <w:tc>
          <w:tcPr>
            <w:tcW w:w="2700" w:type="dxa"/>
            <w:vAlign w:val="bottom"/>
          </w:tcPr>
          <w:p>
            <w:pPr>
              <w:ind w:left="440"/>
              <w:spacing w:after="0" w:line="126" w:lineRule="exact"/>
              <w:rPr>
                <w:sz w:val="20"/>
                <w:szCs w:val="20"/>
                <w:color w:val="auto"/>
              </w:rPr>
            </w:pPr>
            <w:r>
              <w:rPr>
                <w:rFonts w:ascii="Times New Roman" w:cs="Times New Roman" w:eastAsia="Times New Roman" w:hAnsi="Times New Roman"/>
                <w:sz w:val="13"/>
                <w:szCs w:val="13"/>
                <w:color w:val="auto"/>
              </w:rPr>
              <w:t>First-lien loan ($5,000 par, due 2/2031)</w:t>
            </w:r>
          </w:p>
        </w:tc>
        <w:tc>
          <w:tcPr>
            <w:tcW w:w="80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2/14/2025</w:t>
            </w:r>
          </w:p>
        </w:tc>
        <w:tc>
          <w:tcPr>
            <w:tcW w:w="1100" w:type="dxa"/>
            <w:vAlign w:val="bottom"/>
          </w:tcPr>
          <w:p>
            <w:pPr>
              <w:jc w:val="right"/>
              <w:ind w:right="133"/>
              <w:spacing w:after="0" w:line="126" w:lineRule="exact"/>
              <w:rPr>
                <w:sz w:val="20"/>
                <w:szCs w:val="20"/>
                <w:color w:val="auto"/>
              </w:rPr>
            </w:pPr>
            <w:r>
              <w:rPr>
                <w:rFonts w:ascii="Times New Roman" w:cs="Times New Roman" w:eastAsia="Times New Roman" w:hAnsi="Times New Roman"/>
                <w:sz w:val="13"/>
                <w:szCs w:val="13"/>
                <w:color w:val="auto"/>
              </w:rPr>
              <w:t>SOFR + 5.75%</w:t>
            </w:r>
          </w:p>
        </w:tc>
        <w:tc>
          <w:tcPr>
            <w:tcW w:w="1420" w:type="dxa"/>
            <w:vAlign w:val="bottom"/>
          </w:tcPr>
          <w:p>
            <w:pPr>
              <w:jc w:val="right"/>
              <w:ind w:right="13"/>
              <w:spacing w:after="0" w:line="126" w:lineRule="exact"/>
              <w:rPr>
                <w:sz w:val="20"/>
                <w:szCs w:val="20"/>
                <w:color w:val="auto"/>
              </w:rPr>
            </w:pPr>
            <w:r>
              <w:rPr>
                <w:rFonts w:ascii="Times New Roman" w:cs="Times New Roman" w:eastAsia="Times New Roman" w:hAnsi="Times New Roman"/>
                <w:sz w:val="13"/>
                <w:szCs w:val="13"/>
                <w:color w:val="auto"/>
              </w:rPr>
              <w:t>9.60%</w:t>
            </w:r>
          </w:p>
        </w:tc>
        <w:tc>
          <w:tcPr>
            <w:tcW w:w="8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4,903</w:t>
            </w:r>
          </w:p>
        </w:tc>
        <w:tc>
          <w:tcPr>
            <w:tcW w:w="10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4,962</w:t>
            </w:r>
          </w:p>
        </w:tc>
        <w:tc>
          <w:tcPr>
            <w:tcW w:w="120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72"/>
        </w:trPr>
        <w:tc>
          <w:tcPr>
            <w:tcW w:w="232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GreenShoot BidCo B.V </w:t>
            </w:r>
            <w:r>
              <w:rPr>
                <w:rFonts w:ascii="Times New Roman" w:cs="Times New Roman" w:eastAsia="Times New Roman" w:hAnsi="Times New Roman"/>
                <w:sz w:val="18"/>
                <w:szCs w:val="18"/>
                <w:color w:val="auto"/>
                <w:vertAlign w:val="superscript"/>
              </w:rPr>
              <w:t>(3)(4)</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First-lien loan (EUR 5,107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5/28/2024</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E + 5.75%</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7.82%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5,917</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Ibis Intermediate Co. </w:t>
            </w:r>
            <w:r>
              <w:rPr>
                <w:rFonts w:ascii="Times New Roman" w:cs="Times New Roman" w:eastAsia="Times New Roman" w:hAnsi="Times New Roman"/>
                <w:sz w:val="18"/>
                <w:szCs w:val="18"/>
                <w:color w:val="auto"/>
                <w:vertAlign w:val="superscript"/>
              </w:rPr>
              <w:t>(3)(5)</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5/2030)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5,038)</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320" w:type="dxa"/>
            <w:vAlign w:val="bottom"/>
            <w:vMerge w:val="continue"/>
          </w:tcPr>
          <w:p>
            <w:pPr>
              <w:spacing w:after="0"/>
              <w:rPr>
                <w:sz w:val="10"/>
                <w:szCs w:val="10"/>
                <w:color w:val="auto"/>
              </w:rPr>
            </w:pPr>
          </w:p>
        </w:tc>
        <w:tc>
          <w:tcPr>
            <w:tcW w:w="2700" w:type="dxa"/>
            <w:vAlign w:val="bottom"/>
          </w:tcPr>
          <w:p>
            <w:pPr>
              <w:ind w:left="440"/>
              <w:spacing w:after="0" w:line="126" w:lineRule="exact"/>
              <w:rPr>
                <w:sz w:val="20"/>
                <w:szCs w:val="20"/>
                <w:color w:val="auto"/>
              </w:rPr>
            </w:pPr>
            <w:r>
              <w:rPr>
                <w:rFonts w:ascii="Times New Roman" w:cs="Times New Roman" w:eastAsia="Times New Roman" w:hAnsi="Times New Roman"/>
                <w:sz w:val="13"/>
                <w:szCs w:val="13"/>
                <w:color w:val="auto"/>
              </w:rPr>
              <w:t>First-lien loan ($1,170 par, due 5/2027)</w:t>
            </w:r>
          </w:p>
        </w:tc>
        <w:tc>
          <w:tcPr>
            <w:tcW w:w="80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5/28/2021</w:t>
            </w:r>
          </w:p>
        </w:tc>
        <w:tc>
          <w:tcPr>
            <w:tcW w:w="1100" w:type="dxa"/>
            <w:vAlign w:val="bottom"/>
          </w:tcPr>
          <w:p>
            <w:pPr>
              <w:jc w:val="right"/>
              <w:ind w:right="133"/>
              <w:spacing w:after="0" w:line="126" w:lineRule="exact"/>
              <w:rPr>
                <w:sz w:val="20"/>
                <w:szCs w:val="20"/>
                <w:color w:val="auto"/>
              </w:rPr>
            </w:pPr>
            <w:r>
              <w:rPr>
                <w:rFonts w:ascii="Times New Roman" w:cs="Times New Roman" w:eastAsia="Times New Roman" w:hAnsi="Times New Roman"/>
                <w:sz w:val="13"/>
                <w:szCs w:val="13"/>
                <w:color w:val="auto"/>
              </w:rPr>
              <w:t>SOFR + 4.65%</w:t>
            </w:r>
          </w:p>
        </w:tc>
        <w:tc>
          <w:tcPr>
            <w:tcW w:w="1420" w:type="dxa"/>
            <w:vAlign w:val="bottom"/>
          </w:tcPr>
          <w:p>
            <w:pPr>
              <w:jc w:val="right"/>
              <w:ind w:right="13"/>
              <w:spacing w:after="0" w:line="126" w:lineRule="exact"/>
              <w:rPr>
                <w:sz w:val="20"/>
                <w:szCs w:val="20"/>
                <w:color w:val="auto"/>
              </w:rPr>
            </w:pPr>
            <w:r>
              <w:rPr>
                <w:rFonts w:ascii="Times New Roman" w:cs="Times New Roman" w:eastAsia="Times New Roman" w:hAnsi="Times New Roman"/>
                <w:sz w:val="13"/>
                <w:szCs w:val="13"/>
                <w:color w:val="auto"/>
              </w:rPr>
              <w:t>8.47%</w:t>
            </w:r>
          </w:p>
        </w:tc>
        <w:tc>
          <w:tcPr>
            <w:tcW w:w="8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1,151</w:t>
            </w:r>
          </w:p>
        </w:tc>
        <w:tc>
          <w:tcPr>
            <w:tcW w:w="10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1,184</w:t>
            </w:r>
          </w:p>
        </w:tc>
        <w:tc>
          <w:tcPr>
            <w:tcW w:w="120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2"/>
        </w:trPr>
        <w:tc>
          <w:tcPr>
            <w:tcW w:w="232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Ibis US Blocker Co. </w:t>
            </w:r>
            <w:r>
              <w:rPr>
                <w:rFonts w:ascii="Times New Roman" w:cs="Times New Roman" w:eastAsia="Times New Roman" w:hAnsi="Times New Roman"/>
                <w:sz w:val="18"/>
                <w:szCs w:val="18"/>
                <w:color w:val="auto"/>
                <w:vertAlign w:val="superscript"/>
              </w:rPr>
              <w:t>(3)</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First-lien loan ($20,790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5/28/2021</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SOFR + 8.40%</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12.22% PIK</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20,656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20,946</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4"/>
                <w:szCs w:val="14"/>
                <w:color w:val="auto"/>
              </w:rPr>
            </w:pP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5/2028)</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Passport Labs, Inc.</w:t>
            </w:r>
          </w:p>
        </w:tc>
        <w:tc>
          <w:tcPr>
            <w:tcW w:w="2700" w:type="dxa"/>
            <w:vAlign w:val="bottom"/>
            <w:shd w:val="clear" w:color="auto" w:fill="CFF0FC"/>
          </w:tcPr>
          <w:p>
            <w:pPr>
              <w:ind w:left="440"/>
              <w:spacing w:after="0" w:line="136" w:lineRule="exact"/>
              <w:rPr>
                <w:sz w:val="20"/>
                <w:szCs w:val="20"/>
                <w:color w:val="auto"/>
              </w:rPr>
            </w:pPr>
            <w:r>
              <w:rPr>
                <w:rFonts w:ascii="Times New Roman" w:cs="Times New Roman" w:eastAsia="Times New Roman" w:hAnsi="Times New Roman"/>
                <w:sz w:val="13"/>
                <w:szCs w:val="13"/>
                <w:color w:val="auto"/>
              </w:rPr>
              <w:t>Convertible Promissory Note A</w:t>
            </w:r>
          </w:p>
        </w:tc>
        <w:tc>
          <w:tcPr>
            <w:tcW w:w="8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3/2/2023</w:t>
            </w:r>
          </w:p>
        </w:tc>
        <w:tc>
          <w:tcPr>
            <w:tcW w:w="1100" w:type="dxa"/>
            <w:vAlign w:val="bottom"/>
            <w:shd w:val="clear" w:color="auto" w:fill="CFF0FC"/>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8.00%</w:t>
            </w:r>
          </w:p>
        </w:tc>
        <w:tc>
          <w:tcPr>
            <w:tcW w:w="1420" w:type="dxa"/>
            <w:vAlign w:val="bottom"/>
            <w:shd w:val="clear" w:color="auto" w:fill="CFF0FC"/>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8.00%</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1,085</w:t>
            </w:r>
          </w:p>
        </w:tc>
        <w:tc>
          <w:tcPr>
            <w:tcW w:w="10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1,167</w:t>
            </w:r>
          </w:p>
        </w:tc>
        <w:tc>
          <w:tcPr>
            <w:tcW w:w="120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320" w:type="dxa"/>
            <w:vAlign w:val="bottom"/>
            <w:shd w:val="clear" w:color="auto" w:fill="CFF0FC"/>
          </w:tcPr>
          <w:p>
            <w:pPr>
              <w:spacing w:after="0"/>
              <w:rPr>
                <w:sz w:val="14"/>
                <w:szCs w:val="14"/>
                <w:color w:val="auto"/>
              </w:rPr>
            </w:pPr>
          </w:p>
        </w:tc>
        <w:tc>
          <w:tcPr>
            <w:tcW w:w="27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($1,086 par, due 8/2026)</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Payroc Buyer, LLC</w:t>
            </w: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Promissory Note ($6,000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9/30/2025</w:t>
            </w:r>
          </w:p>
        </w:tc>
        <w:tc>
          <w:tcPr>
            <w:tcW w:w="11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5.50%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5.50%</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6,000</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5,070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TS Imagine, Inc. </w:t>
            </w:r>
            <w:r>
              <w:rPr>
                <w:rFonts w:ascii="Times New Roman" w:cs="Times New Roman" w:eastAsia="Times New Roman" w:hAnsi="Times New Roman"/>
                <w:sz w:val="18"/>
                <w:szCs w:val="18"/>
                <w:color w:val="auto"/>
                <w:vertAlign w:val="superscript"/>
              </w:rPr>
              <w:t>(3)(5)</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9/2030)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vMerge w:val="continue"/>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loan ($54,960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4/30/2021</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+ 5.85%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9.69%</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54,529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54,960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4"/>
                <w:szCs w:val="14"/>
                <w:color w:val="auto"/>
              </w:rPr>
            </w:pP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4/2027)</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revolving loan ($899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11/1/2024</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P + 4.75%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11.50%</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886</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899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4"/>
                <w:szCs w:val="14"/>
                <w:color w:val="auto"/>
              </w:rPr>
            </w:pP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5/2027)</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Volante Technologies, Inc.</w:t>
            </w:r>
          </w:p>
        </w:tc>
        <w:tc>
          <w:tcPr>
            <w:tcW w:w="27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First-lien loan ($3,619 par, due 9/2028)</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9/29/2023</w:t>
            </w: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16.50%</w:t>
            </w:r>
          </w:p>
        </w:tc>
        <w:tc>
          <w:tcPr>
            <w:tcW w:w="142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rPr>
              <w:t>16.50% PIK</w:t>
            </w: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3,601</w:t>
            </w: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3,755</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270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2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99,005</w:t>
            </w:r>
          </w:p>
        </w:tc>
        <w:tc>
          <w:tcPr>
            <w:tcW w:w="16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99,720</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15"/>
        </w:trPr>
        <w:tc>
          <w:tcPr>
            <w:tcW w:w="2320" w:type="dxa"/>
            <w:vAlign w:val="bottom"/>
            <w:vMerge w:val="continue"/>
          </w:tcPr>
          <w:p>
            <w:pPr>
              <w:spacing w:after="0"/>
              <w:rPr>
                <w:sz w:val="10"/>
                <w:szCs w:val="10"/>
                <w:color w:val="auto"/>
              </w:rPr>
            </w:pPr>
          </w:p>
        </w:tc>
        <w:tc>
          <w:tcPr>
            <w:tcW w:w="2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32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Aledade, Inc. </w:t>
            </w:r>
            <w:r>
              <w:rPr>
                <w:rFonts w:ascii="Times New Roman" w:cs="Times New Roman" w:eastAsia="Times New Roman" w:hAnsi="Times New Roman"/>
                <w:sz w:val="18"/>
                <w:szCs w:val="18"/>
                <w:color w:val="auto"/>
                <w:vertAlign w:val="superscript"/>
              </w:rPr>
              <w:t>(3)</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First-lien revolving loan ($10,864 par,</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11/21/2025</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SOFR + 5.75%</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9.54%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10,513</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BCTO Ace Purchaser, Inc. </w:t>
            </w:r>
            <w:r>
              <w:rPr>
                <w:rFonts w:ascii="Times New Roman" w:cs="Times New Roman" w:eastAsia="Times New Roman" w:hAnsi="Times New Roman"/>
                <w:sz w:val="18"/>
                <w:szCs w:val="18"/>
                <w:color w:val="auto"/>
                <w:vertAlign w:val="superscript"/>
              </w:rPr>
              <w:t>(3)</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due 11/2028)</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vMerge w:val="continue"/>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loan ($69,942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11/23/2020</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+ 6.50%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10.32%</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69,504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70,818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4"/>
                <w:szCs w:val="14"/>
                <w:color w:val="auto"/>
              </w:rPr>
            </w:pP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11/2029)</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Second-lien loan ($7,665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1/23/2023</w:t>
            </w:r>
          </w:p>
        </w:tc>
        <w:tc>
          <w:tcPr>
            <w:tcW w:w="1100" w:type="dxa"/>
            <w:vAlign w:val="bottom"/>
          </w:tcPr>
          <w:p>
            <w:pPr>
              <w:jc w:val="right"/>
              <w:ind w:right="173"/>
              <w:spacing w:after="0" w:line="136" w:lineRule="exact"/>
              <w:rPr>
                <w:sz w:val="20"/>
                <w:szCs w:val="20"/>
                <w:color w:val="auto"/>
              </w:rPr>
            </w:pPr>
            <w:r>
              <w:rPr>
                <w:rFonts w:ascii="Times New Roman" w:cs="Times New Roman" w:eastAsia="Times New Roman" w:hAnsi="Times New Roman"/>
                <w:sz w:val="13"/>
                <w:szCs w:val="13"/>
                <w:color w:val="auto"/>
              </w:rPr>
              <w:t>SOFR +</w:t>
            </w:r>
          </w:p>
        </w:tc>
        <w:tc>
          <w:tcPr>
            <w:tcW w:w="15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3"/>
                <w:szCs w:val="13"/>
                <w:color w:val="auto"/>
              </w:rPr>
              <w:t>15.02% PIK</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7,577</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7,856</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Eventus Buyer, LLC </w:t>
            </w:r>
            <w:r>
              <w:rPr>
                <w:rFonts w:ascii="Times New Roman" w:cs="Times New Roman" w:eastAsia="Times New Roman" w:hAnsi="Times New Roman"/>
                <w:sz w:val="18"/>
                <w:szCs w:val="18"/>
                <w:color w:val="auto"/>
                <w:vertAlign w:val="superscript"/>
              </w:rPr>
              <w:t>(3)</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1/2030)</w:t>
            </w:r>
          </w:p>
        </w:tc>
        <w:tc>
          <w:tcPr>
            <w:tcW w:w="800" w:type="dxa"/>
            <w:vAlign w:val="bottom"/>
          </w:tcPr>
          <w:p>
            <w:pPr>
              <w:spacing w:after="0"/>
              <w:rPr>
                <w:sz w:val="14"/>
                <w:szCs w:val="14"/>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10.70%</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vMerge w:val="continue"/>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loan ($25,706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11/1/2024</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+ 5.50%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9.17%</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25,358</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25,542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4"/>
                <w:szCs w:val="14"/>
                <w:color w:val="auto"/>
              </w:rPr>
            </w:pP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11/2030)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revolving loan ($1,867 par,</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11/1/2024</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+ 5.50%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9.17%</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1,824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1,849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HMP Omnimedia, LLC </w:t>
            </w:r>
            <w:r>
              <w:rPr>
                <w:rFonts w:ascii="Times New Roman" w:cs="Times New Roman" w:eastAsia="Times New Roman" w:hAnsi="Times New Roman"/>
                <w:sz w:val="18"/>
                <w:szCs w:val="18"/>
                <w:color w:val="auto"/>
                <w:vertAlign w:val="superscript"/>
              </w:rPr>
              <w:t>(3)</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due 11/2030)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vMerge w:val="continue"/>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loan ($19,723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7/31/2025</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+ 5.25%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8.97%</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19,368</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19,537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4"/>
                <w:szCs w:val="14"/>
                <w:color w:val="auto"/>
              </w:rPr>
            </w:pP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7/2032)</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revolving loan ($409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7/31/2025</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P + 4.25%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11.00%</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339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371</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Ingenovis Health Finance, LLC </w:t>
            </w:r>
            <w:r>
              <w:rPr>
                <w:rFonts w:ascii="Times New Roman" w:cs="Times New Roman" w:eastAsia="Times New Roman" w:hAnsi="Times New Roman"/>
                <w:sz w:val="18"/>
                <w:szCs w:val="18"/>
                <w:color w:val="auto"/>
                <w:vertAlign w:val="superscript"/>
              </w:rPr>
              <w:t>(3)</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7/2030)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vMerge w:val="continue"/>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revolving loan ($32,500 par,</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5/13/2025</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+ 6.00%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9.82%</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31,366</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32,013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LIHA Holdco B.V. </w:t>
            </w:r>
            <w:r>
              <w:rPr>
                <w:rFonts w:ascii="Times New Roman" w:cs="Times New Roman" w:eastAsia="Times New Roman" w:hAnsi="Times New Roman"/>
                <w:sz w:val="18"/>
                <w:szCs w:val="18"/>
                <w:color w:val="auto"/>
                <w:vertAlign w:val="superscript"/>
              </w:rPr>
              <w:t>(3)(4)(5)</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due 5/2030)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vMerge w:val="continue"/>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loan (EUR 5,903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2/24/2023</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E + 6.50%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8.52%</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6,219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6,989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4"/>
                <w:szCs w:val="14"/>
                <w:color w:val="auto"/>
              </w:rPr>
            </w:pP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2/2029)</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5,951)</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revolving loan (EUR 318 par,</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2/24/2023</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E + 6.50%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8.52%</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363</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377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Raptor US Buyer II Corp. </w:t>
            </w:r>
            <w:r>
              <w:rPr>
                <w:rFonts w:ascii="Times New Roman" w:cs="Times New Roman" w:eastAsia="Times New Roman" w:hAnsi="Times New Roman"/>
                <w:sz w:val="18"/>
                <w:szCs w:val="18"/>
                <w:color w:val="auto"/>
                <w:vertAlign w:val="superscript"/>
              </w:rPr>
              <w:t>(3)(5)</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due 2/2029)</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321)</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vMerge w:val="continue"/>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loan ($17,949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3/24/2023</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+ 6.25%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9.97%</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17,622</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18,083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4"/>
                <w:szCs w:val="14"/>
                <w:color w:val="auto"/>
              </w:rPr>
            </w:pP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3/2029)</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revolving loan ($82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3/24/2023</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+ 6.25%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9.97%</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76</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87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Symplr Software Inc. </w:t>
            </w:r>
            <w:r>
              <w:rPr>
                <w:rFonts w:ascii="Times New Roman" w:cs="Times New Roman" w:eastAsia="Times New Roman" w:hAnsi="Times New Roman"/>
                <w:sz w:val="18"/>
                <w:szCs w:val="18"/>
                <w:color w:val="auto"/>
                <w:vertAlign w:val="superscript"/>
              </w:rPr>
              <w:t>(3)(9)</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3/2029)</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320" w:type="dxa"/>
            <w:vAlign w:val="bottom"/>
            <w:vMerge w:val="continue"/>
          </w:tcPr>
          <w:p>
            <w:pPr>
              <w:spacing w:after="0"/>
              <w:rPr>
                <w:sz w:val="10"/>
                <w:szCs w:val="10"/>
                <w:color w:val="auto"/>
              </w:rPr>
            </w:pPr>
          </w:p>
        </w:tc>
        <w:tc>
          <w:tcPr>
            <w:tcW w:w="2700" w:type="dxa"/>
            <w:vAlign w:val="bottom"/>
          </w:tcPr>
          <w:p>
            <w:pPr>
              <w:ind w:left="440"/>
              <w:spacing w:after="0" w:line="126" w:lineRule="exact"/>
              <w:rPr>
                <w:sz w:val="20"/>
                <w:szCs w:val="20"/>
                <w:color w:val="auto"/>
              </w:rPr>
            </w:pPr>
            <w:r>
              <w:rPr>
                <w:rFonts w:ascii="Times New Roman" w:cs="Times New Roman" w:eastAsia="Times New Roman" w:hAnsi="Times New Roman"/>
                <w:sz w:val="13"/>
                <w:szCs w:val="13"/>
                <w:color w:val="auto"/>
              </w:rPr>
              <w:t>First-lien loan ($635 par, due 12/2027)</w:t>
            </w:r>
          </w:p>
        </w:tc>
        <w:tc>
          <w:tcPr>
            <w:tcW w:w="80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4/4/2025</w:t>
            </w:r>
          </w:p>
        </w:tc>
        <w:tc>
          <w:tcPr>
            <w:tcW w:w="1100" w:type="dxa"/>
            <w:vAlign w:val="bottom"/>
          </w:tcPr>
          <w:p>
            <w:pPr>
              <w:jc w:val="right"/>
              <w:ind w:right="133"/>
              <w:spacing w:after="0" w:line="126" w:lineRule="exact"/>
              <w:rPr>
                <w:sz w:val="20"/>
                <w:szCs w:val="20"/>
                <w:color w:val="auto"/>
              </w:rPr>
            </w:pPr>
            <w:r>
              <w:rPr>
                <w:rFonts w:ascii="Times New Roman" w:cs="Times New Roman" w:eastAsia="Times New Roman" w:hAnsi="Times New Roman"/>
                <w:sz w:val="13"/>
                <w:szCs w:val="13"/>
                <w:color w:val="auto"/>
              </w:rPr>
              <w:t>SOFR + 4.60%</w:t>
            </w:r>
          </w:p>
        </w:tc>
        <w:tc>
          <w:tcPr>
            <w:tcW w:w="1420" w:type="dxa"/>
            <w:vAlign w:val="bottom"/>
          </w:tcPr>
          <w:p>
            <w:pPr>
              <w:jc w:val="right"/>
              <w:ind w:right="13"/>
              <w:spacing w:after="0" w:line="126" w:lineRule="exact"/>
              <w:rPr>
                <w:sz w:val="20"/>
                <w:szCs w:val="20"/>
                <w:color w:val="auto"/>
              </w:rPr>
            </w:pPr>
            <w:r>
              <w:rPr>
                <w:rFonts w:ascii="Times New Roman" w:cs="Times New Roman" w:eastAsia="Times New Roman" w:hAnsi="Times New Roman"/>
                <w:sz w:val="13"/>
                <w:szCs w:val="13"/>
                <w:color w:val="auto"/>
              </w:rPr>
              <w:t>8.44%</w:t>
            </w:r>
          </w:p>
        </w:tc>
        <w:tc>
          <w:tcPr>
            <w:tcW w:w="8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551</w:t>
            </w:r>
          </w:p>
        </w:tc>
        <w:tc>
          <w:tcPr>
            <w:tcW w:w="10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537</w:t>
            </w:r>
          </w:p>
        </w:tc>
        <w:tc>
          <w:tcPr>
            <w:tcW w:w="120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72"/>
        </w:trPr>
        <w:tc>
          <w:tcPr>
            <w:tcW w:w="232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Velocity Clinical Research, Inc. </w:t>
            </w:r>
            <w:r>
              <w:rPr>
                <w:rFonts w:ascii="Times New Roman" w:cs="Times New Roman" w:eastAsia="Times New Roman" w:hAnsi="Times New Roman"/>
                <w:sz w:val="18"/>
                <w:szCs w:val="18"/>
                <w:color w:val="auto"/>
                <w:vertAlign w:val="superscript"/>
              </w:rPr>
              <w:t>(3)</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First-lien loan ($62,899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9/9/2025</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SOFR + 7.50%</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11.17%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61,865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62,585</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4"/>
                <w:szCs w:val="14"/>
                <w:color w:val="auto"/>
              </w:rPr>
            </w:pP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9/2031)</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revolving loan ($528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9/9/2025</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+ 7.50%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11.17%</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468</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513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700" w:type="dxa"/>
            <w:vAlign w:val="bottom"/>
          </w:tcPr>
          <w:p>
            <w:pPr>
              <w:ind w:left="440"/>
              <w:spacing w:after="0" w:line="148" w:lineRule="exact"/>
              <w:rPr>
                <w:sz w:val="20"/>
                <w:szCs w:val="20"/>
                <w:color w:val="auto"/>
              </w:rPr>
            </w:pPr>
            <w:r>
              <w:rPr>
                <w:rFonts w:ascii="Times New Roman" w:cs="Times New Roman" w:eastAsia="Times New Roman" w:hAnsi="Times New Roman"/>
                <w:sz w:val="13"/>
                <w:szCs w:val="13"/>
                <w:color w:val="auto"/>
              </w:rPr>
              <w:t>9/2031)</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253,027</w:t>
            </w:r>
          </w:p>
        </w:tc>
        <w:tc>
          <w:tcPr>
            <w:tcW w:w="10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257,670</w:t>
            </w:r>
          </w:p>
        </w:tc>
        <w:tc>
          <w:tcPr>
            <w:tcW w:w="12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15"/>
        </w:trPr>
        <w:tc>
          <w:tcPr>
            <w:tcW w:w="232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Hotel, Gaming and Leisure</w:t>
            </w:r>
          </w:p>
        </w:tc>
        <w:tc>
          <w:tcPr>
            <w:tcW w:w="2700" w:type="dxa"/>
            <w:vAlign w:val="bottom"/>
            <w:tcBorders>
              <w:top w:val="single" w:sz="8" w:color="CFF0FC"/>
            </w:tcBorders>
          </w:tcPr>
          <w:p>
            <w:pPr>
              <w:spacing w:after="0"/>
              <w:rPr>
                <w:sz w:val="10"/>
                <w:szCs w:val="10"/>
                <w:color w:val="auto"/>
              </w:rPr>
            </w:pPr>
          </w:p>
        </w:tc>
        <w:tc>
          <w:tcPr>
            <w:tcW w:w="800" w:type="dxa"/>
            <w:vAlign w:val="bottom"/>
            <w:tcBorders>
              <w:top w:val="single" w:sz="8" w:color="CFF0FC"/>
            </w:tcBorders>
          </w:tcPr>
          <w:p>
            <w:pPr>
              <w:spacing w:after="0"/>
              <w:rPr>
                <w:sz w:val="10"/>
                <w:szCs w:val="10"/>
                <w:color w:val="auto"/>
              </w:rPr>
            </w:pPr>
          </w:p>
        </w:tc>
        <w:tc>
          <w:tcPr>
            <w:tcW w:w="1100" w:type="dxa"/>
            <w:vAlign w:val="bottom"/>
            <w:tcBorders>
              <w:top w:val="single" w:sz="8" w:color="CFF0FC"/>
            </w:tcBorders>
          </w:tcPr>
          <w:p>
            <w:pPr>
              <w:spacing w:after="0"/>
              <w:rPr>
                <w:sz w:val="10"/>
                <w:szCs w:val="10"/>
                <w:color w:val="auto"/>
              </w:rPr>
            </w:pPr>
          </w:p>
        </w:tc>
        <w:tc>
          <w:tcPr>
            <w:tcW w:w="14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32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ASG II, LLC </w:t>
            </w:r>
            <w:r>
              <w:rPr>
                <w:rFonts w:ascii="Times New Roman" w:cs="Times New Roman" w:eastAsia="Times New Roman" w:hAnsi="Times New Roman"/>
                <w:sz w:val="18"/>
                <w:szCs w:val="18"/>
                <w:color w:val="auto"/>
                <w:vertAlign w:val="superscript"/>
              </w:rPr>
              <w:t>(3)(5)</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First-lien loan ($65,000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5/25/2022</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SOFR + 6.40%</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10.24%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64,025</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AVSC Holding Corp. </w:t>
            </w:r>
            <w:r>
              <w:rPr>
                <w:rFonts w:ascii="Times New Roman" w:cs="Times New Roman" w:eastAsia="Times New Roman" w:hAnsi="Times New Roman"/>
                <w:sz w:val="18"/>
                <w:szCs w:val="18"/>
                <w:color w:val="auto"/>
                <w:vertAlign w:val="superscript"/>
              </w:rPr>
              <w:t>(3)</w:t>
            </w: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5/2028)</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320" w:type="dxa"/>
            <w:vAlign w:val="bottom"/>
            <w:vMerge w:val="continue"/>
          </w:tcPr>
          <w:p>
            <w:pPr>
              <w:spacing w:after="0"/>
              <w:rPr>
                <w:sz w:val="11"/>
                <w:szCs w:val="11"/>
                <w:color w:val="auto"/>
              </w:rPr>
            </w:pPr>
          </w:p>
        </w:tc>
        <w:tc>
          <w:tcPr>
            <w:tcW w:w="2700" w:type="dxa"/>
            <w:vAlign w:val="bottom"/>
          </w:tcPr>
          <w:p>
            <w:pPr>
              <w:ind w:left="440"/>
              <w:spacing w:after="0" w:line="136" w:lineRule="exact"/>
              <w:rPr>
                <w:sz w:val="20"/>
                <w:szCs w:val="20"/>
                <w:color w:val="auto"/>
              </w:rPr>
            </w:pPr>
            <w:r>
              <w:rPr>
                <w:rFonts w:ascii="Times New Roman" w:cs="Times New Roman" w:eastAsia="Times New Roman" w:hAnsi="Times New Roman"/>
                <w:sz w:val="13"/>
                <w:szCs w:val="13"/>
                <w:color w:val="auto"/>
              </w:rPr>
              <w:t>First-lien loan ($44,828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12/5/2024</w:t>
            </w:r>
          </w:p>
        </w:tc>
        <w:tc>
          <w:tcPr>
            <w:tcW w:w="1100" w:type="dxa"/>
            <w:vAlign w:val="bottom"/>
          </w:tcPr>
          <w:p>
            <w:pPr>
              <w:jc w:val="right"/>
              <w:ind w:right="173"/>
              <w:spacing w:after="0" w:line="136" w:lineRule="exact"/>
              <w:rPr>
                <w:sz w:val="20"/>
                <w:szCs w:val="20"/>
                <w:color w:val="auto"/>
              </w:rPr>
            </w:pPr>
            <w:r>
              <w:rPr>
                <w:rFonts w:ascii="Times New Roman" w:cs="Times New Roman" w:eastAsia="Times New Roman" w:hAnsi="Times New Roman"/>
                <w:sz w:val="13"/>
                <w:szCs w:val="13"/>
                <w:color w:val="auto"/>
              </w:rPr>
              <w:t>SOFR +</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8.72%</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43,960</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44,704</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4"/>
                <w:szCs w:val="14"/>
                <w:color w:val="auto"/>
              </w:rPr>
            </w:pPr>
          </w:p>
        </w:tc>
        <w:tc>
          <w:tcPr>
            <w:tcW w:w="270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12/2031)</w:t>
            </w:r>
          </w:p>
        </w:tc>
        <w:tc>
          <w:tcPr>
            <w:tcW w:w="800" w:type="dxa"/>
            <w:vAlign w:val="bottom"/>
          </w:tcPr>
          <w:p>
            <w:pPr>
              <w:spacing w:after="0"/>
              <w:rPr>
                <w:sz w:val="14"/>
                <w:szCs w:val="14"/>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5.00%</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3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Equinox Holdings, Inc.</w:t>
            </w:r>
          </w:p>
        </w:tc>
        <w:tc>
          <w:tcPr>
            <w:tcW w:w="2700" w:type="dxa"/>
            <w:vAlign w:val="bottom"/>
            <w:shd w:val="clear" w:color="auto" w:fill="CFF0FC"/>
          </w:tcPr>
          <w:p>
            <w:pPr>
              <w:ind w:left="440"/>
              <w:spacing w:after="0" w:line="122" w:lineRule="exact"/>
              <w:rPr>
                <w:sz w:val="20"/>
                <w:szCs w:val="20"/>
                <w:color w:val="auto"/>
              </w:rPr>
            </w:pPr>
            <w:r>
              <w:rPr>
                <w:rFonts w:ascii="Times New Roman" w:cs="Times New Roman" w:eastAsia="Times New Roman" w:hAnsi="Times New Roman"/>
                <w:sz w:val="13"/>
                <w:szCs w:val="13"/>
                <w:color w:val="auto"/>
              </w:rPr>
              <w:t>First-lien loan ($51,697 par, due</w:t>
            </w:r>
          </w:p>
        </w:tc>
        <w:tc>
          <w:tcPr>
            <w:tcW w:w="8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3/8/2024</w:t>
            </w:r>
          </w:p>
        </w:tc>
        <w:tc>
          <w:tcPr>
            <w:tcW w:w="1100" w:type="dxa"/>
            <w:vAlign w:val="bottom"/>
            <w:shd w:val="clear" w:color="auto" w:fill="CFF0FC"/>
          </w:tcPr>
          <w:p>
            <w:pPr>
              <w:jc w:val="right"/>
              <w:ind w:right="133"/>
              <w:spacing w:after="0" w:line="122" w:lineRule="exact"/>
              <w:rPr>
                <w:sz w:val="20"/>
                <w:szCs w:val="20"/>
                <w:color w:val="auto"/>
              </w:rPr>
            </w:pPr>
            <w:r>
              <w:rPr>
                <w:rFonts w:ascii="Times New Roman" w:cs="Times New Roman" w:eastAsia="Times New Roman" w:hAnsi="Times New Roman"/>
                <w:sz w:val="13"/>
                <w:szCs w:val="13"/>
                <w:color w:val="auto"/>
              </w:rPr>
              <w:t>SOFR + 8.25%</w:t>
            </w:r>
          </w:p>
        </w:tc>
        <w:tc>
          <w:tcPr>
            <w:tcW w:w="1500" w:type="dxa"/>
            <w:vAlign w:val="bottom"/>
            <w:gridSpan w:val="2"/>
            <w:shd w:val="clear" w:color="auto" w:fill="CFF0FC"/>
          </w:tcPr>
          <w:p>
            <w:pPr>
              <w:jc w:val="right"/>
              <w:ind w:right="320"/>
              <w:spacing w:after="0" w:line="122" w:lineRule="exact"/>
              <w:rPr>
                <w:sz w:val="20"/>
                <w:szCs w:val="20"/>
                <w:color w:val="auto"/>
              </w:rPr>
            </w:pPr>
            <w:r>
              <w:rPr>
                <w:rFonts w:ascii="Times New Roman" w:cs="Times New Roman" w:eastAsia="Times New Roman" w:hAnsi="Times New Roman"/>
                <w:sz w:val="13"/>
                <w:szCs w:val="13"/>
                <w:color w:val="auto"/>
              </w:rPr>
              <w:t>11.92% (incl. 4.13%</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51,126</w:t>
            </w:r>
          </w:p>
        </w:tc>
        <w:tc>
          <w:tcPr>
            <w:tcW w:w="10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53,377</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89"/>
        </w:trPr>
        <w:tc>
          <w:tcPr>
            <w:tcW w:w="2320" w:type="dxa"/>
            <w:vAlign w:val="bottom"/>
            <w:shd w:val="clear" w:color="auto" w:fill="CFF0FC"/>
          </w:tcPr>
          <w:p>
            <w:pPr>
              <w:spacing w:after="0"/>
              <w:rPr>
                <w:sz w:val="16"/>
                <w:szCs w:val="16"/>
                <w:color w:val="auto"/>
              </w:rPr>
            </w:pPr>
          </w:p>
        </w:tc>
        <w:tc>
          <w:tcPr>
            <w:tcW w:w="2700" w:type="dxa"/>
            <w:vAlign w:val="bottom"/>
            <w:shd w:val="clear" w:color="auto" w:fill="CFF0FC"/>
          </w:tcPr>
          <w:p>
            <w:pPr>
              <w:ind w:left="440"/>
              <w:spacing w:after="0" w:line="189" w:lineRule="exact"/>
              <w:rPr>
                <w:sz w:val="20"/>
                <w:szCs w:val="20"/>
                <w:color w:val="auto"/>
              </w:rPr>
            </w:pPr>
            <w:r>
              <w:rPr>
                <w:rFonts w:ascii="Times New Roman" w:cs="Times New Roman" w:eastAsia="Times New Roman" w:hAnsi="Times New Roman"/>
                <w:sz w:val="13"/>
                <w:szCs w:val="13"/>
                <w:color w:val="auto"/>
              </w:rPr>
              <w:t xml:space="preserve">3/2029) </w:t>
            </w:r>
            <w:r>
              <w:rPr>
                <w:rFonts w:ascii="Times New Roman" w:cs="Times New Roman" w:eastAsia="Times New Roman" w:hAnsi="Times New Roman"/>
                <w:sz w:val="18"/>
                <w:szCs w:val="18"/>
                <w:color w:val="auto"/>
                <w:vertAlign w:val="superscript"/>
              </w:rPr>
              <w:t>(3)</w:t>
            </w:r>
          </w:p>
        </w:tc>
        <w:tc>
          <w:tcPr>
            <w:tcW w:w="8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PIK)</w:t>
            </w: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-6762750</wp:posOffset>
            </wp:positionV>
            <wp:extent cx="713232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-6385560</wp:posOffset>
            </wp:positionV>
            <wp:extent cx="7132320"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-5716905</wp:posOffset>
            </wp:positionV>
            <wp:extent cx="7132320" cy="939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-5434330</wp:posOffset>
            </wp:positionV>
            <wp:extent cx="7132320" cy="939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-5151120</wp:posOffset>
            </wp:positionV>
            <wp:extent cx="7132320" cy="1028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-4859655</wp:posOffset>
            </wp:positionV>
            <wp:extent cx="7132320" cy="1028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-4191000</wp:posOffset>
            </wp:positionV>
            <wp:extent cx="7132320" cy="1885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-3608070</wp:posOffset>
            </wp:positionV>
            <wp:extent cx="7132320" cy="946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-3325495</wp:posOffset>
            </wp:positionV>
            <wp:extent cx="7132320" cy="1885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-2948305</wp:posOffset>
            </wp:positionV>
            <wp:extent cx="7132320" cy="1885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188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-2193925</wp:posOffset>
            </wp:positionV>
            <wp:extent cx="7132320"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1885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-6008370</wp:posOffset>
            </wp:positionV>
            <wp:extent cx="7132320" cy="1885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-3719830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-3719830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-3719830</wp:posOffset>
            </wp:positionV>
            <wp:extent cx="857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-676275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-676275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-676275</wp:posOffset>
            </wp:positionV>
            <wp:extent cx="857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2"/>
                <w:szCs w:val="12"/>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Second-lien loan ($2,746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3/13/2024</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16.00%</w:t>
            </w: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16.00% PIK</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3,240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IRGSE Holding Corp. </w:t>
            </w:r>
            <w:r>
              <w:rPr>
                <w:rFonts w:ascii="Times New Roman" w:cs="Times New Roman" w:eastAsia="Times New Roman" w:hAnsi="Times New Roman"/>
                <w:sz w:val="18"/>
                <w:szCs w:val="18"/>
                <w:color w:val="auto"/>
                <w:vertAlign w:val="superscript"/>
              </w:rPr>
              <w:t>(3)(6)</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6/2027)</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($30,261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12/21/2018</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+ 9.65%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13.32%</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28,594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30,261</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6/2026)</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revolving loan ($27,943 par,</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12/21/2018</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+ 9.65%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13.44%</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27,943</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27,943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Sport Alliance GmbH </w:t>
            </w:r>
            <w:r>
              <w:rPr>
                <w:rFonts w:ascii="Times New Roman" w:cs="Times New Roman" w:eastAsia="Times New Roman" w:hAnsi="Times New Roman"/>
                <w:sz w:val="18"/>
                <w:szCs w:val="18"/>
                <w:color w:val="auto"/>
                <w:vertAlign w:val="superscript"/>
              </w:rPr>
              <w:t>(3)(4)</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due 6/2026)</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(EUR 37,133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4/10/2024</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E + 7.75%</w:t>
            </w:r>
          </w:p>
        </w:tc>
        <w:tc>
          <w:tcPr>
            <w:tcW w:w="1420" w:type="dxa"/>
            <w:vAlign w:val="bottom"/>
          </w:tcPr>
          <w:p>
            <w:pPr>
              <w:jc w:val="right"/>
              <w:ind w:right="173"/>
              <w:spacing w:after="0" w:line="136" w:lineRule="exact"/>
              <w:rPr>
                <w:sz w:val="20"/>
                <w:szCs w:val="20"/>
                <w:color w:val="auto"/>
              </w:rPr>
            </w:pPr>
            <w:r>
              <w:rPr>
                <w:rFonts w:ascii="Times New Roman" w:cs="Times New Roman" w:eastAsia="Times New Roman" w:hAnsi="Times New Roman"/>
                <w:sz w:val="13"/>
                <w:szCs w:val="13"/>
                <w:color w:val="auto"/>
              </w:rPr>
              <w:t>9.77% (incl. 4.13%</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42,004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43,502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4/2030)</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PIK)</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37,041)</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revolving loan (EUR 208 par,</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4/10/2024</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E + 7.25%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9.27%</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212</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256</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due 4/2030)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(EUR 218)</w:t>
            </w: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shd w:val="clear" w:color="auto" w:fill="CFF0FC"/>
          </w:tcPr>
          <w:p>
            <w:pPr>
              <w:spacing w:after="0"/>
              <w:rPr>
                <w:sz w:val="12"/>
                <w:szCs w:val="12"/>
                <w:color w:val="auto"/>
              </w:rPr>
            </w:pPr>
          </w:p>
        </w:tc>
        <w:tc>
          <w:tcPr>
            <w:tcW w:w="23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260,806</w:t>
            </w:r>
          </w:p>
        </w:tc>
        <w:tc>
          <w:tcPr>
            <w:tcW w:w="10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267,308</w:t>
            </w:r>
          </w:p>
        </w:tc>
        <w:tc>
          <w:tcPr>
            <w:tcW w:w="12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115"/>
        </w:trPr>
        <w:tc>
          <w:tcPr>
            <w:tcW w:w="264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Human Resource Support Services</w:t>
            </w:r>
          </w:p>
        </w:tc>
        <w:tc>
          <w:tcPr>
            <w:tcW w:w="2380" w:type="dxa"/>
            <w:vAlign w:val="bottom"/>
            <w:tcBorders>
              <w:top w:val="single" w:sz="8" w:color="CFF0FC"/>
            </w:tcBorders>
          </w:tcPr>
          <w:p>
            <w:pPr>
              <w:spacing w:after="0"/>
              <w:rPr>
                <w:sz w:val="10"/>
                <w:szCs w:val="10"/>
                <w:color w:val="auto"/>
              </w:rPr>
            </w:pPr>
          </w:p>
        </w:tc>
        <w:tc>
          <w:tcPr>
            <w:tcW w:w="800" w:type="dxa"/>
            <w:vAlign w:val="bottom"/>
            <w:tcBorders>
              <w:top w:val="single" w:sz="8" w:color="CFF0FC"/>
            </w:tcBorders>
          </w:tcPr>
          <w:p>
            <w:pPr>
              <w:spacing w:after="0"/>
              <w:rPr>
                <w:sz w:val="10"/>
                <w:szCs w:val="10"/>
                <w:color w:val="auto"/>
              </w:rPr>
            </w:pPr>
          </w:p>
        </w:tc>
        <w:tc>
          <w:tcPr>
            <w:tcW w:w="1100" w:type="dxa"/>
            <w:vAlign w:val="bottom"/>
            <w:tcBorders>
              <w:top w:val="single" w:sz="8" w:color="CFF0FC"/>
            </w:tcBorders>
          </w:tcPr>
          <w:p>
            <w:pPr>
              <w:spacing w:after="0"/>
              <w:rPr>
                <w:sz w:val="10"/>
                <w:szCs w:val="10"/>
                <w:color w:val="auto"/>
              </w:rPr>
            </w:pPr>
          </w:p>
        </w:tc>
        <w:tc>
          <w:tcPr>
            <w:tcW w:w="1420" w:type="dxa"/>
            <w:vAlign w:val="bottom"/>
            <w:tcBorders>
              <w:top w:val="single" w:sz="8" w:color="CFF0F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64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Axonify, Inc. </w:t>
            </w:r>
            <w:r>
              <w:rPr>
                <w:rFonts w:ascii="Times New Roman" w:cs="Times New Roman" w:eastAsia="Times New Roman" w:hAnsi="Times New Roman"/>
                <w:sz w:val="18"/>
                <w:szCs w:val="18"/>
                <w:color w:val="auto"/>
                <w:vertAlign w:val="superscript"/>
              </w:rPr>
              <w:t>(3)(4)(5)</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First-lien loan ($45,113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5/5/2021</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SOFR + 6.65%</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10.55%</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44,851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45,113</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bswift, LLC </w:t>
            </w:r>
            <w:r>
              <w:rPr>
                <w:rFonts w:ascii="Times New Roman" w:cs="Times New Roman" w:eastAsia="Times New Roman" w:hAnsi="Times New Roman"/>
                <w:sz w:val="18"/>
                <w:szCs w:val="18"/>
                <w:color w:val="auto"/>
                <w:vertAlign w:val="superscript"/>
              </w:rPr>
              <w:t>(3)(5)</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5/2027)</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($54,630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11/7/2022</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+ 4.75%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8.64%</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53,925</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54,766</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Elysian Finco Ltd. </w:t>
            </w:r>
            <w:r>
              <w:rPr>
                <w:rFonts w:ascii="Times New Roman" w:cs="Times New Roman" w:eastAsia="Times New Roman" w:hAnsi="Times New Roman"/>
                <w:sz w:val="18"/>
                <w:szCs w:val="18"/>
                <w:color w:val="auto"/>
                <w:vertAlign w:val="superscript"/>
              </w:rPr>
              <w:t>(3)(4)(5)</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11/2028)</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($21,745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1/31/2022</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+ 5.15%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8.82%</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21,548</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21,691</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1/2028)</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revolving loan (GBP</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1/31/2022</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 + 4.00%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7.73%</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1,352</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1,381</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HireVue, Inc. </w:t>
            </w:r>
            <w:r>
              <w:rPr>
                <w:rFonts w:ascii="Times New Roman" w:cs="Times New Roman" w:eastAsia="Times New Roman" w:hAnsi="Times New Roman"/>
                <w:sz w:val="18"/>
                <w:szCs w:val="18"/>
                <w:color w:val="auto"/>
                <w:vertAlign w:val="superscript"/>
              </w:rPr>
              <w:t>(3)</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1,055 par, due 1/2028)</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 1,027)</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($53,031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5/3/2023</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+ 6.75%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10.59%</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52,041</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50,909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5/2029)</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revolving loan ($6,887 par,</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5/3/2023</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+ 6.75%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10.57%</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6,775</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6,612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Madcap Software, Inc. </w:t>
            </w:r>
            <w:r>
              <w:rPr>
                <w:rFonts w:ascii="Times New Roman" w:cs="Times New Roman" w:eastAsia="Times New Roman" w:hAnsi="Times New Roman"/>
                <w:sz w:val="18"/>
                <w:szCs w:val="18"/>
                <w:color w:val="auto"/>
                <w:vertAlign w:val="superscript"/>
              </w:rPr>
              <w:t>(3)(5)</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due 5/2029)</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($31,850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12/15/2023</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+ 6.10%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9.77%</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31,582</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31,850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PayScale Holdings, Inc. </w:t>
            </w:r>
            <w:r>
              <w:rPr>
                <w:rFonts w:ascii="Times New Roman" w:cs="Times New Roman" w:eastAsia="Times New Roman" w:hAnsi="Times New Roman"/>
                <w:sz w:val="18"/>
                <w:szCs w:val="18"/>
                <w:color w:val="auto"/>
                <w:vertAlign w:val="superscript"/>
              </w:rPr>
              <w:t>(3)(5)</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12/2026)</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($74,916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5/3/2019</w:t>
            </w:r>
          </w:p>
        </w:tc>
        <w:tc>
          <w:tcPr>
            <w:tcW w:w="1100" w:type="dxa"/>
            <w:vAlign w:val="bottom"/>
          </w:tcPr>
          <w:p>
            <w:pPr>
              <w:jc w:val="right"/>
              <w:ind w:right="173"/>
              <w:spacing w:after="0" w:line="136" w:lineRule="exact"/>
              <w:rPr>
                <w:sz w:val="20"/>
                <w:szCs w:val="20"/>
                <w:color w:val="auto"/>
              </w:rPr>
            </w:pPr>
            <w:r>
              <w:rPr>
                <w:rFonts w:ascii="Times New Roman" w:cs="Times New Roman" w:eastAsia="Times New Roman" w:hAnsi="Times New Roman"/>
                <w:sz w:val="13"/>
                <w:szCs w:val="13"/>
                <w:color w:val="auto"/>
              </w:rPr>
              <w:t>SOFR +</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8.92%</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74,721</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74,879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2380" w:type="dxa"/>
            <w:vAlign w:val="bottom"/>
          </w:tcPr>
          <w:p>
            <w:pPr>
              <w:ind w:left="120"/>
              <w:spacing w:after="0" w:line="148" w:lineRule="exact"/>
              <w:rPr>
                <w:sz w:val="20"/>
                <w:szCs w:val="20"/>
                <w:color w:val="auto"/>
              </w:rPr>
            </w:pPr>
            <w:r>
              <w:rPr>
                <w:rFonts w:ascii="Times New Roman" w:cs="Times New Roman" w:eastAsia="Times New Roman" w:hAnsi="Times New Roman"/>
                <w:sz w:val="13"/>
                <w:szCs w:val="13"/>
                <w:color w:val="auto"/>
              </w:rPr>
              <w:t>10/2029)</w:t>
            </w:r>
          </w:p>
        </w:tc>
        <w:tc>
          <w:tcPr>
            <w:tcW w:w="800" w:type="dxa"/>
            <w:vAlign w:val="bottom"/>
          </w:tcPr>
          <w:p>
            <w:pPr>
              <w:spacing w:after="0"/>
              <w:rPr>
                <w:sz w:val="12"/>
                <w:szCs w:val="12"/>
                <w:color w:val="auto"/>
              </w:rPr>
            </w:pPr>
          </w:p>
        </w:tc>
        <w:tc>
          <w:tcPr>
            <w:tcW w:w="1100" w:type="dxa"/>
            <w:vAlign w:val="bottom"/>
          </w:tcPr>
          <w:p>
            <w:pPr>
              <w:jc w:val="right"/>
              <w:ind w:right="133"/>
              <w:spacing w:after="0" w:line="148" w:lineRule="exact"/>
              <w:rPr>
                <w:sz w:val="20"/>
                <w:szCs w:val="20"/>
                <w:color w:val="auto"/>
              </w:rPr>
            </w:pPr>
            <w:r>
              <w:rPr>
                <w:rFonts w:ascii="Times New Roman" w:cs="Times New Roman" w:eastAsia="Times New Roman" w:hAnsi="Times New Roman"/>
                <w:sz w:val="13"/>
                <w:szCs w:val="13"/>
                <w:color w:val="auto"/>
              </w:rPr>
              <w:t>5.25%</w:t>
            </w:r>
          </w:p>
        </w:tc>
        <w:tc>
          <w:tcPr>
            <w:tcW w:w="14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shd w:val="clear" w:color="auto" w:fill="CFF0FC"/>
          </w:tcPr>
          <w:p>
            <w:pPr>
              <w:spacing w:after="0"/>
              <w:rPr>
                <w:sz w:val="12"/>
                <w:szCs w:val="12"/>
                <w:color w:val="auto"/>
              </w:rPr>
            </w:pPr>
          </w:p>
        </w:tc>
        <w:tc>
          <w:tcPr>
            <w:tcW w:w="23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286,795</w:t>
            </w:r>
          </w:p>
        </w:tc>
        <w:tc>
          <w:tcPr>
            <w:tcW w:w="10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287,201</w:t>
            </w:r>
          </w:p>
        </w:tc>
        <w:tc>
          <w:tcPr>
            <w:tcW w:w="12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115"/>
        </w:trPr>
        <w:tc>
          <w:tcPr>
            <w:tcW w:w="264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Internet Services</w:t>
            </w:r>
          </w:p>
        </w:tc>
        <w:tc>
          <w:tcPr>
            <w:tcW w:w="2380" w:type="dxa"/>
            <w:vAlign w:val="bottom"/>
            <w:tcBorders>
              <w:top w:val="single" w:sz="8" w:color="CFF0FC"/>
            </w:tcBorders>
          </w:tcPr>
          <w:p>
            <w:pPr>
              <w:spacing w:after="0"/>
              <w:rPr>
                <w:sz w:val="10"/>
                <w:szCs w:val="10"/>
                <w:color w:val="auto"/>
              </w:rPr>
            </w:pPr>
          </w:p>
        </w:tc>
        <w:tc>
          <w:tcPr>
            <w:tcW w:w="800" w:type="dxa"/>
            <w:vAlign w:val="bottom"/>
            <w:tcBorders>
              <w:top w:val="single" w:sz="8" w:color="CFF0FC"/>
            </w:tcBorders>
          </w:tcPr>
          <w:p>
            <w:pPr>
              <w:spacing w:after="0"/>
              <w:rPr>
                <w:sz w:val="10"/>
                <w:szCs w:val="10"/>
                <w:color w:val="auto"/>
              </w:rPr>
            </w:pPr>
          </w:p>
        </w:tc>
        <w:tc>
          <w:tcPr>
            <w:tcW w:w="1100" w:type="dxa"/>
            <w:vAlign w:val="bottom"/>
            <w:tcBorders>
              <w:top w:val="single" w:sz="8" w:color="CFF0FC"/>
            </w:tcBorders>
          </w:tcPr>
          <w:p>
            <w:pPr>
              <w:spacing w:after="0"/>
              <w:rPr>
                <w:sz w:val="10"/>
                <w:szCs w:val="10"/>
                <w:color w:val="auto"/>
              </w:rPr>
            </w:pPr>
          </w:p>
        </w:tc>
        <w:tc>
          <w:tcPr>
            <w:tcW w:w="1420" w:type="dxa"/>
            <w:vAlign w:val="bottom"/>
            <w:tcBorders>
              <w:top w:val="single" w:sz="8" w:color="CFF0F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64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Arrow Buyer, Inc. </w:t>
            </w:r>
            <w:r>
              <w:rPr>
                <w:rFonts w:ascii="Times New Roman" w:cs="Times New Roman" w:eastAsia="Times New Roman" w:hAnsi="Times New Roman"/>
                <w:sz w:val="18"/>
                <w:szCs w:val="18"/>
                <w:color w:val="auto"/>
                <w:vertAlign w:val="superscript"/>
              </w:rPr>
              <w:t>(3)</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First-lien loan ($36,651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6/30/2023</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SOFR + 5.00%</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8.67%</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35,988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36,834</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Bayshore Intermediate #2, L.P. </w:t>
            </w:r>
            <w:r>
              <w:rPr>
                <w:rFonts w:ascii="Times New Roman" w:cs="Times New Roman" w:eastAsia="Times New Roman" w:hAnsi="Times New Roman"/>
                <w:sz w:val="18"/>
                <w:szCs w:val="18"/>
                <w:color w:val="auto"/>
                <w:vertAlign w:val="superscript"/>
              </w:rPr>
              <w:t>(3)</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7/2030)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($42,190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10/1/2021</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+ 5.50%</w:t>
            </w:r>
          </w:p>
        </w:tc>
        <w:tc>
          <w:tcPr>
            <w:tcW w:w="1420" w:type="dxa"/>
            <w:vAlign w:val="bottom"/>
          </w:tcPr>
          <w:p>
            <w:pPr>
              <w:jc w:val="right"/>
              <w:ind w:right="173"/>
              <w:spacing w:after="0" w:line="136" w:lineRule="exact"/>
              <w:rPr>
                <w:sz w:val="20"/>
                <w:szCs w:val="20"/>
                <w:color w:val="auto"/>
              </w:rPr>
            </w:pPr>
            <w:r>
              <w:rPr>
                <w:rFonts w:ascii="Times New Roman" w:cs="Times New Roman" w:eastAsia="Times New Roman" w:hAnsi="Times New Roman"/>
                <w:sz w:val="13"/>
                <w:szCs w:val="13"/>
                <w:color w:val="auto"/>
              </w:rPr>
              <w:t>9.19% (incl. 3.00%</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41,875</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42,085</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10/2028)</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PIK)</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revolving loan ($902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10/1/2021</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+ 5.00%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8.69%</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886</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893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Big Wombat Holdings, Inc. </w:t>
            </w:r>
            <w:r>
              <w:rPr>
                <w:rFonts w:ascii="Times New Roman" w:cs="Times New Roman" w:eastAsia="Times New Roman" w:hAnsi="Times New Roman"/>
                <w:sz w:val="18"/>
                <w:szCs w:val="18"/>
                <w:color w:val="auto"/>
                <w:vertAlign w:val="superscript"/>
              </w:rPr>
              <w:t>(3)(5)</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10/2027)</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($47,188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10/20/2025</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+ 7.00%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10.88%</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46,682</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46,598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Coupa Holdings, LLC </w:t>
            </w:r>
            <w:r>
              <w:rPr>
                <w:rFonts w:ascii="Times New Roman" w:cs="Times New Roman" w:eastAsia="Times New Roman" w:hAnsi="Times New Roman"/>
                <w:sz w:val="18"/>
                <w:szCs w:val="18"/>
                <w:color w:val="auto"/>
                <w:vertAlign w:val="superscript"/>
              </w:rPr>
              <w:t>(3)</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4/2031)</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($42,543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2/27/2023</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+ 5.25%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9.09%</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41,844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42,913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EDB Parent, LLC </w:t>
            </w:r>
            <w:r>
              <w:rPr>
                <w:rFonts w:ascii="Times New Roman" w:cs="Times New Roman" w:eastAsia="Times New Roman" w:hAnsi="Times New Roman"/>
                <w:sz w:val="18"/>
                <w:szCs w:val="18"/>
                <w:color w:val="auto"/>
                <w:vertAlign w:val="superscript"/>
              </w:rPr>
              <w:t>(3)(5)</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2/2030)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($76,729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7/7/2022</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+ 7.00%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10.84%</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75,879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76,729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7/2028)</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Flight Intermediate HoldCo, Inc.</w:t>
            </w: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($40,000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10/3/2024</w:t>
            </w:r>
          </w:p>
        </w:tc>
        <w:tc>
          <w:tcPr>
            <w:tcW w:w="11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11.50%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11.50%</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39,154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40,300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Hippo XPA Bidco AB </w:t>
            </w:r>
            <w:r>
              <w:rPr>
                <w:rFonts w:ascii="Times New Roman" w:cs="Times New Roman" w:eastAsia="Times New Roman" w:hAnsi="Times New Roman"/>
                <w:sz w:val="18"/>
                <w:szCs w:val="18"/>
                <w:color w:val="auto"/>
                <w:vertAlign w:val="superscript"/>
              </w:rPr>
              <w:t>(3)(4)</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4/2030)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(SEK 214,115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2/20/2024</w:t>
            </w:r>
          </w:p>
        </w:tc>
        <w:tc>
          <w:tcPr>
            <w:tcW w:w="1100" w:type="dxa"/>
            <w:vAlign w:val="bottom"/>
          </w:tcPr>
          <w:p>
            <w:pPr>
              <w:jc w:val="right"/>
              <w:ind w:right="173"/>
              <w:spacing w:after="0" w:line="136" w:lineRule="exact"/>
              <w:rPr>
                <w:sz w:val="20"/>
                <w:szCs w:val="20"/>
                <w:color w:val="auto"/>
              </w:rPr>
            </w:pPr>
            <w:r>
              <w:rPr>
                <w:rFonts w:ascii="Times New Roman" w:cs="Times New Roman" w:eastAsia="Times New Roman" w:hAnsi="Times New Roman"/>
                <w:sz w:val="13"/>
                <w:szCs w:val="13"/>
                <w:color w:val="auto"/>
              </w:rPr>
              <w:t>STIBOR +</w:t>
            </w:r>
          </w:p>
        </w:tc>
        <w:tc>
          <w:tcPr>
            <w:tcW w:w="1420" w:type="dxa"/>
            <w:vAlign w:val="bottom"/>
          </w:tcPr>
          <w:p>
            <w:pPr>
              <w:jc w:val="right"/>
              <w:ind w:right="173"/>
              <w:spacing w:after="0" w:line="136" w:lineRule="exact"/>
              <w:rPr>
                <w:sz w:val="20"/>
                <w:szCs w:val="20"/>
                <w:color w:val="auto"/>
              </w:rPr>
            </w:pPr>
            <w:r>
              <w:rPr>
                <w:rFonts w:ascii="Times New Roman" w:cs="Times New Roman" w:eastAsia="Times New Roman" w:hAnsi="Times New Roman"/>
                <w:sz w:val="13"/>
                <w:szCs w:val="13"/>
                <w:color w:val="auto"/>
              </w:rPr>
              <w:t>8.60% (incl. 3.63%</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21,310</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23,226</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2/2031)</w:t>
            </w:r>
          </w:p>
        </w:tc>
        <w:tc>
          <w:tcPr>
            <w:tcW w:w="800" w:type="dxa"/>
            <w:vAlign w:val="bottom"/>
          </w:tcPr>
          <w:p>
            <w:pPr>
              <w:spacing w:after="0"/>
              <w:rPr>
                <w:sz w:val="12"/>
                <w:szCs w:val="12"/>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6.75%</w:t>
            </w: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PIK)</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(SEK</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214,115)</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shd w:val="clear" w:color="auto" w:fill="CFF0FC"/>
          </w:tcPr>
          <w:p>
            <w:pPr>
              <w:spacing w:after="0"/>
              <w:rPr>
                <w:sz w:val="11"/>
                <w:szCs w:val="11"/>
                <w:color w:val="auto"/>
              </w:rPr>
            </w:pPr>
          </w:p>
        </w:tc>
        <w:tc>
          <w:tcPr>
            <w:tcW w:w="2380" w:type="dxa"/>
            <w:vAlign w:val="bottom"/>
            <w:shd w:val="clear" w:color="auto" w:fill="CFF0FC"/>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(EUR 2,571 par, due</w:t>
            </w:r>
          </w:p>
        </w:tc>
        <w:tc>
          <w:tcPr>
            <w:tcW w:w="8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2/20/2024</w:t>
            </w:r>
          </w:p>
        </w:tc>
        <w:tc>
          <w:tcPr>
            <w:tcW w:w="1100" w:type="dxa"/>
            <w:vAlign w:val="bottom"/>
            <w:shd w:val="clear" w:color="auto" w:fill="CFF0FC"/>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E + 6.75%</w:t>
            </w:r>
          </w:p>
        </w:tc>
        <w:tc>
          <w:tcPr>
            <w:tcW w:w="1420" w:type="dxa"/>
            <w:vAlign w:val="bottom"/>
            <w:shd w:val="clear" w:color="auto" w:fill="CFF0FC"/>
          </w:tcPr>
          <w:p>
            <w:pPr>
              <w:jc w:val="right"/>
              <w:ind w:right="173"/>
              <w:spacing w:after="0" w:line="136" w:lineRule="exact"/>
              <w:rPr>
                <w:sz w:val="20"/>
                <w:szCs w:val="20"/>
                <w:color w:val="auto"/>
              </w:rPr>
            </w:pPr>
            <w:r>
              <w:rPr>
                <w:rFonts w:ascii="Times New Roman" w:cs="Times New Roman" w:eastAsia="Times New Roman" w:hAnsi="Times New Roman"/>
                <w:sz w:val="13"/>
                <w:szCs w:val="13"/>
                <w:color w:val="auto"/>
              </w:rPr>
              <w:t>8.77% (incl. 3.63%</w:t>
            </w:r>
          </w:p>
        </w:tc>
        <w:tc>
          <w:tcPr>
            <w:tcW w:w="7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2,756</w:t>
            </w:r>
          </w:p>
        </w:tc>
        <w:tc>
          <w:tcPr>
            <w:tcW w:w="10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3,019</w:t>
            </w:r>
          </w:p>
        </w:tc>
        <w:tc>
          <w:tcPr>
            <w:tcW w:w="120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640" w:type="dxa"/>
            <w:vAlign w:val="bottom"/>
            <w:shd w:val="clear" w:color="auto" w:fill="CFF0FC"/>
          </w:tcPr>
          <w:p>
            <w:pPr>
              <w:spacing w:after="0"/>
              <w:rPr>
                <w:sz w:val="14"/>
                <w:szCs w:val="14"/>
                <w:color w:val="auto"/>
              </w:rPr>
            </w:pPr>
          </w:p>
        </w:tc>
        <w:tc>
          <w:tcPr>
            <w:tcW w:w="2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2/2031)</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rPr>
              <w:t>PIK)</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2,571)</w:t>
            </w: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revolving loan (SEK</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2/20/2024</w:t>
            </w:r>
          </w:p>
        </w:tc>
        <w:tc>
          <w:tcPr>
            <w:tcW w:w="1100" w:type="dxa"/>
            <w:vAlign w:val="bottom"/>
          </w:tcPr>
          <w:p>
            <w:pPr>
              <w:jc w:val="right"/>
              <w:ind w:right="173"/>
              <w:spacing w:after="0" w:line="136" w:lineRule="exact"/>
              <w:rPr>
                <w:sz w:val="20"/>
                <w:szCs w:val="20"/>
                <w:color w:val="auto"/>
              </w:rPr>
            </w:pPr>
            <w:r>
              <w:rPr>
                <w:rFonts w:ascii="Times New Roman" w:cs="Times New Roman" w:eastAsia="Times New Roman" w:hAnsi="Times New Roman"/>
                <w:sz w:val="13"/>
                <w:szCs w:val="13"/>
                <w:color w:val="auto"/>
              </w:rPr>
              <w:t>STIBOR +</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8.00%</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384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424</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Kaseware Intermediate Holding Company </w:t>
            </w:r>
            <w:r>
              <w:rPr>
                <w:rFonts w:ascii="Times New Roman" w:cs="Times New Roman" w:eastAsia="Times New Roman" w:hAnsi="Times New Roman"/>
                <w:sz w:val="18"/>
                <w:szCs w:val="18"/>
                <w:color w:val="auto"/>
                <w:vertAlign w:val="superscript"/>
              </w:rPr>
              <w:t>(3)(5)</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3,906 par, due 2/2031)</w:t>
            </w:r>
          </w:p>
        </w:tc>
        <w:tc>
          <w:tcPr>
            <w:tcW w:w="800" w:type="dxa"/>
            <w:vAlign w:val="bottom"/>
          </w:tcPr>
          <w:p>
            <w:pPr>
              <w:spacing w:after="0"/>
              <w:rPr>
                <w:sz w:val="14"/>
                <w:szCs w:val="14"/>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6.25%</w:t>
            </w: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(SEK 3,906)</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($43,251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10/20/2025</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+ 5.50%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9.23%</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42,339</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42,501</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10/2031)</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Khoros, LLC</w:t>
            </w: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($11,682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5/23/2025</w:t>
            </w:r>
          </w:p>
        </w:tc>
        <w:tc>
          <w:tcPr>
            <w:tcW w:w="11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10.00%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10.00%</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11,682</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11,711</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Kryptona BidCo US, LLC </w:t>
            </w:r>
            <w:r>
              <w:rPr>
                <w:rFonts w:ascii="Times New Roman" w:cs="Times New Roman" w:eastAsia="Times New Roman" w:hAnsi="Times New Roman"/>
                <w:sz w:val="18"/>
                <w:szCs w:val="18"/>
                <w:color w:val="auto"/>
                <w:vertAlign w:val="superscript"/>
              </w:rPr>
              <w:t>(3)</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5/2030)</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($20,595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12/18/2024</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+ 6.00%</w:t>
            </w:r>
          </w:p>
        </w:tc>
        <w:tc>
          <w:tcPr>
            <w:tcW w:w="1420" w:type="dxa"/>
            <w:vAlign w:val="bottom"/>
          </w:tcPr>
          <w:p>
            <w:pPr>
              <w:jc w:val="right"/>
              <w:ind w:right="173"/>
              <w:spacing w:after="0" w:line="136" w:lineRule="exact"/>
              <w:rPr>
                <w:sz w:val="20"/>
                <w:szCs w:val="20"/>
                <w:color w:val="auto"/>
              </w:rPr>
            </w:pPr>
            <w:r>
              <w:rPr>
                <w:rFonts w:ascii="Times New Roman" w:cs="Times New Roman" w:eastAsia="Times New Roman" w:hAnsi="Times New Roman"/>
                <w:sz w:val="13"/>
                <w:szCs w:val="13"/>
                <w:color w:val="auto"/>
              </w:rPr>
              <w:t>9.70% (incl. 3.25%</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20,211</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20,765</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12/2031)</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PIK)</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(EUR 4,766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12/18/2024</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E + 6.00%</w:t>
            </w:r>
          </w:p>
        </w:tc>
        <w:tc>
          <w:tcPr>
            <w:tcW w:w="1420" w:type="dxa"/>
            <w:vAlign w:val="bottom"/>
          </w:tcPr>
          <w:p>
            <w:pPr>
              <w:jc w:val="right"/>
              <w:ind w:right="173"/>
              <w:spacing w:after="0" w:line="136" w:lineRule="exact"/>
              <w:rPr>
                <w:sz w:val="20"/>
                <w:szCs w:val="20"/>
                <w:color w:val="auto"/>
              </w:rPr>
            </w:pPr>
            <w:r>
              <w:rPr>
                <w:rFonts w:ascii="Times New Roman" w:cs="Times New Roman" w:eastAsia="Times New Roman" w:hAnsi="Times New Roman"/>
                <w:sz w:val="13"/>
                <w:szCs w:val="13"/>
                <w:color w:val="auto"/>
              </w:rPr>
              <w:t>8.06% (incl. 3.25%</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4,924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5,640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LeanTaaS Holdings, Inc. </w:t>
            </w:r>
            <w:r>
              <w:rPr>
                <w:rFonts w:ascii="Times New Roman" w:cs="Times New Roman" w:eastAsia="Times New Roman" w:hAnsi="Times New Roman"/>
                <w:sz w:val="18"/>
                <w:szCs w:val="18"/>
                <w:color w:val="auto"/>
                <w:vertAlign w:val="superscript"/>
              </w:rPr>
              <w:t>(3)(5)</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12/2031)</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PIK)</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4,802)</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($62,984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7/12/2022</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+ 7.75%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11.42%</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62,403</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62,827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RainFocus, LLC </w:t>
            </w:r>
            <w:r>
              <w:rPr>
                <w:rFonts w:ascii="Times New Roman" w:cs="Times New Roman" w:eastAsia="Times New Roman" w:hAnsi="Times New Roman"/>
                <w:sz w:val="18"/>
                <w:szCs w:val="18"/>
                <w:color w:val="auto"/>
                <w:vertAlign w:val="superscript"/>
              </w:rPr>
              <w:t>(3)(5)</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7/2028)</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($64,232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4/25/2025</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+ 6.38%</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10.24%</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63,701</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64,072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SMA Technologies Holdings, LLC </w:t>
            </w:r>
            <w:r>
              <w:rPr>
                <w:rFonts w:ascii="Times New Roman" w:cs="Times New Roman" w:eastAsia="Times New Roman" w:hAnsi="Times New Roman"/>
                <w:sz w:val="18"/>
                <w:szCs w:val="18"/>
                <w:color w:val="auto"/>
                <w:vertAlign w:val="superscript"/>
              </w:rPr>
              <w:t>(3)(5)</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4/2031)</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38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First-lien loan ($55,579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10/31/2022</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+ 6.50%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10.32%</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54,434</w:t>
            </w:r>
          </w:p>
        </w:tc>
        <w:tc>
          <w:tcPr>
            <w:tcW w:w="10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56,710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2380" w:type="dxa"/>
            <w:vAlign w:val="bottom"/>
          </w:tcPr>
          <w:p>
            <w:pPr>
              <w:ind w:left="120"/>
              <w:spacing w:after="0" w:line="148" w:lineRule="exact"/>
              <w:rPr>
                <w:sz w:val="20"/>
                <w:szCs w:val="20"/>
                <w:color w:val="auto"/>
              </w:rPr>
            </w:pPr>
            <w:r>
              <w:rPr>
                <w:rFonts w:ascii="Times New Roman" w:cs="Times New Roman" w:eastAsia="Times New Roman" w:hAnsi="Times New Roman"/>
                <w:sz w:val="13"/>
                <w:szCs w:val="13"/>
                <w:color w:val="auto"/>
              </w:rPr>
              <w:t>10/2028)</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Manufacturing</w:t>
            </w:r>
          </w:p>
        </w:tc>
        <w:tc>
          <w:tcPr>
            <w:tcW w:w="2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566,452</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577,247</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35.9%</w:t>
            </w:r>
          </w:p>
        </w:tc>
        <w:tc>
          <w:tcPr>
            <w:tcW w:w="0" w:type="dxa"/>
            <w:vAlign w:val="bottom"/>
          </w:tcPr>
          <w:p>
            <w:pPr>
              <w:spacing w:after="0"/>
              <w:rPr>
                <w:sz w:val="1"/>
                <w:szCs w:val="1"/>
                <w:color w:val="auto"/>
              </w:rPr>
            </w:pPr>
          </w:p>
        </w:tc>
      </w:tr>
      <w:tr>
        <w:trPr>
          <w:trHeight w:val="115"/>
        </w:trPr>
        <w:tc>
          <w:tcPr>
            <w:tcW w:w="2640" w:type="dxa"/>
            <w:vAlign w:val="bottom"/>
            <w:vMerge w:val="continue"/>
          </w:tcPr>
          <w:p>
            <w:pPr>
              <w:spacing w:after="0"/>
              <w:rPr>
                <w:sz w:val="10"/>
                <w:szCs w:val="10"/>
                <w:color w:val="auto"/>
              </w:rPr>
            </w:pPr>
          </w:p>
        </w:tc>
        <w:tc>
          <w:tcPr>
            <w:tcW w:w="2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64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Arcwood Environmental, Inc. </w:t>
            </w:r>
            <w:r>
              <w:rPr>
                <w:rFonts w:ascii="Times New Roman" w:cs="Times New Roman" w:eastAsia="Times New Roman" w:hAnsi="Times New Roman"/>
                <w:sz w:val="18"/>
                <w:szCs w:val="18"/>
                <w:color w:val="auto"/>
                <w:vertAlign w:val="superscript"/>
              </w:rPr>
              <w:t>(3)</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First-lien loan ($12,160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1/31/2024</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SOFR + 5.25%</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9.09%</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12,231</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1/2031)</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ASP Unifrax Holdings, Inc. </w:t>
            </w:r>
            <w:r>
              <w:rPr>
                <w:rFonts w:ascii="Times New Roman" w:cs="Times New Roman" w:eastAsia="Times New Roman" w:hAnsi="Times New Roman"/>
                <w:sz w:val="18"/>
                <w:szCs w:val="18"/>
                <w:color w:val="auto"/>
                <w:vertAlign w:val="superscript"/>
              </w:rPr>
              <w:t>(9)</w:t>
            </w:r>
          </w:p>
        </w:tc>
        <w:tc>
          <w:tcPr>
            <w:tcW w:w="2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First-lien loan ($3,764 par, due 1/2031)</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9/27/2024</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SOFR + 5.00%</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8.71%</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3,764</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21"/>
        </w:trPr>
        <w:tc>
          <w:tcPr>
            <w:tcW w:w="2640" w:type="dxa"/>
            <w:vAlign w:val="bottom"/>
            <w:vMerge w:val="continue"/>
          </w:tcPr>
          <w:p>
            <w:pPr>
              <w:spacing w:after="0"/>
              <w:rPr>
                <w:sz w:val="10"/>
                <w:szCs w:val="10"/>
                <w:color w:val="auto"/>
              </w:rPr>
            </w:pPr>
          </w:p>
        </w:tc>
        <w:tc>
          <w:tcPr>
            <w:tcW w:w="238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First-lien loan ($3,619 par, due 9/2029)</w:t>
            </w:r>
          </w:p>
        </w:tc>
        <w:tc>
          <w:tcPr>
            <w:tcW w:w="8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9/30/2024</w:t>
            </w:r>
          </w:p>
        </w:tc>
        <w:tc>
          <w:tcPr>
            <w:tcW w:w="1100" w:type="dxa"/>
            <w:vAlign w:val="bottom"/>
          </w:tcPr>
          <w:p>
            <w:pPr>
              <w:jc w:val="right"/>
              <w:ind w:right="133"/>
              <w:spacing w:after="0" w:line="122" w:lineRule="exact"/>
              <w:rPr>
                <w:sz w:val="20"/>
                <w:szCs w:val="20"/>
                <w:color w:val="auto"/>
              </w:rPr>
            </w:pPr>
            <w:r>
              <w:rPr>
                <w:rFonts w:ascii="Times New Roman" w:cs="Times New Roman" w:eastAsia="Times New Roman" w:hAnsi="Times New Roman"/>
                <w:sz w:val="13"/>
                <w:szCs w:val="13"/>
                <w:color w:val="auto"/>
              </w:rPr>
              <w:t>SOFR + 7.75%</w:t>
            </w:r>
          </w:p>
        </w:tc>
        <w:tc>
          <w:tcPr>
            <w:tcW w:w="1420" w:type="dxa"/>
            <w:vAlign w:val="bottom"/>
          </w:tcPr>
          <w:p>
            <w:pPr>
              <w:jc w:val="right"/>
              <w:ind w:right="173"/>
              <w:spacing w:after="0" w:line="122" w:lineRule="exact"/>
              <w:rPr>
                <w:sz w:val="20"/>
                <w:szCs w:val="20"/>
                <w:color w:val="auto"/>
              </w:rPr>
            </w:pPr>
            <w:r>
              <w:rPr>
                <w:rFonts w:ascii="Times New Roman" w:cs="Times New Roman" w:eastAsia="Times New Roman" w:hAnsi="Times New Roman"/>
                <w:sz w:val="13"/>
                <w:szCs w:val="13"/>
                <w:color w:val="auto"/>
              </w:rPr>
              <w:t>11.75% (incl. 4.75%</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3,558</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2,877</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9"/>
                <w:szCs w:val="9"/>
                <w:color w:val="auto"/>
              </w:rPr>
              <w:t>(3)</w:t>
            </w: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20" w:type="dxa"/>
            <w:vAlign w:val="bottom"/>
            <w:vMerge w:val="restart"/>
          </w:tcPr>
          <w:p>
            <w:pPr>
              <w:jc w:val="right"/>
              <w:ind w:right="133"/>
              <w:spacing w:after="0"/>
              <w:rPr>
                <w:sz w:val="20"/>
                <w:szCs w:val="20"/>
                <w:color w:val="auto"/>
              </w:rPr>
            </w:pPr>
            <w:r>
              <w:rPr>
                <w:rFonts w:ascii="Times New Roman" w:cs="Times New Roman" w:eastAsia="Times New Roman" w:hAnsi="Times New Roman"/>
                <w:sz w:val="13"/>
                <w:szCs w:val="13"/>
                <w:color w:val="auto"/>
              </w:rPr>
              <w:t>PIK)</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640" w:type="dxa"/>
            <w:vAlign w:val="bottom"/>
          </w:tcPr>
          <w:p>
            <w:pPr>
              <w:spacing w:after="0"/>
              <w:rPr>
                <w:sz w:val="5"/>
                <w:szCs w:val="5"/>
                <w:color w:val="auto"/>
              </w:rPr>
            </w:pPr>
          </w:p>
        </w:tc>
        <w:tc>
          <w:tcPr>
            <w:tcW w:w="2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-6729730</wp:posOffset>
            </wp:positionV>
            <wp:extent cx="7132320"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-6352540</wp:posOffset>
            </wp:positionV>
            <wp:extent cx="7132320" cy="2832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-5675630</wp:posOffset>
            </wp:positionV>
            <wp:extent cx="7132320" cy="1885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-5298440</wp:posOffset>
            </wp:positionV>
            <wp:extent cx="7132320" cy="1885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-4921250</wp:posOffset>
            </wp:positionV>
            <wp:extent cx="7132320" cy="1885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-4544060</wp:posOffset>
            </wp:positionV>
            <wp:extent cx="7132320" cy="1885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-3969385</wp:posOffset>
            </wp:positionV>
            <wp:extent cx="7132320" cy="1885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-3592195</wp:posOffset>
            </wp:positionV>
            <wp:extent cx="7132320" cy="1885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-3215005</wp:posOffset>
            </wp:positionV>
            <wp:extent cx="7132320" cy="1885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-2837815</wp:posOffset>
            </wp:positionV>
            <wp:extent cx="7132320" cy="1885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-1989455</wp:posOffset>
            </wp:positionV>
            <wp:extent cx="7132320" cy="1885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-1612265</wp:posOffset>
            </wp:positionV>
            <wp:extent cx="7132320" cy="1885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-1235075</wp:posOffset>
            </wp:positionV>
            <wp:extent cx="7132320" cy="1885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946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946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-5778500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-5778500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-5778500</wp:posOffset>
            </wp:positionV>
            <wp:extent cx="857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-4072255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-4072255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-4072255</wp:posOffset>
            </wp:positionV>
            <wp:extent cx="8572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-857885</wp:posOffset>
            </wp:positionV>
            <wp:extent cx="7132320" cy="1885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Second-lien note ($2,024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7.10% (incl. 1.25%</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89"/>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Varinem German BidCo GMBH </w:t>
            </w:r>
            <w:r>
              <w:rPr>
                <w:rFonts w:ascii="Times New Roman" w:cs="Times New Roman" w:eastAsia="Times New Roman" w:hAnsi="Times New Roman"/>
                <w:sz w:val="18"/>
                <w:szCs w:val="18"/>
                <w:color w:val="auto"/>
                <w:vertAlign w:val="superscript"/>
              </w:rPr>
              <w:t>(3)(4)</w:t>
            </w:r>
          </w:p>
        </w:tc>
        <w:tc>
          <w:tcPr>
            <w:tcW w:w="2620" w:type="dxa"/>
            <w:vAlign w:val="bottom"/>
          </w:tcPr>
          <w:p>
            <w:pPr>
              <w:ind w:left="360"/>
              <w:spacing w:after="0" w:line="189" w:lineRule="exact"/>
              <w:rPr>
                <w:sz w:val="20"/>
                <w:szCs w:val="20"/>
                <w:color w:val="auto"/>
              </w:rPr>
            </w:pPr>
            <w:r>
              <w:rPr>
                <w:rFonts w:ascii="Times New Roman" w:cs="Times New Roman" w:eastAsia="Times New Roman" w:hAnsi="Times New Roman"/>
                <w:sz w:val="13"/>
                <w:szCs w:val="13"/>
                <w:color w:val="auto"/>
              </w:rPr>
              <w:t xml:space="preserve">9/2029) </w:t>
            </w:r>
            <w:r>
              <w:rPr>
                <w:rFonts w:ascii="Times New Roman" w:cs="Times New Roman" w:eastAsia="Times New Roman" w:hAnsi="Times New Roman"/>
                <w:sz w:val="18"/>
                <w:szCs w:val="18"/>
                <w:color w:val="auto"/>
                <w:vertAlign w:val="superscript"/>
              </w:rPr>
              <w:t>(14)</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PIK)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400" w:type="dxa"/>
            <w:vAlign w:val="bottom"/>
            <w:vMerge w:val="continue"/>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loan (EUR 12,696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7/11/2024</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E + 5.50%</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7.57%</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13,699</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15,097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7/2031)</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12,855)</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shd w:val="clear" w:color="auto" w:fill="CFF0FC"/>
          </w:tcPr>
          <w:p>
            <w:pPr>
              <w:spacing w:after="0"/>
              <w:rPr>
                <w:sz w:val="11"/>
                <w:szCs w:val="11"/>
                <w:color w:val="auto"/>
              </w:rPr>
            </w:pPr>
          </w:p>
        </w:tc>
        <w:tc>
          <w:tcPr>
            <w:tcW w:w="2620" w:type="dxa"/>
            <w:vAlign w:val="bottom"/>
            <w:shd w:val="clear" w:color="auto" w:fill="CFF0FC"/>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loan (EUR 4,392 par, due</w:t>
            </w:r>
          </w:p>
        </w:tc>
        <w:tc>
          <w:tcPr>
            <w:tcW w:w="8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7/11/2024</w:t>
            </w:r>
          </w:p>
        </w:tc>
        <w:tc>
          <w:tcPr>
            <w:tcW w:w="1060" w:type="dxa"/>
            <w:vAlign w:val="bottom"/>
            <w:shd w:val="clear" w:color="auto" w:fill="CFF0FC"/>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E + 4.75%</w:t>
            </w:r>
          </w:p>
        </w:tc>
        <w:tc>
          <w:tcPr>
            <w:tcW w:w="1460" w:type="dxa"/>
            <w:vAlign w:val="bottom"/>
            <w:shd w:val="clear" w:color="auto" w:fill="CFF0FC"/>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6.82%</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4,684</w:t>
            </w:r>
          </w:p>
        </w:tc>
        <w:tc>
          <w:tcPr>
            <w:tcW w:w="1000" w:type="dxa"/>
            <w:vAlign w:val="bottom"/>
            <w:gridSpan w:val="3"/>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5,158</w:t>
            </w:r>
          </w:p>
        </w:tc>
        <w:tc>
          <w:tcPr>
            <w:tcW w:w="120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1"/>
        </w:trPr>
        <w:tc>
          <w:tcPr>
            <w:tcW w:w="2400" w:type="dxa"/>
            <w:vAlign w:val="bottom"/>
            <w:tcBorders>
              <w:bottom w:val="single" w:sz="8" w:color="CFF0FC"/>
            </w:tcBorders>
            <w:shd w:val="clear" w:color="auto" w:fill="CFF0FC"/>
          </w:tcPr>
          <w:p>
            <w:pPr>
              <w:spacing w:after="0"/>
              <w:rPr>
                <w:sz w:val="14"/>
                <w:szCs w:val="14"/>
                <w:color w:val="auto"/>
              </w:rPr>
            </w:pPr>
          </w:p>
        </w:tc>
        <w:tc>
          <w:tcPr>
            <w:tcW w:w="26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7/2031)</w:t>
            </w:r>
          </w:p>
        </w:tc>
        <w:tc>
          <w:tcPr>
            <w:tcW w:w="80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(EUR 4,392)</w:t>
            </w:r>
          </w:p>
        </w:tc>
        <w:tc>
          <w:tcPr>
            <w:tcW w:w="16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Office Products</w:t>
            </w:r>
          </w:p>
        </w:tc>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39,356</w:t>
            </w:r>
          </w:p>
        </w:tc>
        <w:tc>
          <w:tcPr>
            <w:tcW w:w="10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39,350</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15"/>
        </w:trPr>
        <w:tc>
          <w:tcPr>
            <w:tcW w:w="2400" w:type="dxa"/>
            <w:vAlign w:val="bottom"/>
            <w:vMerge w:val="continue"/>
          </w:tcPr>
          <w:p>
            <w:pPr>
              <w:spacing w:after="0"/>
              <w:rPr>
                <w:sz w:val="10"/>
                <w:szCs w:val="10"/>
                <w:color w:val="auto"/>
              </w:rPr>
            </w:pPr>
          </w:p>
        </w:tc>
        <w:tc>
          <w:tcPr>
            <w:tcW w:w="2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4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USR Parent, Inc. </w:t>
            </w:r>
            <w:r>
              <w:rPr>
                <w:rFonts w:ascii="Times New Roman" w:cs="Times New Roman" w:eastAsia="Times New Roman" w:hAnsi="Times New Roman"/>
                <w:sz w:val="18"/>
                <w:szCs w:val="18"/>
                <w:color w:val="auto"/>
                <w:vertAlign w:val="superscript"/>
              </w:rPr>
              <w:t>(3)(5)</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ABL FILO term loan ($9,809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4/25/2022</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SOFR + 6.50%</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10.37%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9,723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9,809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Oil, Gas and Consumable Fuels</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4/2027)</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400" w:type="dxa"/>
            <w:vAlign w:val="bottom"/>
            <w:vMerge w:val="continue"/>
          </w:tcPr>
          <w:p>
            <w:pPr>
              <w:spacing w:after="0"/>
              <w:rPr>
                <w:sz w:val="10"/>
                <w:szCs w:val="10"/>
                <w:color w:val="auto"/>
              </w:rPr>
            </w:pPr>
          </w:p>
        </w:tc>
        <w:tc>
          <w:tcPr>
            <w:tcW w:w="2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4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Laramie Energy, LLC </w:t>
            </w:r>
            <w:r>
              <w:rPr>
                <w:rFonts w:ascii="Times New Roman" w:cs="Times New Roman" w:eastAsia="Times New Roman" w:hAnsi="Times New Roman"/>
                <w:sz w:val="18"/>
                <w:szCs w:val="18"/>
                <w:color w:val="auto"/>
                <w:vertAlign w:val="superscript"/>
              </w:rPr>
              <w:t>(3)</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First-lien loan ($27,317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2/21/2023</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SOFR + 7.10%</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10.82%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27,162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27,590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TRP Assets, LLC </w:t>
            </w:r>
            <w:r>
              <w:rPr>
                <w:rFonts w:ascii="Times New Roman" w:cs="Times New Roman" w:eastAsia="Times New Roman" w:hAnsi="Times New Roman"/>
                <w:sz w:val="18"/>
                <w:szCs w:val="18"/>
                <w:color w:val="auto"/>
                <w:vertAlign w:val="superscript"/>
              </w:rPr>
              <w:t>(3)</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2/2027)</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vMerge w:val="continue"/>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loan ($54,834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12/20/2024</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+ 7.00%</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10.67%</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53,855</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55,485</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2620" w:type="dxa"/>
            <w:vAlign w:val="bottom"/>
          </w:tcPr>
          <w:p>
            <w:pPr>
              <w:ind w:left="360"/>
              <w:spacing w:after="0" w:line="148" w:lineRule="exact"/>
              <w:rPr>
                <w:sz w:val="20"/>
                <w:szCs w:val="20"/>
                <w:color w:val="auto"/>
              </w:rPr>
            </w:pPr>
            <w:r>
              <w:rPr>
                <w:rFonts w:ascii="Times New Roman" w:cs="Times New Roman" w:eastAsia="Times New Roman" w:hAnsi="Times New Roman"/>
                <w:sz w:val="13"/>
                <w:szCs w:val="13"/>
                <w:color w:val="auto"/>
              </w:rPr>
              <w:t>12/2029)</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81,017</w:t>
            </w:r>
          </w:p>
        </w:tc>
        <w:tc>
          <w:tcPr>
            <w:tcW w:w="10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83,075</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15"/>
        </w:trPr>
        <w:tc>
          <w:tcPr>
            <w:tcW w:w="2400" w:type="dxa"/>
            <w:vAlign w:val="bottom"/>
            <w:vMerge w:val="continue"/>
          </w:tcPr>
          <w:p>
            <w:pPr>
              <w:spacing w:after="0"/>
              <w:rPr>
                <w:sz w:val="10"/>
                <w:szCs w:val="10"/>
                <w:color w:val="auto"/>
              </w:rPr>
            </w:pPr>
          </w:p>
        </w:tc>
        <w:tc>
          <w:tcPr>
            <w:tcW w:w="2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4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Boréal Bidco </w:t>
            </w:r>
            <w:r>
              <w:rPr>
                <w:rFonts w:ascii="Times New Roman" w:cs="Times New Roman" w:eastAsia="Times New Roman" w:hAnsi="Times New Roman"/>
                <w:sz w:val="18"/>
                <w:szCs w:val="18"/>
                <w:color w:val="auto"/>
                <w:vertAlign w:val="superscript"/>
              </w:rPr>
              <w:t>(3)(4)</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First-lien note (EUR 13,605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3/24/2025</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E + 7.25%</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9.27% (incl. 5.75%</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14,458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15,858</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3/2032)</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PIK)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Kahua, Inc. </w:t>
            </w:r>
            <w:r>
              <w:rPr>
                <w:rFonts w:ascii="Times New Roman" w:cs="Times New Roman" w:eastAsia="Times New Roman" w:hAnsi="Times New Roman"/>
                <w:sz w:val="18"/>
                <w:szCs w:val="18"/>
                <w:color w:val="auto"/>
                <w:vertAlign w:val="superscript"/>
              </w:rPr>
              <w:t>(3)</w:t>
            </w:r>
          </w:p>
        </w:tc>
        <w:tc>
          <w:tcPr>
            <w:tcW w:w="2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13,503)</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vMerge w:val="continue"/>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loan ($25,000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8/22/2025</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+ 6.00%</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9.72%</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24,671</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24,700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Omnigo Software, LLC </w:t>
            </w:r>
            <w:r>
              <w:rPr>
                <w:rFonts w:ascii="Times New Roman" w:cs="Times New Roman" w:eastAsia="Times New Roman" w:hAnsi="Times New Roman"/>
                <w:sz w:val="18"/>
                <w:szCs w:val="18"/>
                <w:color w:val="auto"/>
                <w:vertAlign w:val="superscript"/>
              </w:rPr>
              <w:t>(3)</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8/2030)</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vMerge w:val="continue"/>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loan ($13,125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12/19/2025</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+ 5.00%</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8.70%</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13,053</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13,049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Scorpio Bidco </w:t>
            </w:r>
            <w:r>
              <w:rPr>
                <w:rFonts w:ascii="Times New Roman" w:cs="Times New Roman" w:eastAsia="Times New Roman" w:hAnsi="Times New Roman"/>
                <w:sz w:val="18"/>
                <w:szCs w:val="18"/>
                <w:color w:val="auto"/>
                <w:vertAlign w:val="superscript"/>
              </w:rPr>
              <w:t>(3)(4)</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12/2030)</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vMerge w:val="continue"/>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loan (EUR 2,511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4/4/2024</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E + 5.75%</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7.77%</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2,682</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2,967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Sediver S.p.A. </w:t>
            </w:r>
            <w:r>
              <w:rPr>
                <w:rFonts w:ascii="Times New Roman" w:cs="Times New Roman" w:eastAsia="Times New Roman" w:hAnsi="Times New Roman"/>
                <w:sz w:val="18"/>
                <w:szCs w:val="18"/>
                <w:color w:val="auto"/>
                <w:vertAlign w:val="superscript"/>
              </w:rPr>
              <w:t>(3)(4)</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4/2031)</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2,526)</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vMerge w:val="continue"/>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note (EUR 6,368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10/29/2024</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E + 5.00%</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7.02%</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6,721</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7,479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10/2031)</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6,368)</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shd w:val="clear" w:color="auto" w:fill="CFF0FC"/>
          </w:tcPr>
          <w:p>
            <w:pPr>
              <w:spacing w:after="0"/>
              <w:rPr>
                <w:sz w:val="11"/>
                <w:szCs w:val="11"/>
                <w:color w:val="auto"/>
              </w:rPr>
            </w:pPr>
          </w:p>
        </w:tc>
        <w:tc>
          <w:tcPr>
            <w:tcW w:w="2620" w:type="dxa"/>
            <w:vAlign w:val="bottom"/>
            <w:shd w:val="clear" w:color="auto" w:fill="CFF0FC"/>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note ($14,085 par, due</w:t>
            </w:r>
          </w:p>
        </w:tc>
        <w:tc>
          <w:tcPr>
            <w:tcW w:w="8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10/29/2024</w:t>
            </w:r>
          </w:p>
        </w:tc>
        <w:tc>
          <w:tcPr>
            <w:tcW w:w="1060" w:type="dxa"/>
            <w:vAlign w:val="bottom"/>
            <w:shd w:val="clear" w:color="auto" w:fill="CFF0FC"/>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+ 5.00%</w:t>
            </w:r>
          </w:p>
        </w:tc>
        <w:tc>
          <w:tcPr>
            <w:tcW w:w="1460" w:type="dxa"/>
            <w:vAlign w:val="bottom"/>
            <w:shd w:val="clear" w:color="auto" w:fill="CFF0FC"/>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8.67%</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13,856</w:t>
            </w:r>
          </w:p>
        </w:tc>
        <w:tc>
          <w:tcPr>
            <w:tcW w:w="1000" w:type="dxa"/>
            <w:vAlign w:val="bottom"/>
            <w:gridSpan w:val="3"/>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14,085</w:t>
            </w:r>
          </w:p>
        </w:tc>
        <w:tc>
          <w:tcPr>
            <w:tcW w:w="120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48"/>
        </w:trPr>
        <w:tc>
          <w:tcPr>
            <w:tcW w:w="2400" w:type="dxa"/>
            <w:vAlign w:val="bottom"/>
            <w:tcBorders>
              <w:bottom w:val="single" w:sz="8" w:color="CFF0FC"/>
            </w:tcBorders>
            <w:shd w:val="clear" w:color="auto" w:fill="CFF0FC"/>
          </w:tcPr>
          <w:p>
            <w:pPr>
              <w:spacing w:after="0"/>
              <w:rPr>
                <w:sz w:val="12"/>
                <w:szCs w:val="12"/>
                <w:color w:val="auto"/>
              </w:rPr>
            </w:pPr>
          </w:p>
        </w:tc>
        <w:tc>
          <w:tcPr>
            <w:tcW w:w="2620" w:type="dxa"/>
            <w:vAlign w:val="bottom"/>
            <w:tcBorders>
              <w:bottom w:val="single" w:sz="8" w:color="CFF0FC"/>
            </w:tcBorders>
            <w:shd w:val="clear" w:color="auto" w:fill="CFF0FC"/>
          </w:tcPr>
          <w:p>
            <w:pPr>
              <w:ind w:left="360"/>
              <w:spacing w:after="0" w:line="148" w:lineRule="exact"/>
              <w:rPr>
                <w:sz w:val="20"/>
                <w:szCs w:val="20"/>
                <w:color w:val="auto"/>
              </w:rPr>
            </w:pPr>
            <w:r>
              <w:rPr>
                <w:rFonts w:ascii="Times New Roman" w:cs="Times New Roman" w:eastAsia="Times New Roman" w:hAnsi="Times New Roman"/>
                <w:sz w:val="13"/>
                <w:szCs w:val="13"/>
                <w:color w:val="auto"/>
              </w:rPr>
              <w:t>10/2031)</w:t>
            </w:r>
          </w:p>
        </w:tc>
        <w:tc>
          <w:tcPr>
            <w:tcW w:w="80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CFF0FC"/>
            </w:tcBorders>
            <w:shd w:val="clear" w:color="auto" w:fill="CFF0FC"/>
          </w:tcPr>
          <w:p>
            <w:pPr>
              <w:spacing w:after="0"/>
              <w:rPr>
                <w:sz w:val="12"/>
                <w:szCs w:val="12"/>
                <w:color w:val="auto"/>
              </w:rPr>
            </w:pPr>
          </w:p>
        </w:tc>
        <w:tc>
          <w:tcPr>
            <w:tcW w:w="14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Pharmaceuticals</w:t>
            </w:r>
          </w:p>
        </w:tc>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75,441</w:t>
            </w:r>
          </w:p>
        </w:tc>
        <w:tc>
          <w:tcPr>
            <w:tcW w:w="10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78,138</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15"/>
        </w:trPr>
        <w:tc>
          <w:tcPr>
            <w:tcW w:w="2400" w:type="dxa"/>
            <w:vAlign w:val="bottom"/>
            <w:vMerge w:val="continue"/>
          </w:tcPr>
          <w:p>
            <w:pPr>
              <w:spacing w:after="0"/>
              <w:rPr>
                <w:sz w:val="10"/>
                <w:szCs w:val="10"/>
                <w:color w:val="auto"/>
              </w:rPr>
            </w:pPr>
          </w:p>
        </w:tc>
        <w:tc>
          <w:tcPr>
            <w:tcW w:w="2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4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Apellis Pharmaceuticals, Inc. </w:t>
            </w:r>
            <w:r>
              <w:rPr>
                <w:rFonts w:ascii="Times New Roman" w:cs="Times New Roman" w:eastAsia="Times New Roman" w:hAnsi="Times New Roman"/>
                <w:sz w:val="18"/>
                <w:szCs w:val="18"/>
                <w:color w:val="auto"/>
                <w:vertAlign w:val="superscript"/>
              </w:rPr>
              <w:t>(3)(4)</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First-lien loan ($19,737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5/13/2024</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SOFR + 5.75%</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9.42%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19,737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19,786</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Arrowhead Pharmaceuticals, Inc. </w:t>
            </w:r>
            <w:r>
              <w:rPr>
                <w:rFonts w:ascii="Times New Roman" w:cs="Times New Roman" w:eastAsia="Times New Roman" w:hAnsi="Times New Roman"/>
                <w:sz w:val="18"/>
                <w:szCs w:val="18"/>
                <w:color w:val="auto"/>
                <w:vertAlign w:val="superscript"/>
              </w:rPr>
              <w:t>(4)</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5/2030)</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vMerge w:val="continue"/>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loan ($26,873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8/7/2024</w:t>
            </w:r>
          </w:p>
        </w:tc>
        <w:tc>
          <w:tcPr>
            <w:tcW w:w="10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15.00%</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15.00%</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26,686</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30,098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Elysium BidCo Limited </w:t>
            </w:r>
            <w:r>
              <w:rPr>
                <w:rFonts w:ascii="Times New Roman" w:cs="Times New Roman" w:eastAsia="Times New Roman" w:hAnsi="Times New Roman"/>
                <w:sz w:val="18"/>
                <w:szCs w:val="18"/>
                <w:color w:val="auto"/>
                <w:vertAlign w:val="superscript"/>
              </w:rPr>
              <w:t>(3)(4)</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8/2031)</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vMerge w:val="continue"/>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loan (EUR 17,985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12/11/2024</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E + 7.25%</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9.27%</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18,463</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20,911</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12/2030)</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17,805)</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shd w:val="clear" w:color="auto" w:fill="CFF0FC"/>
          </w:tcPr>
          <w:p>
            <w:pPr>
              <w:spacing w:after="0"/>
              <w:rPr>
                <w:sz w:val="11"/>
                <w:szCs w:val="11"/>
                <w:color w:val="auto"/>
              </w:rPr>
            </w:pPr>
          </w:p>
        </w:tc>
        <w:tc>
          <w:tcPr>
            <w:tcW w:w="2620" w:type="dxa"/>
            <w:vAlign w:val="bottom"/>
            <w:shd w:val="clear" w:color="auto" w:fill="CFF0FC"/>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loan (GBP 9,953 par, due</w:t>
            </w:r>
          </w:p>
        </w:tc>
        <w:tc>
          <w:tcPr>
            <w:tcW w:w="8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12/11/2024</w:t>
            </w:r>
          </w:p>
        </w:tc>
        <w:tc>
          <w:tcPr>
            <w:tcW w:w="1060" w:type="dxa"/>
            <w:vAlign w:val="bottom"/>
            <w:shd w:val="clear" w:color="auto" w:fill="CFF0FC"/>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 + 7.25%</w:t>
            </w:r>
          </w:p>
        </w:tc>
        <w:tc>
          <w:tcPr>
            <w:tcW w:w="1460" w:type="dxa"/>
            <w:vAlign w:val="bottom"/>
            <w:shd w:val="clear" w:color="auto" w:fill="CFF0FC"/>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10.98%</w:t>
            </w: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12,407</w:t>
            </w:r>
          </w:p>
        </w:tc>
        <w:tc>
          <w:tcPr>
            <w:tcW w:w="1000" w:type="dxa"/>
            <w:vAlign w:val="bottom"/>
            <w:gridSpan w:val="3"/>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13,287</w:t>
            </w:r>
          </w:p>
        </w:tc>
        <w:tc>
          <w:tcPr>
            <w:tcW w:w="120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61"/>
        </w:trPr>
        <w:tc>
          <w:tcPr>
            <w:tcW w:w="2400" w:type="dxa"/>
            <w:vAlign w:val="bottom"/>
            <w:tcBorders>
              <w:bottom w:val="single" w:sz="8" w:color="CFF0FC"/>
            </w:tcBorders>
            <w:shd w:val="clear" w:color="auto" w:fill="CFF0FC"/>
          </w:tcPr>
          <w:p>
            <w:pPr>
              <w:spacing w:after="0"/>
              <w:rPr>
                <w:sz w:val="14"/>
                <w:szCs w:val="14"/>
                <w:color w:val="auto"/>
              </w:rPr>
            </w:pPr>
          </w:p>
        </w:tc>
        <w:tc>
          <w:tcPr>
            <w:tcW w:w="26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12/2030)</w:t>
            </w:r>
          </w:p>
        </w:tc>
        <w:tc>
          <w:tcPr>
            <w:tcW w:w="80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(GBP 9,878)</w:t>
            </w:r>
          </w:p>
        </w:tc>
        <w:tc>
          <w:tcPr>
            <w:tcW w:w="16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2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77,293</w:t>
            </w:r>
          </w:p>
        </w:tc>
        <w:tc>
          <w:tcPr>
            <w:tcW w:w="10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84,082</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15"/>
        </w:trPr>
        <w:tc>
          <w:tcPr>
            <w:tcW w:w="2400" w:type="dxa"/>
            <w:vAlign w:val="bottom"/>
            <w:vMerge w:val="continue"/>
          </w:tcPr>
          <w:p>
            <w:pPr>
              <w:spacing w:after="0"/>
              <w:rPr>
                <w:sz w:val="10"/>
                <w:szCs w:val="10"/>
                <w:color w:val="auto"/>
              </w:rPr>
            </w:pPr>
          </w:p>
        </w:tc>
        <w:tc>
          <w:tcPr>
            <w:tcW w:w="2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4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Cirrus (BidCo) Limited </w:t>
            </w:r>
            <w:r>
              <w:rPr>
                <w:rFonts w:ascii="Times New Roman" w:cs="Times New Roman" w:eastAsia="Times New Roman" w:hAnsi="Times New Roman"/>
                <w:sz w:val="18"/>
                <w:szCs w:val="18"/>
                <w:color w:val="auto"/>
                <w:vertAlign w:val="superscript"/>
              </w:rPr>
              <w:t>(3)(4)(5)</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First-lien loan (GBP 698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8/9/2024</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S + 5.25%</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8.98%</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Retail and Consumer Products</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8/2030)</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 698)</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400" w:type="dxa"/>
            <w:vAlign w:val="bottom"/>
            <w:vMerge w:val="continue"/>
          </w:tcPr>
          <w:p>
            <w:pPr>
              <w:spacing w:after="0"/>
              <w:rPr>
                <w:sz w:val="10"/>
                <w:szCs w:val="10"/>
                <w:color w:val="auto"/>
              </w:rPr>
            </w:pPr>
          </w:p>
        </w:tc>
        <w:tc>
          <w:tcPr>
            <w:tcW w:w="2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40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Acosta </w:t>
            </w:r>
            <w:r>
              <w:rPr>
                <w:rFonts w:ascii="Times New Roman" w:cs="Times New Roman" w:eastAsia="Times New Roman" w:hAnsi="Times New Roman"/>
                <w:sz w:val="18"/>
                <w:szCs w:val="18"/>
                <w:color w:val="auto"/>
                <w:vertAlign w:val="superscript"/>
              </w:rPr>
              <w:t>(3)(9)</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First-lien loan ($13,890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8/20/2024</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SOFR + 5.60%</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9.22%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13,566</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American Achievement, Corp. </w:t>
            </w:r>
            <w:r>
              <w:rPr>
                <w:rFonts w:ascii="Times New Roman" w:cs="Times New Roman" w:eastAsia="Times New Roman" w:hAnsi="Times New Roman"/>
                <w:sz w:val="18"/>
                <w:szCs w:val="18"/>
                <w:color w:val="auto"/>
                <w:vertAlign w:val="superscript"/>
              </w:rPr>
              <w:t>(3)(14)</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8/2031)</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vMerge w:val="continue"/>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loan ($26,664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9/30/2015</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+ 7.35%</w:t>
            </w:r>
          </w:p>
        </w:tc>
        <w:tc>
          <w:tcPr>
            <w:tcW w:w="1540" w:type="dxa"/>
            <w:vAlign w:val="bottom"/>
            <w:gridSpan w:val="2"/>
          </w:tcPr>
          <w:p>
            <w:pPr>
              <w:jc w:val="right"/>
              <w:ind w:right="320"/>
              <w:spacing w:after="0" w:line="136" w:lineRule="exact"/>
              <w:rPr>
                <w:sz w:val="20"/>
                <w:szCs w:val="20"/>
                <w:color w:val="auto"/>
              </w:rPr>
            </w:pPr>
            <w:r>
              <w:rPr>
                <w:rFonts w:ascii="Times New Roman" w:cs="Times New Roman" w:eastAsia="Times New Roman" w:hAnsi="Times New Roman"/>
                <w:sz w:val="13"/>
                <w:szCs w:val="13"/>
                <w:color w:val="auto"/>
              </w:rPr>
              <w:t>11.22% (incl. 10.72%</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25,848</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19,665</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9/2026)</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PIK)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loan ($1,327 par, due 9/2026)</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6/10/2021</w:t>
            </w:r>
          </w:p>
        </w:tc>
        <w:tc>
          <w:tcPr>
            <w:tcW w:w="106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w:t>
            </w:r>
          </w:p>
        </w:tc>
        <w:tc>
          <w:tcPr>
            <w:tcW w:w="1540" w:type="dxa"/>
            <w:vAlign w:val="bottom"/>
            <w:gridSpan w:val="2"/>
          </w:tcPr>
          <w:p>
            <w:pPr>
              <w:jc w:val="right"/>
              <w:ind w:right="320"/>
              <w:spacing w:after="0" w:line="136" w:lineRule="exact"/>
              <w:rPr>
                <w:sz w:val="20"/>
                <w:szCs w:val="20"/>
                <w:color w:val="auto"/>
              </w:rPr>
            </w:pPr>
            <w:r>
              <w:rPr>
                <w:rFonts w:ascii="Times New Roman" w:cs="Times New Roman" w:eastAsia="Times New Roman" w:hAnsi="Times New Roman"/>
                <w:sz w:val="13"/>
                <w:szCs w:val="13"/>
                <w:color w:val="auto"/>
              </w:rPr>
              <w:t>18.97% (incl. 18.47%</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1,327</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15.10%</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PIK)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Subordinated note ($4,740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3/16/2021</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+ 1.15%</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5.14%</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545</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59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Bed Bath and Beyond Inc. </w:t>
            </w:r>
            <w:r>
              <w:rPr>
                <w:rFonts w:ascii="Times New Roman" w:cs="Times New Roman" w:eastAsia="Times New Roman" w:hAnsi="Times New Roman"/>
                <w:sz w:val="18"/>
                <w:szCs w:val="18"/>
                <w:color w:val="auto"/>
                <w:vertAlign w:val="superscript"/>
              </w:rPr>
              <w:t>(3)(15)</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9/2026)</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vMerge w:val="continue"/>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ABL FILO term loan ($5,910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9/2/2022</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+ 9.90%</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13.62%</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5,851</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4,758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8/2027)</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26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Roll Up DIP term loan ($25,255 par)</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4/24/2023</w:t>
            </w:r>
          </w:p>
        </w:tc>
        <w:tc>
          <w:tcPr>
            <w:tcW w:w="1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3"/>
                <w:szCs w:val="13"/>
                <w:color w:val="auto"/>
              </w:rPr>
              <w:t>SOFR + 7.90%</w:t>
            </w: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11.62% PIK</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25,255</w:t>
            </w: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20,331</w:t>
            </w: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36"/>
        </w:trPr>
        <w:tc>
          <w:tcPr>
            <w:tcW w:w="2400" w:type="dxa"/>
            <w:vAlign w:val="bottom"/>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Super-Priority DIP term loan</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4/24/2023</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+ 7.90%</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11.62%</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3,575</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2,878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Belk, Inc. </w:t>
            </w:r>
            <w:r>
              <w:rPr>
                <w:rFonts w:ascii="Times New Roman" w:cs="Times New Roman" w:eastAsia="Times New Roman" w:hAnsi="Times New Roman"/>
                <w:sz w:val="18"/>
                <w:szCs w:val="18"/>
                <w:color w:val="auto"/>
                <w:vertAlign w:val="superscript"/>
              </w:rPr>
              <w:t>(3)</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($3,575 par)</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vMerge w:val="continue"/>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loan ($46,875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7/22/2024</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+ 7.00%</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10.82%</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46,252</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46,992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Blazing Star Parent, LLC </w:t>
            </w:r>
            <w:r>
              <w:rPr>
                <w:rFonts w:ascii="Times New Roman" w:cs="Times New Roman" w:eastAsia="Times New Roman" w:hAnsi="Times New Roman"/>
                <w:sz w:val="18"/>
                <w:szCs w:val="18"/>
                <w:color w:val="auto"/>
                <w:vertAlign w:val="superscript"/>
              </w:rPr>
              <w:t>(3)</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7/2029)</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vMerge w:val="continue"/>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loan ($69,563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8/28/2025</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+ 7.00%</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10.82%</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68,574</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68,693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Cordance Operations, LLC </w:t>
            </w:r>
            <w:r>
              <w:rPr>
                <w:rFonts w:ascii="Times New Roman" w:cs="Times New Roman" w:eastAsia="Times New Roman" w:hAnsi="Times New Roman"/>
                <w:sz w:val="18"/>
                <w:szCs w:val="18"/>
                <w:color w:val="auto"/>
                <w:vertAlign w:val="superscript"/>
              </w:rPr>
              <w:t>(3)</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8/2030)</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vMerge w:val="continue"/>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loan ($64,906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7/25/2022</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+ 8.65%</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12.53%</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64,160</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65,748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Neuintel, LLC </w:t>
            </w:r>
            <w:r>
              <w:rPr>
                <w:rFonts w:ascii="Times New Roman" w:cs="Times New Roman" w:eastAsia="Times New Roman" w:hAnsi="Times New Roman"/>
                <w:sz w:val="18"/>
                <w:szCs w:val="18"/>
                <w:color w:val="auto"/>
                <w:vertAlign w:val="superscript"/>
              </w:rPr>
              <w:t>(3)(5)</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7/2028)</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vMerge w:val="continue"/>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loan ($53,926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12/20/2021</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+ 6.85%</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10.57%</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53,666</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53,522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PDI TA Holdings, Inc. </w:t>
            </w:r>
            <w:r>
              <w:rPr>
                <w:rFonts w:ascii="Times New Roman" w:cs="Times New Roman" w:eastAsia="Times New Roman" w:hAnsi="Times New Roman"/>
                <w:sz w:val="18"/>
                <w:szCs w:val="18"/>
                <w:color w:val="auto"/>
                <w:vertAlign w:val="superscript"/>
              </w:rPr>
              <w:t>(3)</w:t>
            </w: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12/2026)</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vMerge w:val="continue"/>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loan ($20,284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2/1/2024</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+ 5.50%</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9.34%</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20,054</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20,334</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2/2031)</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400" w:type="dxa"/>
            <w:vAlign w:val="bottom"/>
          </w:tcPr>
          <w:p>
            <w:pPr>
              <w:spacing w:after="0"/>
              <w:rPr>
                <w:sz w:val="11"/>
                <w:szCs w:val="11"/>
                <w:color w:val="auto"/>
              </w:rPr>
            </w:pPr>
          </w:p>
        </w:tc>
        <w:tc>
          <w:tcPr>
            <w:tcW w:w="2620" w:type="dxa"/>
            <w:vAlign w:val="bottom"/>
          </w:tcPr>
          <w:p>
            <w:pPr>
              <w:ind w:left="360"/>
              <w:spacing w:after="0" w:line="136" w:lineRule="exact"/>
              <w:rPr>
                <w:sz w:val="20"/>
                <w:szCs w:val="20"/>
                <w:color w:val="auto"/>
              </w:rPr>
            </w:pPr>
            <w:r>
              <w:rPr>
                <w:rFonts w:ascii="Times New Roman" w:cs="Times New Roman" w:eastAsia="Times New Roman" w:hAnsi="Times New Roman"/>
                <w:sz w:val="13"/>
                <w:szCs w:val="13"/>
                <w:color w:val="auto"/>
              </w:rPr>
              <w:t>First-lien revolving loan ($1,203 par,</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2/1/2024</w:t>
            </w:r>
          </w:p>
        </w:tc>
        <w:tc>
          <w:tcPr>
            <w:tcW w:w="1060" w:type="dxa"/>
            <w:vAlign w:val="bottom"/>
          </w:tcPr>
          <w:p>
            <w:pPr>
              <w:jc w:val="right"/>
              <w:ind w:right="93"/>
              <w:spacing w:after="0" w:line="136" w:lineRule="exact"/>
              <w:rPr>
                <w:sz w:val="20"/>
                <w:szCs w:val="20"/>
                <w:color w:val="auto"/>
              </w:rPr>
            </w:pPr>
            <w:r>
              <w:rPr>
                <w:rFonts w:ascii="Times New Roman" w:cs="Times New Roman" w:eastAsia="Times New Roman" w:hAnsi="Times New Roman"/>
                <w:sz w:val="13"/>
                <w:szCs w:val="13"/>
                <w:color w:val="auto"/>
              </w:rPr>
              <w:t>SOFR + 5.50%</w:t>
            </w:r>
          </w:p>
        </w:tc>
        <w:tc>
          <w:tcPr>
            <w:tcW w:w="14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9.34%</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1,185</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1,207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3"/>
        </w:trPr>
        <w:tc>
          <w:tcPr>
            <w:tcW w:w="2400" w:type="dxa"/>
            <w:vAlign w:val="bottom"/>
          </w:tcPr>
          <w:p>
            <w:pPr>
              <w:spacing w:after="0"/>
              <w:rPr>
                <w:sz w:val="14"/>
                <w:szCs w:val="14"/>
                <w:color w:val="auto"/>
              </w:rPr>
            </w:pPr>
          </w:p>
        </w:tc>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due 2/2031)</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-6849745</wp:posOffset>
            </wp:positionV>
            <wp:extent cx="7132320" cy="1974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-6069965</wp:posOffset>
            </wp:positionV>
            <wp:extent cx="7132320" cy="946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-5786755</wp:posOffset>
            </wp:positionV>
            <wp:extent cx="7132320" cy="939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-5212715</wp:posOffset>
            </wp:positionV>
            <wp:extent cx="7132320" cy="946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-4835525</wp:posOffset>
            </wp:positionV>
            <wp:extent cx="7132320" cy="1885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-4458335</wp:posOffset>
            </wp:positionV>
            <wp:extent cx="7132320" cy="1885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-3789680</wp:posOffset>
            </wp:positionV>
            <wp:extent cx="7132320" cy="946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-3506470</wp:posOffset>
            </wp:positionV>
            <wp:extent cx="7132320" cy="1885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-2734945</wp:posOffset>
            </wp:positionV>
            <wp:extent cx="7132320" cy="939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-2452370</wp:posOffset>
            </wp:positionV>
            <wp:extent cx="7132320" cy="939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-2169160</wp:posOffset>
            </wp:positionV>
            <wp:extent cx="7132320" cy="1885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-1791970</wp:posOffset>
            </wp:positionV>
            <wp:extent cx="7132320" cy="1885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-1132205</wp:posOffset>
            </wp:positionV>
            <wp:extent cx="7132320" cy="1885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-755015</wp:posOffset>
            </wp:positionV>
            <wp:extent cx="7132320" cy="1885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885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-6181090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-6181090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-6181090</wp:posOffset>
            </wp:positionV>
            <wp:extent cx="857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-5504180</wp:posOffset>
            </wp:positionV>
            <wp:extent cx="7132320" cy="1885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-3900805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-3900805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-3900805</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-2846705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-2846705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-2846705</wp:posOffset>
            </wp:positionV>
            <wp:extent cx="857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Rapid Data GmbH Unternehmensberatung </w:t>
            </w:r>
            <w:r>
              <w:rPr>
                <w:rFonts w:ascii="Times New Roman" w:cs="Times New Roman" w:eastAsia="Times New Roman" w:hAnsi="Times New Roman"/>
                <w:sz w:val="18"/>
                <w:szCs w:val="18"/>
                <w:color w:val="auto"/>
                <w:vertAlign w:val="superscript"/>
              </w:rPr>
              <w:t>(3)(4)</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(EUR 7,546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7/11/2023</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E + 6.50%</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8.51%</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8,862</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7/2029)</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7,546)</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60" w:type="dxa"/>
            <w:vAlign w:val="bottom"/>
          </w:tcPr>
          <w:p>
            <w:pPr>
              <w:spacing w:after="0"/>
              <w:rPr>
                <w:sz w:val="11"/>
                <w:szCs w:val="11"/>
                <w:color w:val="auto"/>
              </w:rPr>
            </w:pPr>
          </w:p>
        </w:tc>
        <w:tc>
          <w:tcPr>
            <w:tcW w:w="23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First-lien revolving loan (EUR 328 par,</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7/11/2023</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E + 6.50%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8.43%</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374</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385</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Tango Management Consulting, LLC </w:t>
            </w:r>
            <w:r>
              <w:rPr>
                <w:rFonts w:ascii="Times New Roman" w:cs="Times New Roman" w:eastAsia="Times New Roman" w:hAnsi="Times New Roman"/>
                <w:sz w:val="18"/>
                <w:szCs w:val="18"/>
                <w:color w:val="auto"/>
                <w:vertAlign w:val="superscript"/>
              </w:rPr>
              <w:t>(3)(5)</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due 6/2029)</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 328)</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60" w:type="dxa"/>
            <w:vAlign w:val="bottom"/>
            <w:vMerge w:val="continue"/>
          </w:tcPr>
          <w:p>
            <w:pPr>
              <w:spacing w:after="0"/>
              <w:rPr>
                <w:sz w:val="11"/>
                <w:szCs w:val="11"/>
                <w:color w:val="auto"/>
              </w:rPr>
            </w:pPr>
          </w:p>
        </w:tc>
        <w:tc>
          <w:tcPr>
            <w:tcW w:w="23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First-lien loan ($49,169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6/25/2025</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+ 6.50%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10.50%</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48,120</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48,312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360" w:type="dxa"/>
            <w:vAlign w:val="bottom"/>
          </w:tcPr>
          <w:p>
            <w:pPr>
              <w:ind w:left="100"/>
              <w:spacing w:after="0" w:line="148" w:lineRule="exact"/>
              <w:rPr>
                <w:sz w:val="20"/>
                <w:szCs w:val="20"/>
                <w:color w:val="auto"/>
              </w:rPr>
            </w:pPr>
            <w:r>
              <w:rPr>
                <w:rFonts w:ascii="Times New Roman" w:cs="Times New Roman" w:eastAsia="Times New Roman" w:hAnsi="Times New Roman"/>
                <w:sz w:val="13"/>
                <w:szCs w:val="13"/>
                <w:color w:val="auto"/>
              </w:rPr>
              <w:t>6/2031)</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Transportation</w:t>
            </w:r>
          </w:p>
        </w:tc>
        <w:tc>
          <w:tcPr>
            <w:tcW w:w="2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386,545</w:t>
            </w:r>
          </w:p>
        </w:tc>
        <w:tc>
          <w:tcPr>
            <w:tcW w:w="10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375,412</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23.3%</w:t>
            </w:r>
          </w:p>
        </w:tc>
        <w:tc>
          <w:tcPr>
            <w:tcW w:w="0" w:type="dxa"/>
            <w:vAlign w:val="bottom"/>
          </w:tcPr>
          <w:p>
            <w:pPr>
              <w:spacing w:after="0"/>
              <w:rPr>
                <w:sz w:val="1"/>
                <w:szCs w:val="1"/>
                <w:color w:val="auto"/>
              </w:rPr>
            </w:pPr>
          </w:p>
        </w:tc>
      </w:tr>
      <w:tr>
        <w:trPr>
          <w:trHeight w:val="115"/>
        </w:trPr>
        <w:tc>
          <w:tcPr>
            <w:tcW w:w="266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Ben Nevis Midco Limited </w:t>
            </w:r>
            <w:r>
              <w:rPr>
                <w:rFonts w:ascii="Times New Roman" w:cs="Times New Roman" w:eastAsia="Times New Roman" w:hAnsi="Times New Roman"/>
                <w:sz w:val="17"/>
                <w:szCs w:val="17"/>
                <w:color w:val="auto"/>
                <w:vertAlign w:val="superscript"/>
              </w:rPr>
              <w:t>(3)(4)</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($5,000 par, due 3/2028)</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3/26/2024</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SOFR + 5.50%</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9.33%</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5,038</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72"/>
        </w:trPr>
        <w:tc>
          <w:tcPr>
            <w:tcW w:w="266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Marcura Equities LTD </w:t>
            </w:r>
            <w:r>
              <w:rPr>
                <w:rFonts w:ascii="Times New Roman" w:cs="Times New Roman" w:eastAsia="Times New Roman" w:hAnsi="Times New Roman"/>
                <w:sz w:val="18"/>
                <w:szCs w:val="18"/>
                <w:color w:val="auto"/>
                <w:vertAlign w:val="superscript"/>
              </w:rPr>
              <w:t>(3)(4)</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First-lien loan ($41,520 par, due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8/11/2023</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SOFR + 8.25%</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11.92% (incl. 4.25%</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40,856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41,832</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8/2029)</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PIK)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60" w:type="dxa"/>
            <w:vAlign w:val="bottom"/>
          </w:tcPr>
          <w:p>
            <w:pPr>
              <w:spacing w:after="0"/>
              <w:rPr>
                <w:sz w:val="11"/>
                <w:szCs w:val="11"/>
                <w:color w:val="auto"/>
              </w:rPr>
            </w:pPr>
          </w:p>
        </w:tc>
        <w:tc>
          <w:tcPr>
            <w:tcW w:w="23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First-lien loan (GBP 1,107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8/11/2023</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 + 8.25%</w:t>
            </w:r>
          </w:p>
        </w:tc>
        <w:tc>
          <w:tcPr>
            <w:tcW w:w="150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color w:val="auto"/>
              </w:rPr>
              <w:t>11.98% (incl. 4.25%</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1,378</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1,500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8/2029)</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PIK)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(GBP 1,115)</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60" w:type="dxa"/>
            <w:vAlign w:val="bottom"/>
          </w:tcPr>
          <w:p>
            <w:pPr>
              <w:spacing w:after="0"/>
              <w:rPr>
                <w:sz w:val="11"/>
                <w:szCs w:val="11"/>
                <w:color w:val="auto"/>
              </w:rPr>
            </w:pPr>
          </w:p>
        </w:tc>
        <w:tc>
          <w:tcPr>
            <w:tcW w:w="23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First-lien revolving loan ($1,667 par,</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8/11/2023</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+ 7.50%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11.17%</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1,617</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1,692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Project44, Inc. </w:t>
            </w:r>
            <w:r>
              <w:rPr>
                <w:rFonts w:ascii="Times New Roman" w:cs="Times New Roman" w:eastAsia="Times New Roman" w:hAnsi="Times New Roman"/>
                <w:sz w:val="18"/>
                <w:szCs w:val="18"/>
                <w:color w:val="auto"/>
                <w:vertAlign w:val="superscript"/>
              </w:rPr>
              <w:t>(3)(5)</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due 8/2029)</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60" w:type="dxa"/>
            <w:vAlign w:val="bottom"/>
            <w:vMerge w:val="continue"/>
          </w:tcPr>
          <w:p>
            <w:pPr>
              <w:spacing w:after="0"/>
              <w:rPr>
                <w:sz w:val="11"/>
                <w:szCs w:val="11"/>
                <w:color w:val="auto"/>
              </w:rPr>
            </w:pPr>
          </w:p>
        </w:tc>
        <w:tc>
          <w:tcPr>
            <w:tcW w:w="23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First-lien loan ($54,549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11/12/2021</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+ 6.35%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10.07%</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53,982</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54,140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11/2027)</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6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Rail Acquisitions LLC</w:t>
            </w:r>
          </w:p>
        </w:tc>
        <w:tc>
          <w:tcPr>
            <w:tcW w:w="236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3"/>
                <w:szCs w:val="13"/>
                <w:color w:val="auto"/>
              </w:rPr>
              <w:t>First-lien loan ($25,217 par, due</w:t>
            </w:r>
          </w:p>
        </w:tc>
        <w:tc>
          <w:tcPr>
            <w:tcW w:w="8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1/27/2025</w:t>
            </w:r>
          </w:p>
        </w:tc>
        <w:tc>
          <w:tcPr>
            <w:tcW w:w="1100" w:type="dxa"/>
            <w:vAlign w:val="bottom"/>
            <w:shd w:val="clear" w:color="auto" w:fill="CFF0FC"/>
          </w:tcPr>
          <w:p>
            <w:pPr>
              <w:jc w:val="right"/>
              <w:ind w:right="133"/>
              <w:spacing w:after="0" w:line="122" w:lineRule="exact"/>
              <w:rPr>
                <w:sz w:val="20"/>
                <w:szCs w:val="20"/>
                <w:color w:val="auto"/>
              </w:rPr>
            </w:pPr>
            <w:r>
              <w:rPr>
                <w:rFonts w:ascii="Times New Roman" w:cs="Times New Roman" w:eastAsia="Times New Roman" w:hAnsi="Times New Roman"/>
                <w:sz w:val="13"/>
                <w:szCs w:val="13"/>
                <w:color w:val="auto"/>
              </w:rPr>
              <w:t>SOFR + 6.00%</w:t>
            </w:r>
          </w:p>
        </w:tc>
        <w:tc>
          <w:tcPr>
            <w:tcW w:w="1420" w:type="dxa"/>
            <w:vAlign w:val="bottom"/>
            <w:shd w:val="clear" w:color="auto" w:fill="CFF0FC"/>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9.86%</w:t>
            </w: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24,742</w:t>
            </w:r>
          </w:p>
        </w:tc>
        <w:tc>
          <w:tcPr>
            <w:tcW w:w="1000" w:type="dxa"/>
            <w:vAlign w:val="bottom"/>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24,946</w:t>
            </w:r>
          </w:p>
        </w:tc>
        <w:tc>
          <w:tcPr>
            <w:tcW w:w="1200" w:type="dxa"/>
            <w:vAlign w:val="bottom"/>
            <w:gridSpan w:val="3"/>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89"/>
        </w:trPr>
        <w:tc>
          <w:tcPr>
            <w:tcW w:w="2660" w:type="dxa"/>
            <w:vAlign w:val="bottom"/>
            <w:shd w:val="clear" w:color="auto" w:fill="CFF0FC"/>
          </w:tcPr>
          <w:p>
            <w:pPr>
              <w:spacing w:after="0"/>
              <w:rPr>
                <w:sz w:val="16"/>
                <w:szCs w:val="16"/>
                <w:color w:val="auto"/>
              </w:rPr>
            </w:pPr>
          </w:p>
        </w:tc>
        <w:tc>
          <w:tcPr>
            <w:tcW w:w="236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3"/>
                <w:szCs w:val="13"/>
                <w:color w:val="auto"/>
              </w:rPr>
              <w:t xml:space="preserve">1/2030) </w:t>
            </w:r>
            <w:r>
              <w:rPr>
                <w:rFonts w:ascii="Times New Roman" w:cs="Times New Roman" w:eastAsia="Times New Roman" w:hAnsi="Times New Roman"/>
                <w:sz w:val="18"/>
                <w:szCs w:val="18"/>
                <w:color w:val="auto"/>
                <w:vertAlign w:val="superscript"/>
              </w:rPr>
              <w:t>(3)</w:t>
            </w:r>
          </w:p>
        </w:tc>
        <w:tc>
          <w:tcPr>
            <w:tcW w:w="8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660" w:type="dxa"/>
            <w:vAlign w:val="bottom"/>
          </w:tcPr>
          <w:p>
            <w:pPr>
              <w:spacing w:after="0"/>
              <w:rPr>
                <w:sz w:val="11"/>
                <w:szCs w:val="11"/>
                <w:color w:val="auto"/>
              </w:rPr>
            </w:pPr>
          </w:p>
        </w:tc>
        <w:tc>
          <w:tcPr>
            <w:tcW w:w="23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Second-lien note ($21,423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1/27/2025</w:t>
            </w:r>
          </w:p>
        </w:tc>
        <w:tc>
          <w:tcPr>
            <w:tcW w:w="110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13.75%</w:t>
            </w:r>
          </w:p>
        </w:tc>
        <w:tc>
          <w:tcPr>
            <w:tcW w:w="150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3"/>
                <w:szCs w:val="13"/>
                <w:color w:val="auto"/>
              </w:rPr>
              <w:t>13.75% PIK</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18,292</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19,360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1"/>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Ranger Intermediate II, LLC </w:t>
            </w:r>
            <w:r>
              <w:rPr>
                <w:rFonts w:ascii="Times New Roman" w:cs="Times New Roman" w:eastAsia="Times New Roman" w:hAnsi="Times New Roman"/>
                <w:sz w:val="18"/>
                <w:szCs w:val="18"/>
                <w:color w:val="auto"/>
                <w:vertAlign w:val="superscript"/>
              </w:rPr>
              <w:t>(3)</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1/2031)</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60" w:type="dxa"/>
            <w:vAlign w:val="bottom"/>
            <w:vMerge w:val="continue"/>
          </w:tcPr>
          <w:p>
            <w:pPr>
              <w:spacing w:after="0"/>
              <w:rPr>
                <w:sz w:val="11"/>
                <w:szCs w:val="11"/>
                <w:color w:val="auto"/>
              </w:rPr>
            </w:pPr>
          </w:p>
        </w:tc>
        <w:tc>
          <w:tcPr>
            <w:tcW w:w="23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First-lien loan ($69,361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10/28/2025</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SOFR + 5.75%</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9.36%</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68,341</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68,667</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61"/>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Shiftmove GMBH </w:t>
            </w:r>
            <w:r>
              <w:rPr>
                <w:rFonts w:ascii="Times New Roman" w:cs="Times New Roman" w:eastAsia="Times New Roman" w:hAnsi="Times New Roman"/>
                <w:sz w:val="18"/>
                <w:szCs w:val="18"/>
                <w:color w:val="auto"/>
                <w:vertAlign w:val="superscript"/>
              </w:rPr>
              <w:t>(3)(4)(5)</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10/2031)</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60" w:type="dxa"/>
            <w:vAlign w:val="bottom"/>
            <w:vMerge w:val="continue"/>
          </w:tcPr>
          <w:p>
            <w:pPr>
              <w:spacing w:after="0"/>
              <w:rPr>
                <w:sz w:val="11"/>
                <w:szCs w:val="11"/>
                <w:color w:val="auto"/>
              </w:rPr>
            </w:pPr>
          </w:p>
        </w:tc>
        <w:tc>
          <w:tcPr>
            <w:tcW w:w="23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First-lien loan (EUR 36,338 par, due</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9/30/2024</w:t>
            </w:r>
          </w:p>
        </w:tc>
        <w:tc>
          <w:tcPr>
            <w:tcW w:w="1100" w:type="dxa"/>
            <w:vAlign w:val="bottom"/>
          </w:tcPr>
          <w:p>
            <w:pPr>
              <w:jc w:val="right"/>
              <w:ind w:right="133"/>
              <w:spacing w:after="0" w:line="136" w:lineRule="exact"/>
              <w:rPr>
                <w:sz w:val="20"/>
                <w:szCs w:val="20"/>
                <w:color w:val="auto"/>
              </w:rPr>
            </w:pPr>
            <w:r>
              <w:rPr>
                <w:rFonts w:ascii="Times New Roman" w:cs="Times New Roman" w:eastAsia="Times New Roman" w:hAnsi="Times New Roman"/>
                <w:sz w:val="13"/>
                <w:szCs w:val="13"/>
                <w:color w:val="auto"/>
              </w:rPr>
              <w:t>E + 6.00%</w:t>
            </w:r>
          </w:p>
        </w:tc>
        <w:tc>
          <w:tcPr>
            <w:tcW w:w="142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8.03%</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39,967</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42,809</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9/2030)</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(EUR</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gridSpan w:val="2"/>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36,450)</w:t>
            </w: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254,138</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259,984</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Debt Investments</w:t>
            </w:r>
          </w:p>
        </w:tc>
        <w:tc>
          <w:tcPr>
            <w:tcW w:w="2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3,064,94</w:t>
            </w:r>
          </w:p>
        </w:tc>
        <w:tc>
          <w:tcPr>
            <w:tcW w:w="160" w:type="dxa"/>
            <w:vAlign w:val="bottom"/>
          </w:tcPr>
          <w:p>
            <w:pPr>
              <w:spacing w:after="0"/>
              <w:rPr>
                <w:sz w:val="11"/>
                <w:szCs w:val="11"/>
                <w:color w:val="auto"/>
              </w:rPr>
            </w:pP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3,076,863</w:t>
            </w:r>
          </w:p>
        </w:tc>
        <w:tc>
          <w:tcPr>
            <w:tcW w:w="160" w:type="dxa"/>
            <w:vAlign w:val="bottom"/>
          </w:tcPr>
          <w:p>
            <w:pPr>
              <w:spacing w:after="0"/>
              <w:rPr>
                <w:sz w:val="11"/>
                <w:szCs w:val="11"/>
                <w:color w:val="auto"/>
              </w:rPr>
            </w:pPr>
          </w:p>
        </w:tc>
        <w:tc>
          <w:tcPr>
            <w:tcW w:w="104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191.4%</w:t>
            </w: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Equity and Other Investments</w:t>
            </w:r>
          </w:p>
        </w:tc>
        <w:tc>
          <w:tcPr>
            <w:tcW w:w="2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Business Services</w:t>
            </w:r>
          </w:p>
        </w:tc>
        <w:tc>
          <w:tcPr>
            <w:tcW w:w="2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66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Artisan Topco LP </w:t>
            </w:r>
            <w:r>
              <w:rPr>
                <w:rFonts w:ascii="Times New Roman" w:cs="Times New Roman" w:eastAsia="Times New Roman" w:hAnsi="Times New Roman"/>
                <w:sz w:val="18"/>
                <w:szCs w:val="18"/>
                <w:color w:val="auto"/>
                <w:vertAlign w:val="superscript"/>
              </w:rPr>
              <w:t>(11)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Class A Preferred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11/7/2023</w:t>
            </w: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1,800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Dye &amp; Durham, Ltd. </w:t>
            </w:r>
            <w:r>
              <w:rPr>
                <w:rFonts w:ascii="Times New Roman" w:cs="Times New Roman" w:eastAsia="Times New Roman" w:hAnsi="Times New Roman"/>
                <w:sz w:val="18"/>
                <w:szCs w:val="18"/>
                <w:color w:val="auto"/>
                <w:vertAlign w:val="superscript"/>
              </w:rPr>
              <w:t>(4)</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(2,117,264 units)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60" w:type="dxa"/>
            <w:vAlign w:val="bottom"/>
            <w:vMerge w:val="continue"/>
          </w:tcPr>
          <w:p>
            <w:pPr>
              <w:spacing w:after="0"/>
              <w:rPr>
                <w:sz w:val="11"/>
                <w:szCs w:val="11"/>
                <w:color w:val="auto"/>
              </w:rPr>
            </w:pPr>
          </w:p>
        </w:tc>
        <w:tc>
          <w:tcPr>
            <w:tcW w:w="236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Common Shares (126,968 shares)</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12/3/2021</w:t>
            </w:r>
          </w:p>
        </w:tc>
        <w:tc>
          <w:tcPr>
            <w:tcW w:w="1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3,909</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282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Insight Hideaway Aggregator, L.P. </w:t>
            </w:r>
            <w:r>
              <w:rPr>
                <w:rFonts w:ascii="Times New Roman" w:cs="Times New Roman" w:eastAsia="Times New Roman" w:hAnsi="Times New Roman"/>
                <w:sz w:val="18"/>
                <w:szCs w:val="18"/>
                <w:color w:val="auto"/>
                <w:vertAlign w:val="superscript"/>
              </w:rPr>
              <w:t>(11)</w:t>
            </w:r>
          </w:p>
        </w:tc>
        <w:tc>
          <w:tcPr>
            <w:tcW w:w="2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(CAD 386)</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660" w:type="dxa"/>
            <w:vAlign w:val="bottom"/>
            <w:vMerge w:val="continue"/>
          </w:tcPr>
          <w:p>
            <w:pPr>
              <w:spacing w:after="0"/>
              <w:rPr>
                <w:sz w:val="10"/>
                <w:szCs w:val="10"/>
                <w:color w:val="auto"/>
              </w:rPr>
            </w:pPr>
          </w:p>
        </w:tc>
        <w:tc>
          <w:tcPr>
            <w:tcW w:w="236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Partnership Interest (329,861 units)</w:t>
            </w:r>
          </w:p>
        </w:tc>
        <w:tc>
          <w:tcPr>
            <w:tcW w:w="80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3/19/2024</w:t>
            </w:r>
          </w:p>
        </w:tc>
        <w:tc>
          <w:tcPr>
            <w:tcW w:w="1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3,299</w:t>
            </w:r>
          </w:p>
        </w:tc>
        <w:tc>
          <w:tcPr>
            <w:tcW w:w="100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3"/>
                <w:szCs w:val="13"/>
                <w:color w:val="auto"/>
              </w:rPr>
              <w:t>3,835</w:t>
            </w:r>
          </w:p>
        </w:tc>
        <w:tc>
          <w:tcPr>
            <w:tcW w:w="120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72"/>
        </w:trPr>
        <w:tc>
          <w:tcPr>
            <w:tcW w:w="266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Mitnick TA Aggregator, L.P. </w:t>
            </w:r>
            <w:r>
              <w:rPr>
                <w:rFonts w:ascii="Times New Roman" w:cs="Times New Roman" w:eastAsia="Times New Roman" w:hAnsi="Times New Roman"/>
                <w:sz w:val="18"/>
                <w:szCs w:val="18"/>
                <w:color w:val="auto"/>
                <w:vertAlign w:val="superscript"/>
              </w:rPr>
              <w:t>(11)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Membership Interest (0.43%</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5/2/2022</w:t>
            </w: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3,176</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1"/>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Newark FP Co-Invest, L.P. </w:t>
            </w:r>
            <w:r>
              <w:rPr>
                <w:rFonts w:ascii="Times New Roman" w:cs="Times New Roman" w:eastAsia="Times New Roman" w:hAnsi="Times New Roman"/>
                <w:sz w:val="18"/>
                <w:szCs w:val="18"/>
                <w:color w:val="auto"/>
                <w:vertAlign w:val="superscript"/>
              </w:rPr>
              <w:t>(11)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ownership)</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660" w:type="dxa"/>
            <w:vAlign w:val="bottom"/>
            <w:vMerge w:val="continue"/>
          </w:tcPr>
          <w:p>
            <w:pPr>
              <w:spacing w:after="0"/>
              <w:rPr>
                <w:sz w:val="10"/>
                <w:szCs w:val="10"/>
                <w:color w:val="auto"/>
              </w:rPr>
            </w:pPr>
          </w:p>
        </w:tc>
        <w:tc>
          <w:tcPr>
            <w:tcW w:w="236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Partnership (2,527,719 units)</w:t>
            </w:r>
          </w:p>
        </w:tc>
        <w:tc>
          <w:tcPr>
            <w:tcW w:w="80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11/8/2023</w:t>
            </w:r>
          </w:p>
        </w:tc>
        <w:tc>
          <w:tcPr>
            <w:tcW w:w="1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2,532</w:t>
            </w:r>
          </w:p>
        </w:tc>
        <w:tc>
          <w:tcPr>
            <w:tcW w:w="100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3"/>
                <w:szCs w:val="13"/>
                <w:color w:val="auto"/>
              </w:rPr>
              <w:t>2,399</w:t>
            </w:r>
          </w:p>
        </w:tc>
        <w:tc>
          <w:tcPr>
            <w:tcW w:w="120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2"/>
        </w:trPr>
        <w:tc>
          <w:tcPr>
            <w:tcW w:w="266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Sprinklr, Inc. </w:t>
            </w:r>
            <w:r>
              <w:rPr>
                <w:rFonts w:ascii="Times New Roman" w:cs="Times New Roman" w:eastAsia="Times New Roman" w:hAnsi="Times New Roman"/>
                <w:sz w:val="18"/>
                <w:szCs w:val="18"/>
                <w:color w:val="auto"/>
                <w:vertAlign w:val="superscript"/>
              </w:rPr>
              <w:t>(10)(11)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Shares (283,499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6/24/2021</w:t>
            </w: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2,205</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85"/>
        </w:trPr>
        <w:tc>
          <w:tcPr>
            <w:tcW w:w="2660" w:type="dxa"/>
            <w:vAlign w:val="bottom"/>
          </w:tcPr>
          <w:p>
            <w:pPr>
              <w:spacing w:after="0" w:line="185" w:lineRule="exact"/>
              <w:rPr>
                <w:sz w:val="20"/>
                <w:szCs w:val="20"/>
                <w:color w:val="auto"/>
              </w:rPr>
            </w:pPr>
            <w:r>
              <w:rPr>
                <w:rFonts w:ascii="Times New Roman" w:cs="Times New Roman" w:eastAsia="Times New Roman" w:hAnsi="Times New Roman"/>
                <w:sz w:val="13"/>
                <w:szCs w:val="13"/>
                <w:color w:val="auto"/>
              </w:rPr>
              <w:t xml:space="preserve">Warrior TopCo LP </w:t>
            </w:r>
            <w:r>
              <w:rPr>
                <w:rFonts w:ascii="Times New Roman" w:cs="Times New Roman" w:eastAsia="Times New Roman" w:hAnsi="Times New Roman"/>
                <w:sz w:val="18"/>
                <w:szCs w:val="18"/>
                <w:color w:val="auto"/>
                <w:vertAlign w:val="superscript"/>
              </w:rPr>
              <w:t>(11)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Class A Units (423,729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7/7/2023</w:t>
            </w:r>
          </w:p>
        </w:tc>
        <w:tc>
          <w:tcPr>
            <w:tcW w:w="1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shd w:val="clear" w:color="auto" w:fill="CFF0FC"/>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19,975</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14,358</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15"/>
        </w:trPr>
        <w:tc>
          <w:tcPr>
            <w:tcW w:w="26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Communications</w:t>
            </w:r>
          </w:p>
        </w:tc>
        <w:tc>
          <w:tcPr>
            <w:tcW w:w="2360" w:type="dxa"/>
            <w:vAlign w:val="bottom"/>
            <w:tcBorders>
              <w:top w:val="single" w:sz="8" w:color="CFF0FC"/>
            </w:tcBorders>
          </w:tcPr>
          <w:p>
            <w:pPr>
              <w:spacing w:after="0"/>
              <w:rPr>
                <w:sz w:val="10"/>
                <w:szCs w:val="10"/>
                <w:color w:val="auto"/>
              </w:rPr>
            </w:pPr>
          </w:p>
        </w:tc>
        <w:tc>
          <w:tcPr>
            <w:tcW w:w="800" w:type="dxa"/>
            <w:vAlign w:val="bottom"/>
            <w:tcBorders>
              <w:top w:val="single" w:sz="8" w:color="CFF0FC"/>
            </w:tcBorders>
          </w:tcPr>
          <w:p>
            <w:pPr>
              <w:spacing w:after="0"/>
              <w:rPr>
                <w:sz w:val="10"/>
                <w:szCs w:val="10"/>
                <w:color w:val="auto"/>
              </w:rPr>
            </w:pPr>
          </w:p>
        </w:tc>
        <w:tc>
          <w:tcPr>
            <w:tcW w:w="1100" w:type="dxa"/>
            <w:vAlign w:val="bottom"/>
            <w:tcBorders>
              <w:top w:val="single" w:sz="8" w:color="CFF0FC"/>
            </w:tcBorders>
          </w:tcPr>
          <w:p>
            <w:pPr>
              <w:spacing w:after="0"/>
              <w:rPr>
                <w:sz w:val="10"/>
                <w:szCs w:val="10"/>
                <w:color w:val="auto"/>
              </w:rPr>
            </w:pPr>
          </w:p>
        </w:tc>
        <w:tc>
          <w:tcPr>
            <w:tcW w:w="14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Celtra Technologies, Inc. </w:t>
            </w:r>
            <w:r>
              <w:rPr>
                <w:rFonts w:ascii="Times New Roman" w:cs="Times New Roman" w:eastAsia="Times New Roman" w:hAnsi="Times New Roman"/>
                <w:sz w:val="17"/>
                <w:szCs w:val="17"/>
                <w:color w:val="auto"/>
                <w:vertAlign w:val="superscript"/>
              </w:rPr>
              <w:t>(11)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Class A Units (1,250,000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11/19/2021</w:t>
            </w:r>
          </w:p>
        </w:tc>
        <w:tc>
          <w:tcPr>
            <w:tcW w:w="1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1,578</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2"/>
        </w:trPr>
        <w:tc>
          <w:tcPr>
            <w:tcW w:w="266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IntelePeer Holdings, Inc. </w:t>
            </w:r>
            <w:r>
              <w:rPr>
                <w:rFonts w:ascii="Times New Roman" w:cs="Times New Roman" w:eastAsia="Times New Roman" w:hAnsi="Times New Roman"/>
                <w:sz w:val="18"/>
                <w:szCs w:val="18"/>
                <w:color w:val="auto"/>
                <w:vertAlign w:val="superscript"/>
              </w:rPr>
              <w:t>(11)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Series C Preferred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4/8/2021</w:t>
            </w: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(1,816,295 shares)</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60" w:type="dxa"/>
            <w:vAlign w:val="bottom"/>
            <w:shd w:val="clear" w:color="auto" w:fill="CFF0FC"/>
          </w:tcPr>
          <w:p>
            <w:pPr>
              <w:spacing w:after="0"/>
              <w:rPr>
                <w:sz w:val="11"/>
                <w:szCs w:val="11"/>
                <w:color w:val="auto"/>
              </w:rPr>
            </w:pPr>
          </w:p>
        </w:tc>
        <w:tc>
          <w:tcPr>
            <w:tcW w:w="2360" w:type="dxa"/>
            <w:vAlign w:val="bottom"/>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color w:val="auto"/>
              </w:rPr>
              <w:t>Series D Preferred Shares</w:t>
            </w:r>
          </w:p>
        </w:tc>
        <w:tc>
          <w:tcPr>
            <w:tcW w:w="8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4/8/2021</w:t>
            </w:r>
          </w:p>
        </w:tc>
        <w:tc>
          <w:tcPr>
            <w:tcW w:w="110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2,925</w:t>
            </w:r>
          </w:p>
        </w:tc>
        <w:tc>
          <w:tcPr>
            <w:tcW w:w="1000" w:type="dxa"/>
            <w:vAlign w:val="bottom"/>
            <w:gridSpan w:val="3"/>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329</w:t>
            </w:r>
          </w:p>
        </w:tc>
        <w:tc>
          <w:tcPr>
            <w:tcW w:w="1200" w:type="dxa"/>
            <w:vAlign w:val="bottom"/>
            <w:gridSpan w:val="3"/>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660" w:type="dxa"/>
            <w:vAlign w:val="bottom"/>
            <w:shd w:val="clear" w:color="auto" w:fill="CFF0FC"/>
          </w:tcPr>
          <w:p>
            <w:pPr>
              <w:spacing w:after="0"/>
              <w:rPr>
                <w:sz w:val="14"/>
                <w:szCs w:val="14"/>
                <w:color w:val="auto"/>
              </w:rPr>
            </w:pPr>
          </w:p>
        </w:tc>
        <w:tc>
          <w:tcPr>
            <w:tcW w:w="2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(1,598,874 shares)</w:t>
            </w:r>
          </w:p>
        </w:tc>
        <w:tc>
          <w:tcPr>
            <w:tcW w:w="8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Series D Warrants (106,592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4/8/2021</w:t>
            </w:r>
          </w:p>
        </w:tc>
        <w:tc>
          <w:tcPr>
            <w:tcW w:w="1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shd w:val="clear" w:color="auto" w:fill="CFF0FC"/>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5,991</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2,216</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15"/>
        </w:trPr>
        <w:tc>
          <w:tcPr>
            <w:tcW w:w="26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Education</w:t>
            </w:r>
          </w:p>
        </w:tc>
        <w:tc>
          <w:tcPr>
            <w:tcW w:w="2360" w:type="dxa"/>
            <w:vAlign w:val="bottom"/>
            <w:tcBorders>
              <w:top w:val="single" w:sz="8" w:color="CFF0FC"/>
            </w:tcBorders>
          </w:tcPr>
          <w:p>
            <w:pPr>
              <w:spacing w:after="0"/>
              <w:rPr>
                <w:sz w:val="10"/>
                <w:szCs w:val="10"/>
                <w:color w:val="auto"/>
              </w:rPr>
            </w:pPr>
          </w:p>
        </w:tc>
        <w:tc>
          <w:tcPr>
            <w:tcW w:w="800" w:type="dxa"/>
            <w:vAlign w:val="bottom"/>
            <w:tcBorders>
              <w:top w:val="single" w:sz="8" w:color="CFF0FC"/>
            </w:tcBorders>
          </w:tcPr>
          <w:p>
            <w:pPr>
              <w:spacing w:after="0"/>
              <w:rPr>
                <w:sz w:val="10"/>
                <w:szCs w:val="10"/>
                <w:color w:val="auto"/>
              </w:rPr>
            </w:pPr>
          </w:p>
        </w:tc>
        <w:tc>
          <w:tcPr>
            <w:tcW w:w="1100" w:type="dxa"/>
            <w:vAlign w:val="bottom"/>
            <w:tcBorders>
              <w:top w:val="single" w:sz="8" w:color="CFF0FC"/>
            </w:tcBorders>
          </w:tcPr>
          <w:p>
            <w:pPr>
              <w:spacing w:after="0"/>
              <w:rPr>
                <w:sz w:val="10"/>
                <w:szCs w:val="10"/>
                <w:color w:val="auto"/>
              </w:rPr>
            </w:pPr>
          </w:p>
        </w:tc>
        <w:tc>
          <w:tcPr>
            <w:tcW w:w="14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66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Astra 2L Holdings II LLC </w:t>
            </w:r>
            <w:r>
              <w:rPr>
                <w:rFonts w:ascii="Times New Roman" w:cs="Times New Roman" w:eastAsia="Times New Roman" w:hAnsi="Times New Roman"/>
                <w:sz w:val="18"/>
                <w:szCs w:val="18"/>
                <w:color w:val="auto"/>
                <w:vertAlign w:val="superscript"/>
              </w:rPr>
              <w:t>(11)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Membership Interest (10.17%</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1/13/2022</w:t>
            </w: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EMS Linq, Inc. </w:t>
            </w:r>
            <w:r>
              <w:rPr>
                <w:rFonts w:ascii="Times New Roman" w:cs="Times New Roman" w:eastAsia="Times New Roman" w:hAnsi="Times New Roman"/>
                <w:sz w:val="18"/>
                <w:szCs w:val="18"/>
                <w:color w:val="auto"/>
                <w:vertAlign w:val="superscript"/>
              </w:rPr>
              <w:t>(11)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ownership)</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60" w:type="dxa"/>
            <w:vAlign w:val="bottom"/>
            <w:vMerge w:val="continue"/>
          </w:tcPr>
          <w:p>
            <w:pPr>
              <w:spacing w:after="0"/>
              <w:rPr>
                <w:sz w:val="12"/>
                <w:szCs w:val="12"/>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Class B Units (5,522,526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12/22/2021</w:t>
            </w:r>
          </w:p>
        </w:tc>
        <w:tc>
          <w:tcPr>
            <w:tcW w:w="1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5,523</w:t>
            </w:r>
          </w:p>
        </w:tc>
        <w:tc>
          <w:tcPr>
            <w:tcW w:w="16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1,602</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shd w:val="clear" w:color="auto" w:fill="CFF0FC"/>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8,778</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1,602</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15"/>
        </w:trPr>
        <w:tc>
          <w:tcPr>
            <w:tcW w:w="26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Financial Services</w:t>
            </w:r>
          </w:p>
        </w:tc>
        <w:tc>
          <w:tcPr>
            <w:tcW w:w="2360" w:type="dxa"/>
            <w:vAlign w:val="bottom"/>
            <w:tcBorders>
              <w:top w:val="single" w:sz="8" w:color="CFF0FC"/>
            </w:tcBorders>
          </w:tcPr>
          <w:p>
            <w:pPr>
              <w:spacing w:after="0"/>
              <w:rPr>
                <w:sz w:val="10"/>
                <w:szCs w:val="10"/>
                <w:color w:val="auto"/>
              </w:rPr>
            </w:pPr>
          </w:p>
        </w:tc>
        <w:tc>
          <w:tcPr>
            <w:tcW w:w="800" w:type="dxa"/>
            <w:vAlign w:val="bottom"/>
            <w:tcBorders>
              <w:top w:val="single" w:sz="8" w:color="CFF0FC"/>
            </w:tcBorders>
          </w:tcPr>
          <w:p>
            <w:pPr>
              <w:spacing w:after="0"/>
              <w:rPr>
                <w:sz w:val="10"/>
                <w:szCs w:val="10"/>
                <w:color w:val="auto"/>
              </w:rPr>
            </w:pPr>
          </w:p>
        </w:tc>
        <w:tc>
          <w:tcPr>
            <w:tcW w:w="1100" w:type="dxa"/>
            <w:vAlign w:val="bottom"/>
            <w:tcBorders>
              <w:top w:val="single" w:sz="8" w:color="CFF0FC"/>
            </w:tcBorders>
          </w:tcPr>
          <w:p>
            <w:pPr>
              <w:spacing w:after="0"/>
              <w:rPr>
                <w:sz w:val="10"/>
                <w:szCs w:val="10"/>
                <w:color w:val="auto"/>
              </w:rPr>
            </w:pPr>
          </w:p>
        </w:tc>
        <w:tc>
          <w:tcPr>
            <w:tcW w:w="14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AF Eagle Parent, L.P. </w:t>
            </w:r>
            <w:r>
              <w:rPr>
                <w:rFonts w:ascii="Times New Roman" w:cs="Times New Roman" w:eastAsia="Times New Roman" w:hAnsi="Times New Roman"/>
                <w:sz w:val="17"/>
                <w:szCs w:val="17"/>
                <w:color w:val="auto"/>
                <w:vertAlign w:val="superscript"/>
              </w:rPr>
              <w:t>(11)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Partnership Units (121,329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11/27/2023</w:t>
            </w:r>
          </w:p>
        </w:tc>
        <w:tc>
          <w:tcPr>
            <w:tcW w:w="1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5,717</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2"/>
        </w:trPr>
        <w:tc>
          <w:tcPr>
            <w:tcW w:w="266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Newport Parent Holdings, L.P. </w:t>
            </w:r>
            <w:r>
              <w:rPr>
                <w:rFonts w:ascii="Times New Roman" w:cs="Times New Roman" w:eastAsia="Times New Roman" w:hAnsi="Times New Roman"/>
                <w:sz w:val="18"/>
                <w:szCs w:val="18"/>
                <w:color w:val="auto"/>
                <w:vertAlign w:val="superscript"/>
              </w:rPr>
              <w:t>(11)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Class A-2 Units (131,569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12/10/2020</w:t>
            </w: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9,972</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62"/>
        </w:trPr>
        <w:tc>
          <w:tcPr>
            <w:tcW w:w="266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Oxford Square Capital Corp. </w:t>
            </w:r>
            <w:r>
              <w:rPr>
                <w:rFonts w:ascii="Times New Roman" w:cs="Times New Roman" w:eastAsia="Times New Roman" w:hAnsi="Times New Roman"/>
                <w:sz w:val="18"/>
                <w:szCs w:val="18"/>
                <w:color w:val="auto"/>
                <w:vertAlign w:val="superscript"/>
              </w:rPr>
              <w:t>(4)(10)</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Shares (1,620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8/5/2015</w:t>
            </w: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2"/>
        </w:trPr>
        <w:tc>
          <w:tcPr>
            <w:tcW w:w="266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Passport Labs, Inc. </w:t>
            </w:r>
            <w:r>
              <w:rPr>
                <w:rFonts w:ascii="Times New Roman" w:cs="Times New Roman" w:eastAsia="Times New Roman" w:hAnsi="Times New Roman"/>
                <w:sz w:val="18"/>
                <w:szCs w:val="18"/>
                <w:color w:val="auto"/>
                <w:vertAlign w:val="superscript"/>
              </w:rPr>
              <w:t>(11)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 (17,534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4/28/2021</w:t>
            </w: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99"/>
        </w:trPr>
        <w:tc>
          <w:tcPr>
            <w:tcW w:w="2660" w:type="dxa"/>
            <w:vAlign w:val="bottom"/>
          </w:tcPr>
          <w:p>
            <w:pPr>
              <w:spacing w:after="0" w:line="199" w:lineRule="exact"/>
              <w:rPr>
                <w:sz w:val="20"/>
                <w:szCs w:val="20"/>
                <w:color w:val="auto"/>
              </w:rPr>
            </w:pPr>
            <w:r>
              <w:rPr>
                <w:rFonts w:ascii="Times New Roman" w:cs="Times New Roman" w:eastAsia="Times New Roman" w:hAnsi="Times New Roman"/>
                <w:sz w:val="13"/>
                <w:szCs w:val="13"/>
                <w:color w:val="auto"/>
              </w:rPr>
              <w:t xml:space="preserve">TS Imagine, Inc. </w:t>
            </w:r>
            <w:r>
              <w:rPr>
                <w:rFonts w:ascii="Times New Roman" w:cs="Times New Roman" w:eastAsia="Times New Roman" w:hAnsi="Times New Roman"/>
                <w:sz w:val="18"/>
                <w:szCs w:val="18"/>
                <w:color w:val="auto"/>
                <w:vertAlign w:val="superscript"/>
              </w:rPr>
              <w:t>(13)</w:t>
            </w:r>
          </w:p>
        </w:tc>
        <w:tc>
          <w:tcPr>
            <w:tcW w:w="2360" w:type="dxa"/>
            <w:vAlign w:val="bottom"/>
          </w:tcPr>
          <w:p>
            <w:pPr>
              <w:ind w:left="100"/>
              <w:spacing w:after="0" w:line="199" w:lineRule="exact"/>
              <w:rPr>
                <w:sz w:val="20"/>
                <w:szCs w:val="20"/>
                <w:color w:val="auto"/>
              </w:rPr>
            </w:pPr>
            <w:r>
              <w:rPr>
                <w:rFonts w:ascii="Times New Roman" w:cs="Times New Roman" w:eastAsia="Times New Roman" w:hAnsi="Times New Roman"/>
                <w:sz w:val="13"/>
                <w:szCs w:val="13"/>
                <w:color w:val="auto"/>
              </w:rPr>
              <w:t xml:space="preserve">Class A Units (600,000 units) </w:t>
            </w:r>
            <w:r>
              <w:rPr>
                <w:rFonts w:ascii="Times New Roman" w:cs="Times New Roman" w:eastAsia="Times New Roman" w:hAnsi="Times New Roman"/>
                <w:sz w:val="18"/>
                <w:szCs w:val="18"/>
                <w:color w:val="auto"/>
                <w:vertAlign w:val="superscript"/>
              </w:rPr>
              <w:t>(11)</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5/14/2021</w:t>
            </w: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Class AA Units (19,093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11/1/2024</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20.00%</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6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shd w:val="clear" w:color="auto" w:fill="CFF0FC"/>
          </w:tcPr>
          <w:p>
            <w:pPr>
              <w:spacing w:after="0"/>
              <w:rPr>
                <w:sz w:val="12"/>
                <w:szCs w:val="12"/>
                <w:color w:val="auto"/>
              </w:rPr>
            </w:pPr>
          </w:p>
        </w:tc>
        <w:tc>
          <w:tcPr>
            <w:tcW w:w="23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9,112</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16,461</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15"/>
        </w:trPr>
        <w:tc>
          <w:tcPr>
            <w:tcW w:w="266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Healthcare</w:t>
            </w:r>
          </w:p>
        </w:tc>
        <w:tc>
          <w:tcPr>
            <w:tcW w:w="2360" w:type="dxa"/>
            <w:vAlign w:val="bottom"/>
            <w:tcBorders>
              <w:top w:val="single" w:sz="8" w:color="CFF0FC"/>
            </w:tcBorders>
          </w:tcPr>
          <w:p>
            <w:pPr>
              <w:spacing w:after="0"/>
              <w:rPr>
                <w:sz w:val="10"/>
                <w:szCs w:val="10"/>
                <w:color w:val="auto"/>
              </w:rPr>
            </w:pPr>
          </w:p>
        </w:tc>
        <w:tc>
          <w:tcPr>
            <w:tcW w:w="800" w:type="dxa"/>
            <w:vAlign w:val="bottom"/>
            <w:tcBorders>
              <w:top w:val="single" w:sz="8" w:color="CFF0FC"/>
            </w:tcBorders>
          </w:tcPr>
          <w:p>
            <w:pPr>
              <w:spacing w:after="0"/>
              <w:rPr>
                <w:sz w:val="10"/>
                <w:szCs w:val="10"/>
                <w:color w:val="auto"/>
              </w:rPr>
            </w:pPr>
          </w:p>
        </w:tc>
        <w:tc>
          <w:tcPr>
            <w:tcW w:w="1100" w:type="dxa"/>
            <w:vAlign w:val="bottom"/>
            <w:tcBorders>
              <w:top w:val="single" w:sz="8" w:color="CFF0FC"/>
            </w:tcBorders>
          </w:tcPr>
          <w:p>
            <w:pPr>
              <w:spacing w:after="0"/>
              <w:rPr>
                <w:sz w:val="10"/>
                <w:szCs w:val="10"/>
                <w:color w:val="auto"/>
              </w:rPr>
            </w:pPr>
          </w:p>
        </w:tc>
        <w:tc>
          <w:tcPr>
            <w:tcW w:w="14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66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Caris Life Sciences, Inc. </w:t>
            </w:r>
            <w:r>
              <w:rPr>
                <w:rFonts w:ascii="Times New Roman" w:cs="Times New Roman" w:eastAsia="Times New Roman" w:hAnsi="Times New Roman"/>
                <w:sz w:val="17"/>
                <w:szCs w:val="17"/>
                <w:color w:val="auto"/>
                <w:vertAlign w:val="superscript"/>
              </w:rPr>
              <w:t>(10)(11)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Shares (962,195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6/20/2025</w:t>
            </w:r>
          </w:p>
        </w:tc>
        <w:tc>
          <w:tcPr>
            <w:tcW w:w="1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25,960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2"/>
        </w:trPr>
        <w:tc>
          <w:tcPr>
            <w:tcW w:w="266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Merative Topco L.P. </w:t>
            </w:r>
            <w:r>
              <w:rPr>
                <w:rFonts w:ascii="Times New Roman" w:cs="Times New Roman" w:eastAsia="Times New Roman" w:hAnsi="Times New Roman"/>
                <w:sz w:val="18"/>
                <w:szCs w:val="18"/>
                <w:color w:val="auto"/>
                <w:vertAlign w:val="superscript"/>
              </w:rPr>
              <w:t>(11)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Class A-1 Units (989,691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6/30/2022</w:t>
            </w: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14,128</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85"/>
        </w:trPr>
        <w:tc>
          <w:tcPr>
            <w:tcW w:w="2660" w:type="dxa"/>
            <w:vAlign w:val="bottom"/>
          </w:tcPr>
          <w:p>
            <w:pPr>
              <w:spacing w:after="0" w:line="185" w:lineRule="exact"/>
              <w:rPr>
                <w:sz w:val="20"/>
                <w:szCs w:val="20"/>
                <w:color w:val="auto"/>
              </w:rPr>
            </w:pPr>
            <w:r>
              <w:rPr>
                <w:rFonts w:ascii="Times New Roman" w:cs="Times New Roman" w:eastAsia="Times New Roman" w:hAnsi="Times New Roman"/>
                <w:sz w:val="13"/>
                <w:szCs w:val="13"/>
                <w:color w:val="auto"/>
              </w:rPr>
              <w:t xml:space="preserve">Raptor US Buyer II Corp. </w:t>
            </w:r>
            <w:r>
              <w:rPr>
                <w:rFonts w:ascii="Times New Roman" w:cs="Times New Roman" w:eastAsia="Times New Roman" w:hAnsi="Times New Roman"/>
                <w:sz w:val="18"/>
                <w:szCs w:val="18"/>
                <w:color w:val="auto"/>
                <w:vertAlign w:val="superscript"/>
              </w:rPr>
              <w:t>(11)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Ordinary Shares (13,176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3/24/2023</w:t>
            </w:r>
          </w:p>
        </w:tc>
        <w:tc>
          <w:tcPr>
            <w:tcW w:w="1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2,353</w:t>
            </w:r>
          </w:p>
        </w:tc>
        <w:tc>
          <w:tcPr>
            <w:tcW w:w="1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Hotel, Gaming and Leisure</w:t>
            </w:r>
          </w:p>
        </w:tc>
        <w:tc>
          <w:tcPr>
            <w:tcW w:w="2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23,052</w:t>
            </w:r>
          </w:p>
        </w:tc>
        <w:tc>
          <w:tcPr>
            <w:tcW w:w="16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42,441</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15"/>
        </w:trPr>
        <w:tc>
          <w:tcPr>
            <w:tcW w:w="2660" w:type="dxa"/>
            <w:vAlign w:val="bottom"/>
            <w:vMerge w:val="continue"/>
          </w:tcPr>
          <w:p>
            <w:pPr>
              <w:spacing w:after="0"/>
              <w:rPr>
                <w:sz w:val="10"/>
                <w:szCs w:val="10"/>
                <w:color w:val="auto"/>
              </w:rPr>
            </w:pPr>
          </w:p>
        </w:tc>
        <w:tc>
          <w:tcPr>
            <w:tcW w:w="2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 xml:space="preserve">IRGSE Holding Corp. </w:t>
            </w:r>
            <w:r>
              <w:rPr>
                <w:rFonts w:ascii="Times New Roman" w:cs="Times New Roman" w:eastAsia="Times New Roman" w:hAnsi="Times New Roman"/>
                <w:sz w:val="18"/>
                <w:szCs w:val="18"/>
                <w:color w:val="auto"/>
                <w:vertAlign w:val="superscript"/>
              </w:rPr>
              <w:t>(6)(11)</w:t>
            </w:r>
          </w:p>
        </w:tc>
        <w:tc>
          <w:tcPr>
            <w:tcW w:w="2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Class A Units (50,140,171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12/21/2018</w:t>
            </w:r>
          </w:p>
        </w:tc>
        <w:tc>
          <w:tcPr>
            <w:tcW w:w="1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21,883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spacing w:after="0"/>
              <w:rPr>
                <w:sz w:val="12"/>
                <w:szCs w:val="12"/>
                <w:color w:val="auto"/>
              </w:rPr>
            </w:pPr>
          </w:p>
        </w:tc>
        <w:tc>
          <w:tcPr>
            <w:tcW w:w="2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Class C-1 Units (8,800,000 units)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12/21/2018</w:t>
            </w:r>
          </w:p>
        </w:tc>
        <w:tc>
          <w:tcPr>
            <w:tcW w:w="11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21,983</w:t>
            </w:r>
          </w:p>
        </w:tc>
        <w:tc>
          <w:tcPr>
            <w:tcW w:w="1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60" w:type="dxa"/>
            <w:vAlign w:val="bottom"/>
          </w:tcPr>
          <w:p>
            <w:pPr>
              <w:spacing w:after="0"/>
              <w:rPr>
                <w:sz w:val="13"/>
                <w:szCs w:val="13"/>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-7141210</wp:posOffset>
            </wp:positionV>
            <wp:extent cx="7132320" cy="1885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-6472555</wp:posOffset>
            </wp:positionV>
            <wp:extent cx="7132320" cy="939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-6275705</wp:posOffset>
            </wp:positionV>
            <wp:extent cx="7132320" cy="1885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-5898515</wp:posOffset>
            </wp:positionV>
            <wp:extent cx="7132320" cy="1885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-5135245</wp:posOffset>
            </wp:positionV>
            <wp:extent cx="7132320" cy="1885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-4166870</wp:posOffset>
            </wp:positionV>
            <wp:extent cx="7132320" cy="946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-3883660</wp:posOffset>
            </wp:positionV>
            <wp:extent cx="7132320" cy="1885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-3592195</wp:posOffset>
            </wp:positionV>
            <wp:extent cx="7132320" cy="1885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-3300730</wp:posOffset>
            </wp:positionV>
            <wp:extent cx="7132320" cy="1028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-2898140</wp:posOffset>
            </wp:positionV>
            <wp:extent cx="7132320" cy="1028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-2117725</wp:posOffset>
            </wp:positionV>
            <wp:extent cx="7132320" cy="1885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-1629410</wp:posOffset>
            </wp:positionV>
            <wp:extent cx="7132320" cy="1028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-1423670</wp:posOffset>
            </wp:positionV>
            <wp:extent cx="7132320" cy="1028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-1217930</wp:posOffset>
            </wp:positionV>
            <wp:extent cx="7132320" cy="1028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-814705</wp:posOffset>
            </wp:positionV>
            <wp:extent cx="7132320" cy="1028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946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-6764020</wp:posOffset>
            </wp:positionV>
            <wp:extent cx="7132320" cy="1885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-4561205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-4561205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-4561205</wp:posOffset>
            </wp:positionV>
            <wp:extent cx="857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-3001010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-3001010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-3001010</wp:posOffset>
            </wp:positionV>
            <wp:extent cx="857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-2220595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-2220595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-2220595</wp:posOffset>
            </wp:positionV>
            <wp:extent cx="857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-1732280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-1732280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-1732280</wp:posOffset>
            </wp:positionV>
            <wp:extent cx="857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-917575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-917575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-917575</wp:posOffset>
            </wp:positionV>
            <wp:extent cx="8572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028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-111760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-111760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-111760</wp:posOffset>
            </wp:positionV>
            <wp:extent cx="857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-8890</wp:posOffset>
            </wp:positionV>
            <wp:extent cx="17576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7576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25"/>
        </w:trPr>
        <w:tc>
          <w:tcPr>
            <w:tcW w:w="2640" w:type="dxa"/>
            <w:vAlign w:val="bottom"/>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Human Resource Support Services</w:t>
            </w:r>
          </w:p>
        </w:tc>
        <w:tc>
          <w:tcPr>
            <w:tcW w:w="2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2640" w:type="dxa"/>
            <w:vAlign w:val="bottom"/>
          </w:tcPr>
          <w:p>
            <w:pPr>
              <w:spacing w:after="0" w:line="199" w:lineRule="exact"/>
              <w:rPr>
                <w:sz w:val="20"/>
                <w:szCs w:val="20"/>
                <w:color w:val="auto"/>
              </w:rPr>
            </w:pPr>
            <w:r>
              <w:rPr>
                <w:rFonts w:ascii="Times New Roman" w:cs="Times New Roman" w:eastAsia="Times New Roman" w:hAnsi="Times New Roman"/>
                <w:sz w:val="13"/>
                <w:szCs w:val="13"/>
                <w:color w:val="auto"/>
              </w:rPr>
              <w:t xml:space="preserve">Axonify, Inc. </w:t>
            </w:r>
            <w:r>
              <w:rPr>
                <w:rFonts w:ascii="Times New Roman" w:cs="Times New Roman" w:eastAsia="Times New Roman" w:hAnsi="Times New Roman"/>
                <w:sz w:val="18"/>
                <w:szCs w:val="18"/>
                <w:color w:val="auto"/>
                <w:vertAlign w:val="superscript"/>
              </w:rPr>
              <w:t>(4)(11)(13)</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Class A-1 Units (3,780,000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5/5/2021</w:t>
            </w: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3,780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3,497</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bswift, LLC</w:t>
            </w:r>
          </w:p>
        </w:tc>
        <w:tc>
          <w:tcPr>
            <w:tcW w:w="24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Class A-1 Units (2,393,509 units)</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11/7/2022</w:t>
            </w:r>
          </w:p>
        </w:tc>
        <w:tc>
          <w:tcPr>
            <w:tcW w:w="1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2,394</w:t>
            </w:r>
          </w:p>
        </w:tc>
        <w:tc>
          <w:tcPr>
            <w:tcW w:w="10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4,727</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52"/>
        </w:trPr>
        <w:tc>
          <w:tcPr>
            <w:tcW w:w="264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DaySmart Holdings, LLC </w:t>
            </w:r>
            <w:r>
              <w:rPr>
                <w:rFonts w:ascii="Times New Roman" w:cs="Times New Roman" w:eastAsia="Times New Roman" w:hAnsi="Times New Roman"/>
                <w:sz w:val="17"/>
                <w:szCs w:val="17"/>
                <w:color w:val="auto"/>
                <w:vertAlign w:val="superscript"/>
              </w:rPr>
              <w:t>(11)</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Class A Units (166,811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12/18/2020</w:t>
            </w:r>
          </w:p>
        </w:tc>
        <w:tc>
          <w:tcPr>
            <w:tcW w:w="1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2,259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2"/>
        </w:trPr>
        <w:tc>
          <w:tcPr>
            <w:tcW w:w="264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Employment Hero Holdings Pty Ltd. </w:t>
            </w:r>
            <w:r>
              <w:rPr>
                <w:rFonts w:ascii="Times New Roman" w:cs="Times New Roman" w:eastAsia="Times New Roman" w:hAnsi="Times New Roman"/>
                <w:sz w:val="18"/>
                <w:szCs w:val="18"/>
                <w:color w:val="auto"/>
                <w:vertAlign w:val="superscript"/>
              </w:rPr>
              <w:t>(4)(11)</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Series E Preferred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3/1/2022</w:t>
            </w: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2,134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4,081</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(113,250 shares)</w:t>
            </w:r>
          </w:p>
        </w:tc>
        <w:tc>
          <w:tcPr>
            <w:tcW w:w="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(AUD</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6,120)</w:t>
            </w: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Internet Services</w:t>
            </w:r>
          </w:p>
        </w:tc>
        <w:tc>
          <w:tcPr>
            <w:tcW w:w="2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9,655</w:t>
            </w:r>
          </w:p>
        </w:tc>
        <w:tc>
          <w:tcPr>
            <w:tcW w:w="10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14,564</w:t>
            </w:r>
          </w:p>
        </w:tc>
        <w:tc>
          <w:tcPr>
            <w:tcW w:w="12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15"/>
        </w:trPr>
        <w:tc>
          <w:tcPr>
            <w:tcW w:w="2640" w:type="dxa"/>
            <w:vAlign w:val="bottom"/>
            <w:vMerge w:val="continue"/>
          </w:tcPr>
          <w:p>
            <w:pPr>
              <w:spacing w:after="0"/>
              <w:rPr>
                <w:sz w:val="10"/>
                <w:szCs w:val="10"/>
                <w:color w:val="auto"/>
              </w:rPr>
            </w:pPr>
          </w:p>
        </w:tc>
        <w:tc>
          <w:tcPr>
            <w:tcW w:w="2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64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Bayshore Intermediate #2, L.P. </w:t>
            </w:r>
            <w:r>
              <w:rPr>
                <w:rFonts w:ascii="Times New Roman" w:cs="Times New Roman" w:eastAsia="Times New Roman" w:hAnsi="Times New Roman"/>
                <w:sz w:val="18"/>
                <w:szCs w:val="18"/>
                <w:color w:val="auto"/>
                <w:vertAlign w:val="superscript"/>
              </w:rPr>
              <w:t>(11)(13)</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Co-Invest Common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10/1/2021</w:t>
            </w: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8,837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12,880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(8,837,008 units)</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240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Co-Invest 2 Common Units</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10/1/2021</w:t>
            </w:r>
          </w:p>
        </w:tc>
        <w:tc>
          <w:tcPr>
            <w:tcW w:w="1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3,494</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5,092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Bigtincan Holdings L.P. </w:t>
            </w:r>
            <w:r>
              <w:rPr>
                <w:rFonts w:ascii="Times New Roman" w:cs="Times New Roman" w:eastAsia="Times New Roman" w:hAnsi="Times New Roman"/>
                <w:sz w:val="18"/>
                <w:szCs w:val="18"/>
                <w:color w:val="auto"/>
                <w:vertAlign w:val="superscript"/>
              </w:rPr>
              <w:t>(11)(12)</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(3,493,701 units)</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640" w:type="dxa"/>
            <w:vAlign w:val="bottom"/>
            <w:vMerge w:val="continue"/>
          </w:tcPr>
          <w:p>
            <w:pPr>
              <w:spacing w:after="0"/>
              <w:rPr>
                <w:sz w:val="10"/>
                <w:szCs w:val="10"/>
                <w:color w:val="auto"/>
              </w:rPr>
            </w:pPr>
          </w:p>
        </w:tc>
        <w:tc>
          <w:tcPr>
            <w:tcW w:w="2400" w:type="dxa"/>
            <w:vAlign w:val="bottom"/>
          </w:tcPr>
          <w:p>
            <w:pPr>
              <w:ind w:left="120"/>
              <w:spacing w:after="0" w:line="126" w:lineRule="exact"/>
              <w:rPr>
                <w:sz w:val="20"/>
                <w:szCs w:val="20"/>
                <w:color w:val="auto"/>
              </w:rPr>
            </w:pPr>
            <w:r>
              <w:rPr>
                <w:rFonts w:ascii="Times New Roman" w:cs="Times New Roman" w:eastAsia="Times New Roman" w:hAnsi="Times New Roman"/>
                <w:sz w:val="13"/>
                <w:szCs w:val="13"/>
                <w:color w:val="auto"/>
              </w:rPr>
              <w:t>Class A Units (2,902,890 units)</w:t>
            </w: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4/16/2025</w:t>
            </w:r>
          </w:p>
        </w:tc>
        <w:tc>
          <w:tcPr>
            <w:tcW w:w="1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color w:val="auto"/>
              </w:rPr>
              <w:t>3,019</w:t>
            </w:r>
          </w:p>
        </w:tc>
        <w:tc>
          <w:tcPr>
            <w:tcW w:w="100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3"/>
                <w:szCs w:val="13"/>
                <w:color w:val="auto"/>
              </w:rPr>
              <w:t>3,020</w:t>
            </w:r>
          </w:p>
        </w:tc>
        <w:tc>
          <w:tcPr>
            <w:tcW w:w="1200" w:type="dxa"/>
            <w:vAlign w:val="bottom"/>
            <w:gridSpan w:val="3"/>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2"/>
        </w:trPr>
        <w:tc>
          <w:tcPr>
            <w:tcW w:w="264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Khoros, LLC </w:t>
            </w:r>
            <w:r>
              <w:rPr>
                <w:rFonts w:ascii="Times New Roman" w:cs="Times New Roman" w:eastAsia="Times New Roman" w:hAnsi="Times New Roman"/>
                <w:sz w:val="18"/>
                <w:szCs w:val="18"/>
                <w:color w:val="auto"/>
                <w:vertAlign w:val="superscript"/>
              </w:rPr>
              <w:t>(12)(13)</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Earnout Interests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5/23/2025</w:t>
            </w: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7,614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7,233</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72"/>
        </w:trPr>
        <w:tc>
          <w:tcPr>
            <w:tcW w:w="264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Lucidworks, Inc. </w:t>
            </w:r>
            <w:r>
              <w:rPr>
                <w:rFonts w:ascii="Times New Roman" w:cs="Times New Roman" w:eastAsia="Times New Roman" w:hAnsi="Times New Roman"/>
                <w:sz w:val="18"/>
                <w:szCs w:val="18"/>
                <w:color w:val="auto"/>
                <w:vertAlign w:val="superscript"/>
              </w:rPr>
              <w:t>(11)</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Series F Preferred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8/2/2019</w:t>
            </w: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Piano Software, Inc. </w:t>
            </w:r>
            <w:r>
              <w:rPr>
                <w:rFonts w:ascii="Times New Roman" w:cs="Times New Roman" w:eastAsia="Times New Roman" w:hAnsi="Times New Roman"/>
                <w:sz w:val="18"/>
                <w:szCs w:val="18"/>
                <w:color w:val="auto"/>
                <w:vertAlign w:val="superscript"/>
              </w:rPr>
              <w:t>(11)</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(199,054 shares)</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40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Series C-1 Preferred Shares</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12/22/2021</w:t>
            </w:r>
          </w:p>
        </w:tc>
        <w:tc>
          <w:tcPr>
            <w:tcW w:w="1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3,000</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2,400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(418,527 shares)</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240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Series C-2 Preferred Shares</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11/18/2022</w:t>
            </w:r>
          </w:p>
        </w:tc>
        <w:tc>
          <w:tcPr>
            <w:tcW w:w="1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198</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316</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SMA Technologies Holdings, LLC </w:t>
            </w:r>
            <w:r>
              <w:rPr>
                <w:rFonts w:ascii="Times New Roman" w:cs="Times New Roman" w:eastAsia="Times New Roman" w:hAnsi="Times New Roman"/>
                <w:sz w:val="18"/>
                <w:szCs w:val="18"/>
                <w:color w:val="auto"/>
                <w:vertAlign w:val="superscript"/>
              </w:rPr>
              <w:t>(11)</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(27,588 shares)</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vMerge w:val="continue"/>
          </w:tcPr>
          <w:p>
            <w:pPr>
              <w:spacing w:after="0"/>
              <w:rPr>
                <w:sz w:val="14"/>
                <w:szCs w:val="14"/>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Class A Units (1,584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11/21/2022</w:t>
            </w: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2,752</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Class B Units (1,124,813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11/21/2022</w:t>
            </w: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6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28,614</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34,342</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15"/>
        </w:trPr>
        <w:tc>
          <w:tcPr>
            <w:tcW w:w="264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Marketing Services</w:t>
            </w:r>
          </w:p>
        </w:tc>
        <w:tc>
          <w:tcPr>
            <w:tcW w:w="2400" w:type="dxa"/>
            <w:vAlign w:val="bottom"/>
            <w:tcBorders>
              <w:top w:val="single" w:sz="8" w:color="CFF0FC"/>
            </w:tcBorders>
          </w:tcPr>
          <w:p>
            <w:pPr>
              <w:spacing w:after="0"/>
              <w:rPr>
                <w:sz w:val="10"/>
                <w:szCs w:val="10"/>
                <w:color w:val="auto"/>
              </w:rPr>
            </w:pPr>
          </w:p>
        </w:tc>
        <w:tc>
          <w:tcPr>
            <w:tcW w:w="780" w:type="dxa"/>
            <w:vAlign w:val="bottom"/>
            <w:tcBorders>
              <w:top w:val="single" w:sz="8" w:color="CFF0FC"/>
            </w:tcBorders>
          </w:tcPr>
          <w:p>
            <w:pPr>
              <w:spacing w:after="0"/>
              <w:rPr>
                <w:sz w:val="10"/>
                <w:szCs w:val="10"/>
                <w:color w:val="auto"/>
              </w:rPr>
            </w:pPr>
          </w:p>
        </w:tc>
        <w:tc>
          <w:tcPr>
            <w:tcW w:w="1340" w:type="dxa"/>
            <w:vAlign w:val="bottom"/>
            <w:tcBorders>
              <w:top w:val="single" w:sz="8" w:color="CFF0FC"/>
            </w:tcBorders>
          </w:tcPr>
          <w:p>
            <w:pPr>
              <w:spacing w:after="0"/>
              <w:rPr>
                <w:sz w:val="10"/>
                <w:szCs w:val="10"/>
                <w:color w:val="auto"/>
              </w:rPr>
            </w:pPr>
          </w:p>
        </w:tc>
        <w:tc>
          <w:tcPr>
            <w:tcW w:w="11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64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Validity, Inc. </w:t>
            </w:r>
            <w:r>
              <w:rPr>
                <w:rFonts w:ascii="Times New Roman" w:cs="Times New Roman" w:eastAsia="Times New Roman" w:hAnsi="Times New Roman"/>
                <w:sz w:val="18"/>
                <w:szCs w:val="18"/>
                <w:color w:val="auto"/>
                <w:vertAlign w:val="superscript"/>
              </w:rPr>
              <w:t>(11)</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Series A Preferred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5/31/2018</w:t>
            </w: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3,840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9,600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Oil, Gas and Consumable Fuels</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(3,840,000 shares)</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640" w:type="dxa"/>
            <w:vAlign w:val="bottom"/>
            <w:vMerge w:val="continue"/>
          </w:tcPr>
          <w:p>
            <w:pPr>
              <w:spacing w:after="0"/>
              <w:rPr>
                <w:sz w:val="10"/>
                <w:szCs w:val="10"/>
                <w:color w:val="auto"/>
              </w:rPr>
            </w:pPr>
          </w:p>
        </w:tc>
        <w:tc>
          <w:tcPr>
            <w:tcW w:w="2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Murchison Oil and Gas, LLC </w:t>
            </w:r>
            <w:r>
              <w:rPr>
                <w:rFonts w:ascii="Times New Roman" w:cs="Times New Roman" w:eastAsia="Times New Roman" w:hAnsi="Times New Roman"/>
                <w:sz w:val="17"/>
                <w:szCs w:val="17"/>
                <w:color w:val="auto"/>
                <w:vertAlign w:val="superscript"/>
              </w:rPr>
              <w:t>(11)(13)</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Units (13,355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6/30/2022</w:t>
            </w:r>
          </w:p>
        </w:tc>
        <w:tc>
          <w:tcPr>
            <w:tcW w:w="1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85"/>
        </w:trPr>
        <w:tc>
          <w:tcPr>
            <w:tcW w:w="2640" w:type="dxa"/>
            <w:vAlign w:val="bottom"/>
          </w:tcPr>
          <w:p>
            <w:pPr>
              <w:spacing w:after="0" w:line="185" w:lineRule="exact"/>
              <w:rPr>
                <w:sz w:val="20"/>
                <w:szCs w:val="20"/>
                <w:color w:val="auto"/>
              </w:rPr>
            </w:pPr>
            <w:r>
              <w:rPr>
                <w:rFonts w:ascii="Times New Roman" w:cs="Times New Roman" w:eastAsia="Times New Roman" w:hAnsi="Times New Roman"/>
                <w:sz w:val="13"/>
                <w:szCs w:val="13"/>
                <w:color w:val="auto"/>
              </w:rPr>
              <w:t xml:space="preserve">TRP Assets, LLC </w:t>
            </w:r>
            <w:r>
              <w:rPr>
                <w:rFonts w:ascii="Times New Roman" w:cs="Times New Roman" w:eastAsia="Times New Roman" w:hAnsi="Times New Roman"/>
                <w:sz w:val="18"/>
                <w:szCs w:val="18"/>
                <w:color w:val="auto"/>
                <w:vertAlign w:val="superscript"/>
              </w:rPr>
              <w:t>(11)(13)</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Partnership Interest (1.89% ownership)</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8/25/2022</w:t>
            </w: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8,917</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9,496</w:t>
            </w:r>
          </w:p>
        </w:tc>
        <w:tc>
          <w:tcPr>
            <w:tcW w:w="1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8,917</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9,496</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15"/>
        </w:trPr>
        <w:tc>
          <w:tcPr>
            <w:tcW w:w="264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Pharmaceuticals</w:t>
            </w:r>
          </w:p>
        </w:tc>
        <w:tc>
          <w:tcPr>
            <w:tcW w:w="2400" w:type="dxa"/>
            <w:vAlign w:val="bottom"/>
            <w:tcBorders>
              <w:top w:val="single" w:sz="8" w:color="CFF0FC"/>
            </w:tcBorders>
          </w:tcPr>
          <w:p>
            <w:pPr>
              <w:spacing w:after="0"/>
              <w:rPr>
                <w:sz w:val="10"/>
                <w:szCs w:val="10"/>
                <w:color w:val="auto"/>
              </w:rPr>
            </w:pPr>
          </w:p>
        </w:tc>
        <w:tc>
          <w:tcPr>
            <w:tcW w:w="780" w:type="dxa"/>
            <w:vAlign w:val="bottom"/>
            <w:tcBorders>
              <w:top w:val="single" w:sz="8" w:color="CFF0FC"/>
            </w:tcBorders>
          </w:tcPr>
          <w:p>
            <w:pPr>
              <w:spacing w:after="0"/>
              <w:rPr>
                <w:sz w:val="10"/>
                <w:szCs w:val="10"/>
                <w:color w:val="auto"/>
              </w:rPr>
            </w:pPr>
          </w:p>
        </w:tc>
        <w:tc>
          <w:tcPr>
            <w:tcW w:w="1340" w:type="dxa"/>
            <w:vAlign w:val="bottom"/>
            <w:tcBorders>
              <w:top w:val="single" w:sz="8" w:color="CFF0FC"/>
            </w:tcBorders>
          </w:tcPr>
          <w:p>
            <w:pPr>
              <w:spacing w:after="0"/>
              <w:rPr>
                <w:sz w:val="10"/>
                <w:szCs w:val="10"/>
                <w:color w:val="auto"/>
              </w:rPr>
            </w:pPr>
          </w:p>
        </w:tc>
        <w:tc>
          <w:tcPr>
            <w:tcW w:w="118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TherapeuticsMD, Inc. </w:t>
            </w:r>
            <w:r>
              <w:rPr>
                <w:rFonts w:ascii="Times New Roman" w:cs="Times New Roman" w:eastAsia="Times New Roman" w:hAnsi="Times New Roman"/>
                <w:sz w:val="17"/>
                <w:szCs w:val="17"/>
                <w:color w:val="auto"/>
                <w:vertAlign w:val="superscript"/>
              </w:rPr>
              <w:t>(4)(11)</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Warrants (14,256 warrants)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8/5/2020</w:t>
            </w:r>
          </w:p>
        </w:tc>
        <w:tc>
          <w:tcPr>
            <w:tcW w:w="1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72"/>
        </w:trPr>
        <w:tc>
          <w:tcPr>
            <w:tcW w:w="264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Elysium BidCo Limited </w:t>
            </w:r>
            <w:r>
              <w:rPr>
                <w:rFonts w:ascii="Times New Roman" w:cs="Times New Roman" w:eastAsia="Times New Roman" w:hAnsi="Times New Roman"/>
                <w:sz w:val="18"/>
                <w:szCs w:val="18"/>
                <w:color w:val="auto"/>
                <w:vertAlign w:val="superscript"/>
              </w:rPr>
              <w:t>(4)(11)</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Convertible Preference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12/11/2024</w:t>
            </w: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6,341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7,581</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(4,976,563 Shares)</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(GBP 5,636)</w:t>
            </w: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7,370</w:t>
            </w:r>
          </w:p>
        </w:tc>
        <w:tc>
          <w:tcPr>
            <w:tcW w:w="10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7,581</w:t>
            </w:r>
          </w:p>
        </w:tc>
        <w:tc>
          <w:tcPr>
            <w:tcW w:w="12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15"/>
        </w:trPr>
        <w:tc>
          <w:tcPr>
            <w:tcW w:w="2640" w:type="dxa"/>
            <w:vAlign w:val="bottom"/>
            <w:tcBorders>
              <w:top w:val="single" w:sz="8" w:color="CFF0FC"/>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Retail and Consumer Products</w:t>
            </w:r>
          </w:p>
        </w:tc>
        <w:tc>
          <w:tcPr>
            <w:tcW w:w="2400" w:type="dxa"/>
            <w:vAlign w:val="bottom"/>
            <w:tcBorders>
              <w:top w:val="single" w:sz="8" w:color="CFF0FC"/>
            </w:tcBorders>
          </w:tcPr>
          <w:p>
            <w:pPr>
              <w:spacing w:after="0"/>
              <w:rPr>
                <w:sz w:val="10"/>
                <w:szCs w:val="10"/>
                <w:color w:val="auto"/>
              </w:rPr>
            </w:pPr>
          </w:p>
        </w:tc>
        <w:tc>
          <w:tcPr>
            <w:tcW w:w="780" w:type="dxa"/>
            <w:vAlign w:val="bottom"/>
            <w:tcBorders>
              <w:top w:val="single" w:sz="8" w:color="CFF0FC"/>
            </w:tcBorders>
          </w:tcPr>
          <w:p>
            <w:pPr>
              <w:spacing w:after="0"/>
              <w:rPr>
                <w:sz w:val="10"/>
                <w:szCs w:val="10"/>
                <w:color w:val="auto"/>
              </w:rPr>
            </w:pPr>
          </w:p>
        </w:tc>
        <w:tc>
          <w:tcPr>
            <w:tcW w:w="1340" w:type="dxa"/>
            <w:vAlign w:val="bottom"/>
            <w:tcBorders>
              <w:top w:val="single" w:sz="8" w:color="CFF0FC"/>
            </w:tcBorders>
          </w:tcPr>
          <w:p>
            <w:pPr>
              <w:spacing w:after="0"/>
              <w:rPr>
                <w:sz w:val="10"/>
                <w:szCs w:val="10"/>
                <w:color w:val="auto"/>
              </w:rPr>
            </w:pPr>
          </w:p>
        </w:tc>
        <w:tc>
          <w:tcPr>
            <w:tcW w:w="118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American Achievement, Corp. </w:t>
            </w:r>
            <w:r>
              <w:rPr>
                <w:rFonts w:ascii="Times New Roman" w:cs="Times New Roman" w:eastAsia="Times New Roman" w:hAnsi="Times New Roman"/>
                <w:sz w:val="17"/>
                <w:szCs w:val="17"/>
                <w:color w:val="auto"/>
                <w:vertAlign w:val="superscript"/>
              </w:rPr>
              <w:t>(11)</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Class A Units (687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3/16/2021</w:t>
            </w:r>
          </w:p>
        </w:tc>
        <w:tc>
          <w:tcPr>
            <w:tcW w:w="1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162"/>
        </w:trPr>
        <w:tc>
          <w:tcPr>
            <w:tcW w:w="2640" w:type="dxa"/>
            <w:vAlign w:val="bottom"/>
          </w:tcPr>
          <w:p>
            <w:pPr>
              <w:spacing w:after="0" w:line="162" w:lineRule="exact"/>
              <w:rPr>
                <w:sz w:val="20"/>
                <w:szCs w:val="20"/>
                <w:color w:val="auto"/>
              </w:rPr>
            </w:pPr>
            <w:r>
              <w:rPr>
                <w:rFonts w:ascii="Times New Roman" w:cs="Times New Roman" w:eastAsia="Times New Roman" w:hAnsi="Times New Roman"/>
                <w:sz w:val="13"/>
                <w:szCs w:val="13"/>
                <w:color w:val="auto"/>
              </w:rPr>
              <w:t xml:space="preserve">Copper Bidco, LLC </w:t>
            </w:r>
            <w:r>
              <w:rPr>
                <w:rFonts w:ascii="Times New Roman" w:cs="Times New Roman" w:eastAsia="Times New Roman" w:hAnsi="Times New Roman"/>
                <w:sz w:val="18"/>
                <w:szCs w:val="18"/>
                <w:color w:val="auto"/>
                <w:vertAlign w:val="superscript"/>
              </w:rPr>
              <w:t>(9)</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Trust Certificates (996,958 Certificates)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1/30/2021</w:t>
            </w: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11,016</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85"/>
        </w:trPr>
        <w:tc>
          <w:tcPr>
            <w:tcW w:w="2640" w:type="dxa"/>
            <w:vAlign w:val="bottom"/>
          </w:tcPr>
          <w:p>
            <w:pPr>
              <w:spacing w:after="0" w:line="185" w:lineRule="exact"/>
              <w:rPr>
                <w:sz w:val="20"/>
                <w:szCs w:val="20"/>
                <w:color w:val="auto"/>
              </w:rPr>
            </w:pPr>
            <w:r>
              <w:rPr>
                <w:rFonts w:ascii="Times New Roman" w:cs="Times New Roman" w:eastAsia="Times New Roman" w:hAnsi="Times New Roman"/>
                <w:sz w:val="13"/>
                <w:szCs w:val="13"/>
                <w:color w:val="auto"/>
              </w:rPr>
              <w:t xml:space="preserve">Neuintel, LLC </w:t>
            </w:r>
            <w:r>
              <w:rPr>
                <w:rFonts w:ascii="Times New Roman" w:cs="Times New Roman" w:eastAsia="Times New Roman" w:hAnsi="Times New Roman"/>
                <w:sz w:val="18"/>
                <w:szCs w:val="18"/>
                <w:color w:val="auto"/>
                <w:vertAlign w:val="superscript"/>
              </w:rPr>
              <w:t>(11)(13)</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Class A Units (1,176,494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12/20/2021</w:t>
            </w: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Transportation</w:t>
            </w:r>
          </w:p>
        </w:tc>
        <w:tc>
          <w:tcPr>
            <w:tcW w:w="2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4,104</w:t>
            </w:r>
          </w:p>
        </w:tc>
        <w:tc>
          <w:tcPr>
            <w:tcW w:w="16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11,479</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15"/>
        </w:trPr>
        <w:tc>
          <w:tcPr>
            <w:tcW w:w="2640" w:type="dxa"/>
            <w:vAlign w:val="bottom"/>
            <w:vMerge w:val="continue"/>
          </w:tcPr>
          <w:p>
            <w:pPr>
              <w:spacing w:after="0"/>
              <w:rPr>
                <w:sz w:val="10"/>
                <w:szCs w:val="10"/>
                <w:color w:val="auto"/>
              </w:rPr>
            </w:pPr>
          </w:p>
        </w:tc>
        <w:tc>
          <w:tcPr>
            <w:tcW w:w="2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RailTrac Holdings Inc. </w:t>
            </w:r>
            <w:r>
              <w:rPr>
                <w:rFonts w:ascii="Times New Roman" w:cs="Times New Roman" w:eastAsia="Times New Roman" w:hAnsi="Times New Roman"/>
                <w:sz w:val="17"/>
                <w:szCs w:val="17"/>
                <w:color w:val="auto"/>
                <w:vertAlign w:val="superscript"/>
              </w:rPr>
              <w:t>(11)(12)</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Warrants (3,059 warrants)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1/27/2025</w:t>
            </w:r>
          </w:p>
        </w:tc>
        <w:tc>
          <w:tcPr>
            <w:tcW w:w="1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2,717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2,717</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72"/>
        </w:trPr>
        <w:tc>
          <w:tcPr>
            <w:tcW w:w="264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Ranger Parent I, Inc. </w:t>
            </w:r>
            <w:r>
              <w:rPr>
                <w:rFonts w:ascii="Times New Roman" w:cs="Times New Roman" w:eastAsia="Times New Roman" w:hAnsi="Times New Roman"/>
                <w:sz w:val="18"/>
                <w:szCs w:val="18"/>
                <w:color w:val="auto"/>
                <w:vertAlign w:val="superscript"/>
              </w:rPr>
              <w:t>(12)</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Series A-1 Preferred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10/28/2025</w:t>
            </w:r>
          </w:p>
        </w:tc>
        <w:tc>
          <w:tcPr>
            <w:tcW w:w="13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14.50%</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14.50% PIK</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5,362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5,245</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34"/>
        </w:trPr>
        <w:tc>
          <w:tcPr>
            <w:tcW w:w="2640" w:type="dxa"/>
            <w:vAlign w:val="bottom"/>
          </w:tcPr>
          <w:p>
            <w:pPr>
              <w:spacing w:after="0"/>
              <w:rPr>
                <w:sz w:val="11"/>
                <w:szCs w:val="11"/>
                <w:color w:val="auto"/>
              </w:rPr>
            </w:pPr>
          </w:p>
        </w:tc>
        <w:tc>
          <w:tcPr>
            <w:tcW w:w="2400" w:type="dxa"/>
            <w:vAlign w:val="bottom"/>
          </w:tcPr>
          <w:p>
            <w:pPr>
              <w:ind w:left="120"/>
              <w:spacing w:after="0" w:line="134" w:lineRule="exact"/>
              <w:rPr>
                <w:sz w:val="20"/>
                <w:szCs w:val="20"/>
                <w:color w:val="auto"/>
              </w:rPr>
            </w:pPr>
            <w:r>
              <w:rPr>
                <w:rFonts w:ascii="Times New Roman" w:cs="Times New Roman" w:eastAsia="Times New Roman" w:hAnsi="Times New Roman"/>
                <w:sz w:val="13"/>
                <w:szCs w:val="13"/>
                <w:color w:val="auto"/>
              </w:rPr>
              <w:t>(5,639 Shares)</w:t>
            </w: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40" w:type="dxa"/>
            <w:vAlign w:val="bottom"/>
          </w:tcPr>
          <w:p>
            <w:pPr>
              <w:spacing w:after="0"/>
              <w:rPr>
                <w:sz w:val="15"/>
                <w:szCs w:val="15"/>
                <w:color w:val="auto"/>
              </w:rPr>
            </w:pPr>
          </w:p>
        </w:tc>
        <w:tc>
          <w:tcPr>
            <w:tcW w:w="2400" w:type="dxa"/>
            <w:vAlign w:val="bottom"/>
          </w:tcPr>
          <w:p>
            <w:pPr>
              <w:ind w:left="120"/>
              <w:spacing w:after="0" w:line="176" w:lineRule="exact"/>
              <w:rPr>
                <w:sz w:val="20"/>
                <w:szCs w:val="20"/>
                <w:color w:val="auto"/>
              </w:rPr>
            </w:pPr>
            <w:r>
              <w:rPr>
                <w:rFonts w:ascii="Times New Roman" w:cs="Times New Roman" w:eastAsia="Times New Roman" w:hAnsi="Times New Roman"/>
                <w:sz w:val="13"/>
                <w:szCs w:val="13"/>
                <w:color w:val="auto"/>
              </w:rPr>
              <w:t xml:space="preserve">Warrants (3,841 warrants) </w:t>
            </w:r>
            <w:r>
              <w:rPr>
                <w:rFonts w:ascii="Times New Roman" w:cs="Times New Roman" w:eastAsia="Times New Roman" w:hAnsi="Times New Roman"/>
                <w:sz w:val="18"/>
                <w:szCs w:val="18"/>
                <w:color w:val="auto"/>
                <w:vertAlign w:val="superscript"/>
              </w:rPr>
              <w:t>(11)</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10/28/2025</w:t>
            </w: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240" w:type="dxa"/>
            <w:vAlign w:val="bottom"/>
            <w:gridSpan w:val="2"/>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6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8,391</w:t>
            </w:r>
          </w:p>
        </w:tc>
        <w:tc>
          <w:tcPr>
            <w:tcW w:w="240" w:type="dxa"/>
            <w:vAlign w:val="bottom"/>
            <w:gridSpan w:val="2"/>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8,274</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20"/>
        </w:trPr>
        <w:tc>
          <w:tcPr>
            <w:tcW w:w="264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4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2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159,782</w:t>
            </w:r>
          </w:p>
        </w:tc>
        <w:tc>
          <w:tcPr>
            <w:tcW w:w="240" w:type="dxa"/>
            <w:vAlign w:val="bottom"/>
            <w:gridSpan w:val="2"/>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172,582</w:t>
            </w:r>
          </w:p>
        </w:tc>
        <w:tc>
          <w:tcPr>
            <w:tcW w:w="160" w:type="dxa"/>
            <w:vAlign w:val="bottom"/>
          </w:tcPr>
          <w:p>
            <w:pPr>
              <w:spacing w:after="0"/>
              <w:rPr>
                <w:sz w:val="12"/>
                <w:szCs w:val="12"/>
                <w:color w:val="auto"/>
              </w:rPr>
            </w:pPr>
          </w:p>
        </w:tc>
        <w:tc>
          <w:tcPr>
            <w:tcW w:w="10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142"/>
        </w:trPr>
        <w:tc>
          <w:tcPr>
            <w:tcW w:w="264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Other Investments</w:t>
            </w:r>
          </w:p>
        </w:tc>
        <w:tc>
          <w:tcPr>
            <w:tcW w:w="2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640" w:type="dxa"/>
            <w:vAlign w:val="bottom"/>
          </w:tcPr>
          <w:p>
            <w:pPr>
              <w:spacing w:after="0" w:line="163" w:lineRule="exact"/>
              <w:rPr>
                <w:sz w:val="20"/>
                <w:szCs w:val="20"/>
                <w:color w:val="auto"/>
              </w:rPr>
            </w:pPr>
            <w:r>
              <w:rPr>
                <w:rFonts w:ascii="Times New Roman" w:cs="Times New Roman" w:eastAsia="Times New Roman" w:hAnsi="Times New Roman"/>
                <w:sz w:val="13"/>
                <w:szCs w:val="13"/>
                <w:color w:val="auto"/>
              </w:rPr>
              <w:t xml:space="preserve">Apidos CLO, Series 2015-23A </w:t>
            </w:r>
            <w:r>
              <w:rPr>
                <w:rFonts w:ascii="Times New Roman" w:cs="Times New Roman" w:eastAsia="Times New Roman" w:hAnsi="Times New Roman"/>
                <w:sz w:val="18"/>
                <w:szCs w:val="18"/>
                <w:color w:val="auto"/>
                <w:vertAlign w:val="superscript"/>
              </w:rPr>
              <w:t>(3)(4)(9)</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Structured Credit ($4,000 par, due</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9/3/2025</w:t>
            </w:r>
          </w:p>
        </w:tc>
        <w:tc>
          <w:tcPr>
            <w:tcW w:w="1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SOFR + 5.20%</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9.10%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4,016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4,002</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Ares CLO Ltd, Series 2022-63A </w:t>
            </w:r>
            <w:r>
              <w:rPr>
                <w:rFonts w:ascii="Times New Roman" w:cs="Times New Roman" w:eastAsia="Times New Roman" w:hAnsi="Times New Roman"/>
                <w:sz w:val="18"/>
                <w:szCs w:val="18"/>
                <w:color w:val="auto"/>
                <w:vertAlign w:val="superscript"/>
              </w:rPr>
              <w:t>(3)(4)(9)</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4/2033)</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40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Structured Credit ($2,500 par, due</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8/7/2025</w:t>
            </w:r>
          </w:p>
        </w:tc>
        <w:tc>
          <w:tcPr>
            <w:tcW w:w="13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+ 6.00%</w:t>
            </w:r>
          </w:p>
        </w:tc>
        <w:tc>
          <w:tcPr>
            <w:tcW w:w="11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10.28%</w:t>
            </w: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2,522</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2,501</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Ares CLO Ltd, Series 2022-64A </w:t>
            </w:r>
            <w:r>
              <w:rPr>
                <w:rFonts w:ascii="Times New Roman" w:cs="Times New Roman" w:eastAsia="Times New Roman" w:hAnsi="Times New Roman"/>
                <w:sz w:val="18"/>
                <w:szCs w:val="18"/>
                <w:color w:val="auto"/>
                <w:vertAlign w:val="superscript"/>
              </w:rPr>
              <w:t>(3)(4)(9)</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10/2038)</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40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Structured Credit ($2,000 par, due</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9/4/2025</w:t>
            </w:r>
          </w:p>
        </w:tc>
        <w:tc>
          <w:tcPr>
            <w:tcW w:w="13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+ 6.50%</w:t>
            </w:r>
          </w:p>
        </w:tc>
        <w:tc>
          <w:tcPr>
            <w:tcW w:w="11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10.40%</w:t>
            </w: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2,043</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2,018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Ares CLO Ltd, Series 2024-72A </w:t>
            </w:r>
            <w:r>
              <w:rPr>
                <w:rFonts w:ascii="Times New Roman" w:cs="Times New Roman" w:eastAsia="Times New Roman" w:hAnsi="Times New Roman"/>
                <w:sz w:val="18"/>
                <w:szCs w:val="18"/>
                <w:color w:val="auto"/>
                <w:vertAlign w:val="superscript"/>
              </w:rPr>
              <w:t>(3)(4)(9)</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10/2039)</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40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Structured Credit ($3,500 par, due</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8/7/2025</w:t>
            </w:r>
          </w:p>
        </w:tc>
        <w:tc>
          <w:tcPr>
            <w:tcW w:w="13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+ 6.00%</w:t>
            </w:r>
          </w:p>
        </w:tc>
        <w:tc>
          <w:tcPr>
            <w:tcW w:w="11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9.90%</w:t>
            </w: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3,546</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3,510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7/2036)</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6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Benefit Street Partners CLO Ltd, Series 2025-</w:t>
            </w:r>
          </w:p>
        </w:tc>
        <w:tc>
          <w:tcPr>
            <w:tcW w:w="240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color w:val="auto"/>
              </w:rPr>
              <w:t>Structured Credit ($1,725 par, due</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7/16/2025</w:t>
            </w:r>
          </w:p>
        </w:tc>
        <w:tc>
          <w:tcPr>
            <w:tcW w:w="13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+ 4.50%</w:t>
            </w:r>
          </w:p>
        </w:tc>
        <w:tc>
          <w:tcPr>
            <w:tcW w:w="118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8.40%</w:t>
            </w:r>
          </w:p>
        </w:tc>
        <w:tc>
          <w:tcPr>
            <w:tcW w:w="7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3"/>
                <w:szCs w:val="13"/>
                <w:color w:val="auto"/>
              </w:rPr>
              <w:t>1,725</w:t>
            </w:r>
          </w:p>
        </w:tc>
        <w:tc>
          <w:tcPr>
            <w:tcW w:w="10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1,711</w:t>
            </w:r>
          </w:p>
        </w:tc>
        <w:tc>
          <w:tcPr>
            <w:tcW w:w="1200" w:type="dxa"/>
            <w:vAlign w:val="bottom"/>
            <w:gridSpan w:val="3"/>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2"/>
        </w:trPr>
        <w:tc>
          <w:tcPr>
            <w:tcW w:w="2640" w:type="dxa"/>
            <w:vAlign w:val="bottom"/>
          </w:tcPr>
          <w:p>
            <w:pPr>
              <w:spacing w:after="0" w:line="153" w:lineRule="exact"/>
              <w:rPr>
                <w:sz w:val="20"/>
                <w:szCs w:val="20"/>
                <w:color w:val="auto"/>
              </w:rPr>
            </w:pPr>
            <w:r>
              <w:rPr>
                <w:rFonts w:ascii="Times New Roman" w:cs="Times New Roman" w:eastAsia="Times New Roman" w:hAnsi="Times New Roman"/>
                <w:sz w:val="17"/>
                <w:szCs w:val="17"/>
                <w:color w:val="auto"/>
                <w:vertAlign w:val="subscript"/>
              </w:rPr>
              <w:t>39A</w:t>
            </w:r>
            <w:r>
              <w:rPr>
                <w:rFonts w:ascii="Times New Roman" w:cs="Times New Roman" w:eastAsia="Times New Roman" w:hAnsi="Times New Roman"/>
                <w:sz w:val="7"/>
                <w:szCs w:val="7"/>
                <w:color w:val="auto"/>
              </w:rPr>
              <w:t xml:space="preserve"> (3)(4)(9)</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4/2038)</w:t>
            </w:r>
          </w:p>
        </w:tc>
        <w:tc>
          <w:tcPr>
            <w:tcW w:w="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64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Birch Grove CLO Ltd, Series 2025-14A </w:t>
            </w:r>
            <w:r>
              <w:rPr>
                <w:rFonts w:ascii="Times New Roman" w:cs="Times New Roman" w:eastAsia="Times New Roman" w:hAnsi="Times New Roman"/>
                <w:sz w:val="18"/>
                <w:szCs w:val="18"/>
                <w:color w:val="auto"/>
                <w:vertAlign w:val="superscript"/>
              </w:rPr>
              <w:t>(3)(4)(9)</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Structured Credit ($1,250 par, due</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9/2/2025</w:t>
            </w:r>
          </w:p>
        </w:tc>
        <w:tc>
          <w:tcPr>
            <w:tcW w:w="1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SOFR + 6.65%</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10.98%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1,261</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Canyon CLO Ltd, Series 2025-1A </w:t>
            </w:r>
            <w:r>
              <w:rPr>
                <w:rFonts w:ascii="Times New Roman" w:cs="Times New Roman" w:eastAsia="Times New Roman" w:hAnsi="Times New Roman"/>
                <w:sz w:val="18"/>
                <w:szCs w:val="18"/>
                <w:color w:val="auto"/>
                <w:vertAlign w:val="superscript"/>
              </w:rPr>
              <w:t>(3)(4)(9)</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7/2037)</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40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Structured Credit ($1,125 par, due</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7/28/2025</w:t>
            </w:r>
          </w:p>
        </w:tc>
        <w:tc>
          <w:tcPr>
            <w:tcW w:w="13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+ 4.75%</w:t>
            </w:r>
          </w:p>
        </w:tc>
        <w:tc>
          <w:tcPr>
            <w:tcW w:w="11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8.65%</w:t>
            </w: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1,118</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1,102</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Carlyle US CLO Ltd, Series 2017-2A </w:t>
            </w:r>
            <w:r>
              <w:rPr>
                <w:rFonts w:ascii="Times New Roman" w:cs="Times New Roman" w:eastAsia="Times New Roman" w:hAnsi="Times New Roman"/>
                <w:sz w:val="18"/>
                <w:szCs w:val="18"/>
                <w:color w:val="auto"/>
                <w:vertAlign w:val="superscript"/>
              </w:rPr>
              <w:t>(3)(4)(9)</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4/2038)</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40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Structured Credit ($2,500 par, due</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9/3/2025</w:t>
            </w:r>
          </w:p>
        </w:tc>
        <w:tc>
          <w:tcPr>
            <w:tcW w:w="13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+ 7.56%</w:t>
            </w:r>
          </w:p>
        </w:tc>
        <w:tc>
          <w:tcPr>
            <w:tcW w:w="11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11.44%</w:t>
            </w: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2,547</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2,528</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Carlyle US CLO Ltd, Series 2021-1A </w:t>
            </w:r>
            <w:r>
              <w:rPr>
                <w:rFonts w:ascii="Times New Roman" w:cs="Times New Roman" w:eastAsia="Times New Roman" w:hAnsi="Times New Roman"/>
                <w:sz w:val="18"/>
                <w:szCs w:val="18"/>
                <w:color w:val="auto"/>
                <w:vertAlign w:val="superscript"/>
              </w:rPr>
              <w:t>(3)(4)(9)</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7/2037)</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40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Structured Credit ($3,225 par, due</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8/7/2025</w:t>
            </w:r>
          </w:p>
        </w:tc>
        <w:tc>
          <w:tcPr>
            <w:tcW w:w="13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+ 7.30%</w:t>
            </w:r>
          </w:p>
        </w:tc>
        <w:tc>
          <w:tcPr>
            <w:tcW w:w="11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11.20%</w:t>
            </w: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3,322</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3,290</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CarVal CLO Ltd, Series 2021-2A </w:t>
            </w:r>
            <w:r>
              <w:rPr>
                <w:rFonts w:ascii="Times New Roman" w:cs="Times New Roman" w:eastAsia="Times New Roman" w:hAnsi="Times New Roman"/>
                <w:sz w:val="18"/>
                <w:szCs w:val="18"/>
                <w:color w:val="auto"/>
                <w:vertAlign w:val="superscript"/>
              </w:rPr>
              <w:t>(3)(4)(9)</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1/2040)</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40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Structured Credit ($2,000 par, due</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9/9/2025</w:t>
            </w:r>
          </w:p>
        </w:tc>
        <w:tc>
          <w:tcPr>
            <w:tcW w:w="13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+ 7.01%</w:t>
            </w:r>
          </w:p>
        </w:tc>
        <w:tc>
          <w:tcPr>
            <w:tcW w:w="11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10.92%</w:t>
            </w: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2,013</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1,996</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CarVal CLO Ltd, Series 2023-1A </w:t>
            </w:r>
            <w:r>
              <w:rPr>
                <w:rFonts w:ascii="Times New Roman" w:cs="Times New Roman" w:eastAsia="Times New Roman" w:hAnsi="Times New Roman"/>
                <w:sz w:val="18"/>
                <w:szCs w:val="18"/>
                <w:color w:val="auto"/>
                <w:vertAlign w:val="superscript"/>
              </w:rPr>
              <w:t>(3)(4)(9)</w:t>
            </w: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10/2034)</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40" w:type="dxa"/>
            <w:vAlign w:val="bottom"/>
            <w:vMerge w:val="continue"/>
          </w:tcPr>
          <w:p>
            <w:pPr>
              <w:spacing w:after="0"/>
              <w:rPr>
                <w:sz w:val="11"/>
                <w:szCs w:val="11"/>
                <w:color w:val="auto"/>
              </w:rPr>
            </w:pPr>
          </w:p>
        </w:tc>
        <w:tc>
          <w:tcPr>
            <w:tcW w:w="2400" w:type="dxa"/>
            <w:vAlign w:val="bottom"/>
          </w:tcPr>
          <w:p>
            <w:pPr>
              <w:ind w:left="120"/>
              <w:spacing w:after="0" w:line="136" w:lineRule="exact"/>
              <w:rPr>
                <w:sz w:val="20"/>
                <w:szCs w:val="20"/>
                <w:color w:val="auto"/>
              </w:rPr>
            </w:pPr>
            <w:r>
              <w:rPr>
                <w:rFonts w:ascii="Times New Roman" w:cs="Times New Roman" w:eastAsia="Times New Roman" w:hAnsi="Times New Roman"/>
                <w:sz w:val="13"/>
                <w:szCs w:val="13"/>
                <w:color w:val="auto"/>
              </w:rPr>
              <w:t>Structured Credit ($3,000 par, due</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8/13/2025</w:t>
            </w:r>
          </w:p>
        </w:tc>
        <w:tc>
          <w:tcPr>
            <w:tcW w:w="13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+ 6.35%</w:t>
            </w:r>
          </w:p>
        </w:tc>
        <w:tc>
          <w:tcPr>
            <w:tcW w:w="118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10.23%</w:t>
            </w: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3,030</w:t>
            </w:r>
          </w:p>
        </w:tc>
        <w:tc>
          <w:tcPr>
            <w:tcW w:w="10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2,973</w:t>
            </w:r>
          </w:p>
        </w:tc>
        <w:tc>
          <w:tcPr>
            <w:tcW w:w="1200" w:type="dxa"/>
            <w:vAlign w:val="bottom"/>
            <w:gridSpan w:val="3"/>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7/2037)</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028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-6797040</wp:posOffset>
            </wp:positionV>
            <wp:extent cx="7132320" cy="939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-6205855</wp:posOffset>
            </wp:positionV>
            <wp:extent cx="7132320" cy="939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-5922645</wp:posOffset>
            </wp:positionV>
            <wp:extent cx="7132320" cy="1885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-5631180</wp:posOffset>
            </wp:positionV>
            <wp:extent cx="7132320" cy="1028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-5339715</wp:posOffset>
            </wp:positionV>
            <wp:extent cx="7132320" cy="1885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-4962525</wp:posOffset>
            </wp:positionV>
            <wp:extent cx="7132320" cy="1028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-4559935</wp:posOffset>
            </wp:positionV>
            <wp:extent cx="7132320" cy="1885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-4276725</wp:posOffset>
            </wp:positionV>
            <wp:extent cx="7132320" cy="1028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-3874135</wp:posOffset>
            </wp:positionV>
            <wp:extent cx="7132320" cy="1028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-3376930</wp:posOffset>
            </wp:positionV>
            <wp:extent cx="7132320" cy="1028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-2965450</wp:posOffset>
            </wp:positionV>
            <wp:extent cx="7132320" cy="946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7132320" cy="1885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-2082165</wp:posOffset>
            </wp:positionV>
            <wp:extent cx="7132320" cy="1885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18859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-1327785</wp:posOffset>
            </wp:positionV>
            <wp:extent cx="7132320" cy="1968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18859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8859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885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-6600190</wp:posOffset>
            </wp:positionV>
            <wp:extent cx="7132320" cy="291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-4662805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-4662805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-4662805</wp:posOffset>
            </wp:positionV>
            <wp:extent cx="857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-3977005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-3977005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-3977005</wp:posOffset>
            </wp:positionV>
            <wp:extent cx="857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-3479800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-3479800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-3479800</wp:posOffset>
            </wp:positionV>
            <wp:extent cx="857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-3171190</wp:posOffset>
            </wp:positionV>
            <wp:extent cx="7132320" cy="1028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-2382520</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-2382520</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-2382520</wp:posOffset>
            </wp:positionV>
            <wp:extent cx="8572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CIFC Funding Ltd, Series 2020-4A </w:t>
            </w:r>
            <w:r>
              <w:rPr>
                <w:rFonts w:ascii="Times New Roman" w:cs="Times New Roman" w:eastAsia="Times New Roman" w:hAnsi="Times New Roman"/>
                <w:sz w:val="18"/>
                <w:szCs w:val="18"/>
                <w:color w:val="auto"/>
                <w:vertAlign w:val="superscript"/>
              </w:rPr>
              <w:t>(3)(4)(9)</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Structured Credit ($4,000 par, due</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7/29/2025</w:t>
            </w:r>
          </w:p>
        </w:tc>
        <w:tc>
          <w:tcPr>
            <w:tcW w:w="14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SOFR + 4.90%</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8.80%</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4,007</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CIFC Funding Ltd, Series 2021-7A </w:t>
            </w:r>
            <w:r>
              <w:rPr>
                <w:rFonts w:ascii="Times New Roman" w:cs="Times New Roman" w:eastAsia="Times New Roman" w:hAnsi="Times New Roman"/>
                <w:sz w:val="18"/>
                <w:szCs w:val="18"/>
                <w:color w:val="auto"/>
                <w:vertAlign w:val="superscript"/>
              </w:rPr>
              <w:t>(3)(4)(9)</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1/2040)</w:t>
            </w: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vMerge w:val="continue"/>
          </w:tcPr>
          <w:p>
            <w:pPr>
              <w:spacing w:after="0"/>
              <w:rPr>
                <w:sz w:val="11"/>
                <w:szCs w:val="11"/>
                <w:color w:val="auto"/>
              </w:rPr>
            </w:pPr>
          </w:p>
        </w:tc>
        <w:tc>
          <w:tcPr>
            <w:tcW w:w="218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($2,800 par, due</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9/8/2025</w:t>
            </w:r>
          </w:p>
        </w:tc>
        <w:tc>
          <w:tcPr>
            <w:tcW w:w="14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+ 4.90%</w:t>
            </w:r>
          </w:p>
        </w:tc>
        <w:tc>
          <w:tcPr>
            <w:tcW w:w="10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8.76%</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2,809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2,779</w:t>
            </w:r>
          </w:p>
        </w:tc>
        <w:tc>
          <w:tcPr>
            <w:tcW w:w="122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CIFC Funding Ltd, Series 2022-4A </w:t>
            </w:r>
            <w:r>
              <w:rPr>
                <w:rFonts w:ascii="Times New Roman" w:cs="Times New Roman" w:eastAsia="Times New Roman" w:hAnsi="Times New Roman"/>
                <w:sz w:val="18"/>
                <w:szCs w:val="18"/>
                <w:color w:val="auto"/>
                <w:vertAlign w:val="superscript"/>
              </w:rPr>
              <w:t>(3)(4)(9)</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1/2035)</w:t>
            </w: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vMerge w:val="continue"/>
          </w:tcPr>
          <w:p>
            <w:pPr>
              <w:spacing w:after="0"/>
              <w:rPr>
                <w:sz w:val="11"/>
                <w:szCs w:val="11"/>
                <w:color w:val="auto"/>
              </w:rPr>
            </w:pPr>
          </w:p>
        </w:tc>
        <w:tc>
          <w:tcPr>
            <w:tcW w:w="218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($3,000 par, due</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8/27/2025</w:t>
            </w:r>
          </w:p>
        </w:tc>
        <w:tc>
          <w:tcPr>
            <w:tcW w:w="14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+ 5.25%</w:t>
            </w:r>
          </w:p>
        </w:tc>
        <w:tc>
          <w:tcPr>
            <w:tcW w:w="10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9.14%</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3,009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3,005</w:t>
            </w:r>
          </w:p>
        </w:tc>
        <w:tc>
          <w:tcPr>
            <w:tcW w:w="122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Diameter Capital CLO Ltd, Series 2025-9A </w:t>
            </w:r>
            <w:r>
              <w:rPr>
                <w:rFonts w:ascii="Times New Roman" w:cs="Times New Roman" w:eastAsia="Times New Roman" w:hAnsi="Times New Roman"/>
                <w:sz w:val="18"/>
                <w:szCs w:val="18"/>
                <w:color w:val="auto"/>
                <w:vertAlign w:val="superscript"/>
              </w:rPr>
              <w:t>(3)(4)</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7/2035)</w:t>
            </w: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740" w:type="dxa"/>
            <w:vAlign w:val="bottom"/>
            <w:vMerge w:val="continue"/>
          </w:tcPr>
          <w:p>
            <w:pPr>
              <w:spacing w:after="0"/>
              <w:rPr>
                <w:sz w:val="10"/>
                <w:szCs w:val="10"/>
                <w:color w:val="auto"/>
              </w:rPr>
            </w:pPr>
          </w:p>
        </w:tc>
        <w:tc>
          <w:tcPr>
            <w:tcW w:w="21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($3,500 par, due</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9/2/2025</w:t>
            </w:r>
          </w:p>
        </w:tc>
        <w:tc>
          <w:tcPr>
            <w:tcW w:w="14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+ 4.70%</w:t>
            </w:r>
          </w:p>
        </w:tc>
        <w:tc>
          <w:tcPr>
            <w:tcW w:w="106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8.58%</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3,530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3,519</w:t>
            </w:r>
          </w:p>
        </w:tc>
        <w:tc>
          <w:tcPr>
            <w:tcW w:w="122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17"/>
        </w:trPr>
        <w:tc>
          <w:tcPr>
            <w:tcW w:w="2740" w:type="dxa"/>
            <w:vAlign w:val="bottom"/>
          </w:tcPr>
          <w:p>
            <w:pPr>
              <w:spacing w:after="0"/>
              <w:rPr>
                <w:sz w:val="20"/>
                <w:szCs w:val="20"/>
                <w:color w:val="auto"/>
              </w:rPr>
            </w:pPr>
            <w:r>
              <w:rPr>
                <w:rFonts w:ascii="Times New Roman" w:cs="Times New Roman" w:eastAsia="Times New Roman" w:hAnsi="Times New Roman"/>
                <w:sz w:val="9"/>
                <w:szCs w:val="9"/>
                <w:color w:val="auto"/>
              </w:rPr>
              <w:t>(9)</w:t>
            </w:r>
          </w:p>
        </w:tc>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4/2038)</w:t>
            </w:r>
          </w:p>
        </w:tc>
        <w:tc>
          <w:tcPr>
            <w:tcW w:w="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74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Goldentree Loan Management US CLO Ltd,</w:t>
            </w:r>
          </w:p>
        </w:tc>
        <w:tc>
          <w:tcPr>
            <w:tcW w:w="21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($5,000 par, due</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9/16/2025</w:t>
            </w:r>
          </w:p>
        </w:tc>
        <w:tc>
          <w:tcPr>
            <w:tcW w:w="14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+ 4.50%</w:t>
            </w:r>
          </w:p>
        </w:tc>
        <w:tc>
          <w:tcPr>
            <w:tcW w:w="106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8.38%</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4,973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4,956</w:t>
            </w:r>
          </w:p>
        </w:tc>
        <w:tc>
          <w:tcPr>
            <w:tcW w:w="122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89"/>
        </w:trPr>
        <w:tc>
          <w:tcPr>
            <w:tcW w:w="274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Series 2022-16A </w:t>
            </w:r>
            <w:r>
              <w:rPr>
                <w:rFonts w:ascii="Times New Roman" w:cs="Times New Roman" w:eastAsia="Times New Roman" w:hAnsi="Times New Roman"/>
                <w:sz w:val="18"/>
                <w:szCs w:val="18"/>
                <w:color w:val="auto"/>
                <w:vertAlign w:val="superscript"/>
              </w:rPr>
              <w:t>(3)(4)(9)</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1/2038)</w:t>
            </w:r>
          </w:p>
        </w:tc>
        <w:tc>
          <w:tcPr>
            <w:tcW w:w="9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7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Goldentree Loan Management US CLO Ltd,</w:t>
            </w:r>
          </w:p>
        </w:tc>
        <w:tc>
          <w:tcPr>
            <w:tcW w:w="21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($3,000 par, due</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7/16/2025</w:t>
            </w:r>
          </w:p>
        </w:tc>
        <w:tc>
          <w:tcPr>
            <w:tcW w:w="14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+ 5.40%</w:t>
            </w:r>
          </w:p>
        </w:tc>
        <w:tc>
          <w:tcPr>
            <w:tcW w:w="106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9.28%</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3,022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3,018</w:t>
            </w:r>
          </w:p>
        </w:tc>
        <w:tc>
          <w:tcPr>
            <w:tcW w:w="122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52"/>
        </w:trPr>
        <w:tc>
          <w:tcPr>
            <w:tcW w:w="274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Series 2023-17A </w:t>
            </w:r>
            <w:r>
              <w:rPr>
                <w:rFonts w:ascii="Times New Roman" w:cs="Times New Roman" w:eastAsia="Times New Roman" w:hAnsi="Times New Roman"/>
                <w:sz w:val="17"/>
                <w:szCs w:val="17"/>
                <w:color w:val="auto"/>
                <w:vertAlign w:val="superscript"/>
              </w:rPr>
              <w:t>(3)(4)(9)</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1/2039)</w:t>
            </w:r>
          </w:p>
        </w:tc>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line="158" w:lineRule="exact"/>
              <w:rPr>
                <w:sz w:val="20"/>
                <w:szCs w:val="20"/>
                <w:color w:val="auto"/>
              </w:rPr>
            </w:pPr>
            <w:r>
              <w:rPr>
                <w:rFonts w:ascii="Times New Roman" w:cs="Times New Roman" w:eastAsia="Times New Roman" w:hAnsi="Times New Roman"/>
                <w:sz w:val="13"/>
                <w:szCs w:val="13"/>
                <w:color w:val="auto"/>
              </w:rPr>
              <w:t xml:space="preserve">Lake George Park CLO Ltd, Series 2025-1A </w:t>
            </w:r>
            <w:r>
              <w:rPr>
                <w:rFonts w:ascii="Times New Roman" w:cs="Times New Roman" w:eastAsia="Times New Roman" w:hAnsi="Times New Roman"/>
                <w:sz w:val="18"/>
                <w:szCs w:val="18"/>
                <w:color w:val="auto"/>
                <w:vertAlign w:val="superscript"/>
              </w:rPr>
              <w:t>(3)(4)</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Structured Credit ($4,500 par, due</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8/27/2025</w:t>
            </w:r>
          </w:p>
        </w:tc>
        <w:tc>
          <w:tcPr>
            <w:tcW w:w="14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SOFR + 4.60%</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4,507</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17"/>
        </w:trPr>
        <w:tc>
          <w:tcPr>
            <w:tcW w:w="2740" w:type="dxa"/>
            <w:vAlign w:val="bottom"/>
          </w:tcPr>
          <w:p>
            <w:pPr>
              <w:spacing w:after="0"/>
              <w:rPr>
                <w:sz w:val="20"/>
                <w:szCs w:val="20"/>
                <w:color w:val="auto"/>
              </w:rPr>
            </w:pPr>
            <w:r>
              <w:rPr>
                <w:rFonts w:ascii="Times New Roman" w:cs="Times New Roman" w:eastAsia="Times New Roman" w:hAnsi="Times New Roman"/>
                <w:sz w:val="9"/>
                <w:szCs w:val="9"/>
                <w:color w:val="auto"/>
              </w:rPr>
              <w:t>(9)</w:t>
            </w:r>
          </w:p>
        </w:tc>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4/2038)</w:t>
            </w:r>
          </w:p>
        </w:tc>
        <w:tc>
          <w:tcPr>
            <w:tcW w:w="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740" w:type="dxa"/>
            <w:vAlign w:val="bottom"/>
            <w:vMerge w:val="restart"/>
          </w:tcPr>
          <w:p>
            <w:pPr>
              <w:spacing w:after="0" w:line="181" w:lineRule="exact"/>
              <w:rPr>
                <w:sz w:val="20"/>
                <w:szCs w:val="20"/>
                <w:color w:val="auto"/>
              </w:rPr>
            </w:pPr>
            <w:r>
              <w:rPr>
                <w:rFonts w:ascii="Times New Roman" w:cs="Times New Roman" w:eastAsia="Times New Roman" w:hAnsi="Times New Roman"/>
                <w:sz w:val="13"/>
                <w:szCs w:val="13"/>
                <w:color w:val="auto"/>
              </w:rPr>
              <w:t xml:space="preserve">Madison Park Funding Ltd, Series 2025-65A </w:t>
            </w:r>
            <w:r>
              <w:rPr>
                <w:rFonts w:ascii="Times New Roman" w:cs="Times New Roman" w:eastAsia="Times New Roman" w:hAnsi="Times New Roman"/>
                <w:sz w:val="18"/>
                <w:szCs w:val="18"/>
                <w:color w:val="auto"/>
                <w:vertAlign w:val="superscript"/>
              </w:rPr>
              <w:t>(3)(4)</w:t>
            </w:r>
          </w:p>
        </w:tc>
        <w:tc>
          <w:tcPr>
            <w:tcW w:w="21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21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($4,400 par, due</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8/19/2025</w:t>
            </w:r>
          </w:p>
        </w:tc>
        <w:tc>
          <w:tcPr>
            <w:tcW w:w="14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+ 5.00%</w:t>
            </w:r>
          </w:p>
        </w:tc>
        <w:tc>
          <w:tcPr>
            <w:tcW w:w="106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9.32%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4,407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4,407</w:t>
            </w:r>
          </w:p>
        </w:tc>
        <w:tc>
          <w:tcPr>
            <w:tcW w:w="122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17"/>
        </w:trPr>
        <w:tc>
          <w:tcPr>
            <w:tcW w:w="2740" w:type="dxa"/>
            <w:vAlign w:val="bottom"/>
          </w:tcPr>
          <w:p>
            <w:pPr>
              <w:spacing w:after="0"/>
              <w:rPr>
                <w:sz w:val="20"/>
                <w:szCs w:val="20"/>
                <w:color w:val="auto"/>
              </w:rPr>
            </w:pPr>
            <w:r>
              <w:rPr>
                <w:rFonts w:ascii="Times New Roman" w:cs="Times New Roman" w:eastAsia="Times New Roman" w:hAnsi="Times New Roman"/>
                <w:sz w:val="9"/>
                <w:szCs w:val="9"/>
                <w:color w:val="auto"/>
              </w:rPr>
              <w:t>(9)</w:t>
            </w:r>
          </w:p>
        </w:tc>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7/2038)</w:t>
            </w:r>
          </w:p>
        </w:tc>
        <w:tc>
          <w:tcPr>
            <w:tcW w:w="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740" w:type="dxa"/>
            <w:vAlign w:val="bottom"/>
            <w:vMerge w:val="restart"/>
          </w:tcPr>
          <w:p>
            <w:pPr>
              <w:spacing w:after="0" w:line="181" w:lineRule="exact"/>
              <w:rPr>
                <w:sz w:val="20"/>
                <w:szCs w:val="20"/>
                <w:color w:val="auto"/>
              </w:rPr>
            </w:pPr>
            <w:r>
              <w:rPr>
                <w:rFonts w:ascii="Times New Roman" w:cs="Times New Roman" w:eastAsia="Times New Roman" w:hAnsi="Times New Roman"/>
                <w:sz w:val="13"/>
                <w:szCs w:val="13"/>
                <w:color w:val="auto"/>
              </w:rPr>
              <w:t xml:space="preserve">Madison Park Funding Ltd, Series 2025-72A </w:t>
            </w:r>
            <w:r>
              <w:rPr>
                <w:rFonts w:ascii="Times New Roman" w:cs="Times New Roman" w:eastAsia="Times New Roman" w:hAnsi="Times New Roman"/>
                <w:sz w:val="18"/>
                <w:szCs w:val="18"/>
                <w:color w:val="auto"/>
                <w:vertAlign w:val="superscript"/>
              </w:rPr>
              <w:t>(3)(4)</w:t>
            </w:r>
          </w:p>
        </w:tc>
        <w:tc>
          <w:tcPr>
            <w:tcW w:w="21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21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($4,500 par, due</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8/18/2025</w:t>
            </w:r>
          </w:p>
        </w:tc>
        <w:tc>
          <w:tcPr>
            <w:tcW w:w="14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+ 5.25%</w:t>
            </w:r>
          </w:p>
        </w:tc>
        <w:tc>
          <w:tcPr>
            <w:tcW w:w="106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9.37%</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4,547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4,535</w:t>
            </w:r>
          </w:p>
        </w:tc>
        <w:tc>
          <w:tcPr>
            <w:tcW w:w="122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17"/>
        </w:trPr>
        <w:tc>
          <w:tcPr>
            <w:tcW w:w="2740" w:type="dxa"/>
            <w:vAlign w:val="bottom"/>
          </w:tcPr>
          <w:p>
            <w:pPr>
              <w:spacing w:after="0"/>
              <w:rPr>
                <w:sz w:val="20"/>
                <w:szCs w:val="20"/>
                <w:color w:val="auto"/>
              </w:rPr>
            </w:pPr>
            <w:r>
              <w:rPr>
                <w:rFonts w:ascii="Times New Roman" w:cs="Times New Roman" w:eastAsia="Times New Roman" w:hAnsi="Times New Roman"/>
                <w:sz w:val="9"/>
                <w:szCs w:val="9"/>
                <w:color w:val="auto"/>
              </w:rPr>
              <w:t>(9)</w:t>
            </w:r>
          </w:p>
        </w:tc>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7/2038)</w:t>
            </w:r>
          </w:p>
        </w:tc>
        <w:tc>
          <w:tcPr>
            <w:tcW w:w="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74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Neuberger Berman CLO Ltd, Series 2017-16SA</w:t>
            </w:r>
          </w:p>
        </w:tc>
        <w:tc>
          <w:tcPr>
            <w:tcW w:w="21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($4,000 par, due</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7/28/2025</w:t>
            </w:r>
          </w:p>
        </w:tc>
        <w:tc>
          <w:tcPr>
            <w:tcW w:w="14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+ 4.90%</w:t>
            </w:r>
          </w:p>
        </w:tc>
        <w:tc>
          <w:tcPr>
            <w:tcW w:w="106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8.80%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4,010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3,947</w:t>
            </w:r>
          </w:p>
        </w:tc>
        <w:tc>
          <w:tcPr>
            <w:tcW w:w="122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17"/>
        </w:trPr>
        <w:tc>
          <w:tcPr>
            <w:tcW w:w="2740" w:type="dxa"/>
            <w:vAlign w:val="bottom"/>
          </w:tcPr>
          <w:p>
            <w:pPr>
              <w:spacing w:after="0"/>
              <w:rPr>
                <w:sz w:val="20"/>
                <w:szCs w:val="20"/>
                <w:color w:val="auto"/>
              </w:rPr>
            </w:pPr>
            <w:r>
              <w:rPr>
                <w:rFonts w:ascii="Times New Roman" w:cs="Times New Roman" w:eastAsia="Times New Roman" w:hAnsi="Times New Roman"/>
                <w:sz w:val="9"/>
                <w:szCs w:val="9"/>
                <w:color w:val="auto"/>
              </w:rPr>
              <w:t>(3)(4)(9)</w:t>
            </w:r>
          </w:p>
        </w:tc>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4/2039)</w:t>
            </w:r>
          </w:p>
        </w:tc>
        <w:tc>
          <w:tcPr>
            <w:tcW w:w="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740" w:type="dxa"/>
            <w:vAlign w:val="bottom"/>
            <w:vMerge w:val="restart"/>
          </w:tcPr>
          <w:p>
            <w:pPr>
              <w:spacing w:after="0" w:line="181" w:lineRule="exact"/>
              <w:rPr>
                <w:sz w:val="20"/>
                <w:szCs w:val="20"/>
                <w:color w:val="auto"/>
              </w:rPr>
            </w:pPr>
            <w:r>
              <w:rPr>
                <w:rFonts w:ascii="Times New Roman" w:cs="Times New Roman" w:eastAsia="Times New Roman" w:hAnsi="Times New Roman"/>
                <w:sz w:val="13"/>
                <w:szCs w:val="13"/>
                <w:color w:val="auto"/>
              </w:rPr>
              <w:t xml:space="preserve">Neuberger Berman CLO Ltd, Series 2015-20A </w:t>
            </w:r>
            <w:r>
              <w:rPr>
                <w:rFonts w:ascii="Times New Roman" w:cs="Times New Roman" w:eastAsia="Times New Roman" w:hAnsi="Times New Roman"/>
                <w:sz w:val="18"/>
                <w:szCs w:val="18"/>
                <w:color w:val="auto"/>
                <w:vertAlign w:val="superscript"/>
              </w:rPr>
              <w:t>(3)</w:t>
            </w:r>
          </w:p>
        </w:tc>
        <w:tc>
          <w:tcPr>
            <w:tcW w:w="21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740" w:type="dxa"/>
            <w:vAlign w:val="bottom"/>
            <w:vMerge w:val="continue"/>
          </w:tcPr>
          <w:p>
            <w:pPr>
              <w:spacing w:after="0"/>
              <w:rPr>
                <w:sz w:val="10"/>
                <w:szCs w:val="10"/>
                <w:color w:val="auto"/>
              </w:rPr>
            </w:pPr>
          </w:p>
        </w:tc>
        <w:tc>
          <w:tcPr>
            <w:tcW w:w="21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($1,150 par, due</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7/28/2025</w:t>
            </w:r>
          </w:p>
        </w:tc>
        <w:tc>
          <w:tcPr>
            <w:tcW w:w="14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+ 4.75%</w:t>
            </w:r>
          </w:p>
        </w:tc>
        <w:tc>
          <w:tcPr>
            <w:tcW w:w="106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8.65%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1,151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1,144</w:t>
            </w:r>
          </w:p>
        </w:tc>
        <w:tc>
          <w:tcPr>
            <w:tcW w:w="122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17"/>
        </w:trPr>
        <w:tc>
          <w:tcPr>
            <w:tcW w:w="2740" w:type="dxa"/>
            <w:vAlign w:val="bottom"/>
          </w:tcPr>
          <w:p>
            <w:pPr>
              <w:spacing w:after="0"/>
              <w:rPr>
                <w:sz w:val="20"/>
                <w:szCs w:val="20"/>
                <w:color w:val="auto"/>
              </w:rPr>
            </w:pPr>
            <w:r>
              <w:rPr>
                <w:rFonts w:ascii="Times New Roman" w:cs="Times New Roman" w:eastAsia="Times New Roman" w:hAnsi="Times New Roman"/>
                <w:sz w:val="9"/>
                <w:szCs w:val="9"/>
                <w:color w:val="auto"/>
              </w:rPr>
              <w:t>(4)(9)</w:t>
            </w:r>
          </w:p>
        </w:tc>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4/2039)</w:t>
            </w:r>
          </w:p>
        </w:tc>
        <w:tc>
          <w:tcPr>
            <w:tcW w:w="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74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7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Neuberger Berman Loan Advisers CLO Ltd,</w:t>
            </w:r>
          </w:p>
        </w:tc>
        <w:tc>
          <w:tcPr>
            <w:tcW w:w="218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($1,000 par, due</w:t>
            </w: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8/25/2025</w:t>
            </w:r>
          </w:p>
        </w:tc>
        <w:tc>
          <w:tcPr>
            <w:tcW w:w="1440" w:type="dxa"/>
            <w:vAlign w:val="bottom"/>
            <w:shd w:val="clear" w:color="auto" w:fill="CFF0FC"/>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+ 7.00%</w:t>
            </w:r>
          </w:p>
        </w:tc>
        <w:tc>
          <w:tcPr>
            <w:tcW w:w="1060" w:type="dxa"/>
            <w:vAlign w:val="bottom"/>
            <w:shd w:val="clear" w:color="auto" w:fill="CFF0FC"/>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10.88%</w:t>
            </w: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1,024</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1,017</w:t>
            </w:r>
          </w:p>
        </w:tc>
        <w:tc>
          <w:tcPr>
            <w:tcW w:w="1220" w:type="dxa"/>
            <w:vAlign w:val="bottom"/>
            <w:gridSpan w:val="3"/>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89"/>
        </w:trPr>
        <w:tc>
          <w:tcPr>
            <w:tcW w:w="2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Series 2017-24A </w:t>
            </w:r>
            <w:r>
              <w:rPr>
                <w:rFonts w:ascii="Times New Roman" w:cs="Times New Roman" w:eastAsia="Times New Roman" w:hAnsi="Times New Roman"/>
                <w:sz w:val="18"/>
                <w:szCs w:val="18"/>
                <w:color w:val="auto"/>
                <w:vertAlign w:val="superscript"/>
              </w:rPr>
              <w:t>(3)(4)(9)</w:t>
            </w:r>
          </w:p>
        </w:tc>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10/2038)</w:t>
            </w:r>
          </w:p>
        </w:tc>
        <w:tc>
          <w:tcPr>
            <w:tcW w:w="9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7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Neuberger Berman Loan Advisers CLO Ltd,</w:t>
            </w:r>
          </w:p>
        </w:tc>
        <w:tc>
          <w:tcPr>
            <w:tcW w:w="21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($2,000 par, due</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9/9/2025</w:t>
            </w:r>
          </w:p>
        </w:tc>
        <w:tc>
          <w:tcPr>
            <w:tcW w:w="14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+ 5.50%</w:t>
            </w:r>
          </w:p>
        </w:tc>
        <w:tc>
          <w:tcPr>
            <w:tcW w:w="106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9.39%</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2,030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2,013</w:t>
            </w:r>
          </w:p>
        </w:tc>
        <w:tc>
          <w:tcPr>
            <w:tcW w:w="122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89"/>
        </w:trPr>
        <w:tc>
          <w:tcPr>
            <w:tcW w:w="274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Series 2019-33A </w:t>
            </w:r>
            <w:r>
              <w:rPr>
                <w:rFonts w:ascii="Times New Roman" w:cs="Times New Roman" w:eastAsia="Times New Roman" w:hAnsi="Times New Roman"/>
                <w:sz w:val="18"/>
                <w:szCs w:val="18"/>
                <w:color w:val="auto"/>
                <w:vertAlign w:val="superscript"/>
              </w:rPr>
              <w:t>(3)(4)(9)</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4/2039)</w:t>
            </w:r>
          </w:p>
        </w:tc>
        <w:tc>
          <w:tcPr>
            <w:tcW w:w="9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Neuberger Berman Loan Advisers CLO Ltd,</w:t>
            </w:r>
          </w:p>
        </w:tc>
        <w:tc>
          <w:tcPr>
            <w:tcW w:w="21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($1,000 par, due</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8/15/2025</w:t>
            </w:r>
          </w:p>
        </w:tc>
        <w:tc>
          <w:tcPr>
            <w:tcW w:w="14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+ 5.15%</w:t>
            </w:r>
          </w:p>
        </w:tc>
        <w:tc>
          <w:tcPr>
            <w:tcW w:w="106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9.04%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1,001</w:t>
            </w:r>
          </w:p>
        </w:tc>
        <w:tc>
          <w:tcPr>
            <w:tcW w:w="122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52"/>
        </w:trPr>
        <w:tc>
          <w:tcPr>
            <w:tcW w:w="2740" w:type="dxa"/>
            <w:vAlign w:val="bottom"/>
          </w:tcPr>
          <w:p>
            <w:pPr>
              <w:spacing w:after="0" w:line="153" w:lineRule="exact"/>
              <w:rPr>
                <w:sz w:val="20"/>
                <w:szCs w:val="20"/>
                <w:color w:val="auto"/>
              </w:rPr>
            </w:pPr>
            <w:r>
              <w:rPr>
                <w:rFonts w:ascii="Times New Roman" w:cs="Times New Roman" w:eastAsia="Times New Roman" w:hAnsi="Times New Roman"/>
                <w:sz w:val="13"/>
                <w:szCs w:val="13"/>
                <w:color w:val="auto"/>
              </w:rPr>
              <w:t xml:space="preserve">Series 2021-44A </w:t>
            </w:r>
            <w:r>
              <w:rPr>
                <w:rFonts w:ascii="Times New Roman" w:cs="Times New Roman" w:eastAsia="Times New Roman" w:hAnsi="Times New Roman"/>
                <w:sz w:val="17"/>
                <w:szCs w:val="17"/>
                <w:color w:val="auto"/>
                <w:vertAlign w:val="superscript"/>
              </w:rPr>
              <w:t>(3)(4)(9)</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10/2035)</w:t>
            </w:r>
          </w:p>
        </w:tc>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740" w:type="dxa"/>
            <w:vAlign w:val="bottom"/>
          </w:tcPr>
          <w:p>
            <w:pPr>
              <w:spacing w:after="0" w:line="172" w:lineRule="exact"/>
              <w:rPr>
                <w:sz w:val="20"/>
                <w:szCs w:val="20"/>
                <w:color w:val="auto"/>
              </w:rPr>
            </w:pPr>
            <w:r>
              <w:rPr>
                <w:rFonts w:ascii="Times New Roman" w:cs="Times New Roman" w:eastAsia="Times New Roman" w:hAnsi="Times New Roman"/>
                <w:sz w:val="13"/>
                <w:szCs w:val="13"/>
                <w:color w:val="auto"/>
              </w:rPr>
              <w:t xml:space="preserve">Oaktree CLO Ltd, Series 2022-2A </w:t>
            </w:r>
            <w:r>
              <w:rPr>
                <w:rFonts w:ascii="Times New Roman" w:cs="Times New Roman" w:eastAsia="Times New Roman" w:hAnsi="Times New Roman"/>
                <w:sz w:val="18"/>
                <w:szCs w:val="18"/>
                <w:color w:val="auto"/>
                <w:vertAlign w:val="superscript"/>
              </w:rPr>
              <w:t>(3)(4)(9)</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Structured Credit ($3,500 par, due</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7/17/2025</w:t>
            </w:r>
          </w:p>
        </w:tc>
        <w:tc>
          <w:tcPr>
            <w:tcW w:w="14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SOFR + 6.40%</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10.30%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3,516</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Octagon 67 Ltd, Series 2023-1A </w:t>
            </w:r>
            <w:r>
              <w:rPr>
                <w:rFonts w:ascii="Times New Roman" w:cs="Times New Roman" w:eastAsia="Times New Roman" w:hAnsi="Times New Roman"/>
                <w:sz w:val="18"/>
                <w:szCs w:val="18"/>
                <w:color w:val="auto"/>
                <w:vertAlign w:val="superscript"/>
              </w:rPr>
              <w:t>(3)(4)(9)</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10/2037)</w:t>
            </w: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vMerge w:val="continue"/>
          </w:tcPr>
          <w:p>
            <w:pPr>
              <w:spacing w:after="0"/>
              <w:rPr>
                <w:sz w:val="11"/>
                <w:szCs w:val="11"/>
                <w:color w:val="auto"/>
              </w:rPr>
            </w:pPr>
          </w:p>
        </w:tc>
        <w:tc>
          <w:tcPr>
            <w:tcW w:w="218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($3,000 par, due</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9/4/2025</w:t>
            </w:r>
          </w:p>
        </w:tc>
        <w:tc>
          <w:tcPr>
            <w:tcW w:w="14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+ 7.41%</w:t>
            </w:r>
          </w:p>
        </w:tc>
        <w:tc>
          <w:tcPr>
            <w:tcW w:w="10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11.27%</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3,102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3,057</w:t>
            </w:r>
          </w:p>
        </w:tc>
        <w:tc>
          <w:tcPr>
            <w:tcW w:w="122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Oha Credit Funding Ltd, Series 2025-22A </w:t>
            </w:r>
            <w:r>
              <w:rPr>
                <w:rFonts w:ascii="Times New Roman" w:cs="Times New Roman" w:eastAsia="Times New Roman" w:hAnsi="Times New Roman"/>
                <w:sz w:val="18"/>
                <w:szCs w:val="18"/>
                <w:color w:val="auto"/>
                <w:vertAlign w:val="superscript"/>
              </w:rPr>
              <w:t>(3)(4)(9)</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7/2038)</w:t>
            </w: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vMerge w:val="continue"/>
          </w:tcPr>
          <w:p>
            <w:pPr>
              <w:spacing w:after="0"/>
              <w:rPr>
                <w:sz w:val="11"/>
                <w:szCs w:val="11"/>
                <w:color w:val="auto"/>
              </w:rPr>
            </w:pPr>
          </w:p>
        </w:tc>
        <w:tc>
          <w:tcPr>
            <w:tcW w:w="218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($1,250 par, due</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7/24/2025</w:t>
            </w:r>
          </w:p>
        </w:tc>
        <w:tc>
          <w:tcPr>
            <w:tcW w:w="14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+ 5.55%</w:t>
            </w:r>
          </w:p>
        </w:tc>
        <w:tc>
          <w:tcPr>
            <w:tcW w:w="10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9.83%</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1,268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1,261</w:t>
            </w:r>
          </w:p>
        </w:tc>
        <w:tc>
          <w:tcPr>
            <w:tcW w:w="122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Palmer Square CLO Ltd, Series 2021-4 </w:t>
            </w:r>
            <w:r>
              <w:rPr>
                <w:rFonts w:ascii="Times New Roman" w:cs="Times New Roman" w:eastAsia="Times New Roman" w:hAnsi="Times New Roman"/>
                <w:sz w:val="18"/>
                <w:szCs w:val="18"/>
                <w:color w:val="auto"/>
                <w:vertAlign w:val="superscript"/>
              </w:rPr>
              <w:t>(3)(4)(9)</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7/2038)</w:t>
            </w: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vMerge w:val="continue"/>
          </w:tcPr>
          <w:p>
            <w:pPr>
              <w:spacing w:after="0"/>
              <w:rPr>
                <w:sz w:val="11"/>
                <w:szCs w:val="11"/>
                <w:color w:val="auto"/>
              </w:rPr>
            </w:pPr>
          </w:p>
        </w:tc>
        <w:tc>
          <w:tcPr>
            <w:tcW w:w="218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($4,000 par, due</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9/16/2025</w:t>
            </w:r>
          </w:p>
        </w:tc>
        <w:tc>
          <w:tcPr>
            <w:tcW w:w="14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+ 5.75%</w:t>
            </w:r>
          </w:p>
        </w:tc>
        <w:tc>
          <w:tcPr>
            <w:tcW w:w="10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9.65%</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4,036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4,010</w:t>
            </w:r>
          </w:p>
        </w:tc>
        <w:tc>
          <w:tcPr>
            <w:tcW w:w="122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Palmer Square CLO Ltd, Series 2025-1A </w:t>
            </w:r>
            <w:r>
              <w:rPr>
                <w:rFonts w:ascii="Times New Roman" w:cs="Times New Roman" w:eastAsia="Times New Roman" w:hAnsi="Times New Roman"/>
                <w:sz w:val="18"/>
                <w:szCs w:val="18"/>
                <w:color w:val="auto"/>
                <w:vertAlign w:val="superscript"/>
              </w:rPr>
              <w:t>(3)(4)(9)</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7/2038)</w:t>
            </w: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vMerge w:val="continue"/>
          </w:tcPr>
          <w:p>
            <w:pPr>
              <w:spacing w:after="0"/>
              <w:rPr>
                <w:sz w:val="11"/>
                <w:szCs w:val="11"/>
                <w:color w:val="auto"/>
              </w:rPr>
            </w:pPr>
          </w:p>
        </w:tc>
        <w:tc>
          <w:tcPr>
            <w:tcW w:w="218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($2,250 par, due</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8/21/2025</w:t>
            </w:r>
          </w:p>
        </w:tc>
        <w:tc>
          <w:tcPr>
            <w:tcW w:w="14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+ 4.50%</w:t>
            </w:r>
          </w:p>
        </w:tc>
        <w:tc>
          <w:tcPr>
            <w:tcW w:w="10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8.38%</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2,251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2,250</w:t>
            </w:r>
          </w:p>
        </w:tc>
        <w:tc>
          <w:tcPr>
            <w:tcW w:w="122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Pikes Peak CLO Ltd, Series 2023-14A </w:t>
            </w:r>
            <w:r>
              <w:rPr>
                <w:rFonts w:ascii="Times New Roman" w:cs="Times New Roman" w:eastAsia="Times New Roman" w:hAnsi="Times New Roman"/>
                <w:sz w:val="18"/>
                <w:szCs w:val="18"/>
                <w:color w:val="auto"/>
                <w:vertAlign w:val="superscript"/>
              </w:rPr>
              <w:t>(3)(4)(9)</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4/2038)</w:t>
            </w: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vMerge w:val="continue"/>
          </w:tcPr>
          <w:p>
            <w:pPr>
              <w:spacing w:after="0"/>
              <w:rPr>
                <w:sz w:val="11"/>
                <w:szCs w:val="11"/>
                <w:color w:val="auto"/>
              </w:rPr>
            </w:pPr>
          </w:p>
        </w:tc>
        <w:tc>
          <w:tcPr>
            <w:tcW w:w="218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($3,000 par, due</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7/30/2025</w:t>
            </w:r>
          </w:p>
        </w:tc>
        <w:tc>
          <w:tcPr>
            <w:tcW w:w="14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+ 6.00%</w:t>
            </w:r>
          </w:p>
        </w:tc>
        <w:tc>
          <w:tcPr>
            <w:tcW w:w="10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9.88%</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3,067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2,992</w:t>
            </w:r>
          </w:p>
        </w:tc>
        <w:tc>
          <w:tcPr>
            <w:tcW w:w="122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1"/>
        </w:trPr>
        <w:tc>
          <w:tcPr>
            <w:tcW w:w="2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Regatta Funding Ltd, Series 2020-1A </w:t>
            </w:r>
            <w:r>
              <w:rPr>
                <w:rFonts w:ascii="Times New Roman" w:cs="Times New Roman" w:eastAsia="Times New Roman" w:hAnsi="Times New Roman"/>
                <w:sz w:val="18"/>
                <w:szCs w:val="18"/>
                <w:color w:val="auto"/>
                <w:vertAlign w:val="superscript"/>
              </w:rPr>
              <w:t>(3)(4)(9)</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7/2038)</w:t>
            </w: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vMerge w:val="continue"/>
          </w:tcPr>
          <w:p>
            <w:pPr>
              <w:spacing w:after="0"/>
              <w:rPr>
                <w:sz w:val="11"/>
                <w:szCs w:val="11"/>
                <w:color w:val="auto"/>
              </w:rPr>
            </w:pPr>
          </w:p>
        </w:tc>
        <w:tc>
          <w:tcPr>
            <w:tcW w:w="218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($1,000 par, due</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7/17/2025</w:t>
            </w:r>
          </w:p>
        </w:tc>
        <w:tc>
          <w:tcPr>
            <w:tcW w:w="14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+ 6.50%</w:t>
            </w:r>
          </w:p>
        </w:tc>
        <w:tc>
          <w:tcPr>
            <w:tcW w:w="10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10.40%</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1,019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1,011</w:t>
            </w:r>
          </w:p>
        </w:tc>
        <w:tc>
          <w:tcPr>
            <w:tcW w:w="122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Riverbank Park CLO Ltd, Series 2024-1A </w:t>
            </w:r>
            <w:r>
              <w:rPr>
                <w:rFonts w:ascii="Times New Roman" w:cs="Times New Roman" w:eastAsia="Times New Roman" w:hAnsi="Times New Roman"/>
                <w:sz w:val="18"/>
                <w:szCs w:val="18"/>
                <w:color w:val="auto"/>
                <w:vertAlign w:val="superscript"/>
              </w:rPr>
              <w:t>(3)(4)(9)</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10/2037)</w:t>
            </w: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vMerge w:val="continue"/>
          </w:tcPr>
          <w:p>
            <w:pPr>
              <w:spacing w:after="0"/>
              <w:rPr>
                <w:sz w:val="11"/>
                <w:szCs w:val="11"/>
                <w:color w:val="auto"/>
              </w:rPr>
            </w:pPr>
          </w:p>
        </w:tc>
        <w:tc>
          <w:tcPr>
            <w:tcW w:w="218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($4,500 par, due</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7/29/2025</w:t>
            </w:r>
          </w:p>
        </w:tc>
        <w:tc>
          <w:tcPr>
            <w:tcW w:w="14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+ 4.80%</w:t>
            </w:r>
          </w:p>
        </w:tc>
        <w:tc>
          <w:tcPr>
            <w:tcW w:w="10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8.66%</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4,528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4,502</w:t>
            </w:r>
          </w:p>
        </w:tc>
        <w:tc>
          <w:tcPr>
            <w:tcW w:w="122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1"/>
        </w:trPr>
        <w:tc>
          <w:tcPr>
            <w:tcW w:w="2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RR Ltd, Series 2021-19A </w:t>
            </w:r>
            <w:r>
              <w:rPr>
                <w:rFonts w:ascii="Times New Roman" w:cs="Times New Roman" w:eastAsia="Times New Roman" w:hAnsi="Times New Roman"/>
                <w:sz w:val="18"/>
                <w:szCs w:val="18"/>
                <w:color w:val="auto"/>
                <w:vertAlign w:val="superscript"/>
              </w:rPr>
              <w:t>(3)(4)(9)</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1/2038)</w:t>
            </w: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40" w:type="dxa"/>
            <w:vAlign w:val="bottom"/>
            <w:vMerge w:val="continue"/>
          </w:tcPr>
          <w:p>
            <w:pPr>
              <w:spacing w:after="0"/>
              <w:rPr>
                <w:sz w:val="11"/>
                <w:szCs w:val="11"/>
                <w:color w:val="auto"/>
              </w:rPr>
            </w:pPr>
          </w:p>
        </w:tc>
        <w:tc>
          <w:tcPr>
            <w:tcW w:w="218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($1,000 par, due</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7/17/2025</w:t>
            </w:r>
          </w:p>
        </w:tc>
        <w:tc>
          <w:tcPr>
            <w:tcW w:w="14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+ 4.70%</w:t>
            </w:r>
          </w:p>
        </w:tc>
        <w:tc>
          <w:tcPr>
            <w:tcW w:w="10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8.60%</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999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995</w:t>
            </w:r>
          </w:p>
        </w:tc>
        <w:tc>
          <w:tcPr>
            <w:tcW w:w="122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1"/>
        </w:trPr>
        <w:tc>
          <w:tcPr>
            <w:tcW w:w="2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Texas Debt Capital CLO Ltd, Series 2023-1A </w:t>
            </w:r>
            <w:r>
              <w:rPr>
                <w:rFonts w:ascii="Times New Roman" w:cs="Times New Roman" w:eastAsia="Times New Roman" w:hAnsi="Times New Roman"/>
                <w:sz w:val="18"/>
                <w:szCs w:val="18"/>
                <w:color w:val="auto"/>
                <w:vertAlign w:val="superscript"/>
              </w:rPr>
              <w:t>(3)</w:t>
            </w:r>
          </w:p>
        </w:tc>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4/2040)</w:t>
            </w:r>
          </w:p>
        </w:tc>
        <w:tc>
          <w:tcPr>
            <w:tcW w:w="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21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Structured Credit ($2,000 par, due</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8/12/2025</w:t>
            </w:r>
          </w:p>
        </w:tc>
        <w:tc>
          <w:tcPr>
            <w:tcW w:w="14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SOFR + 4.95%</w:t>
            </w:r>
          </w:p>
        </w:tc>
        <w:tc>
          <w:tcPr>
            <w:tcW w:w="1060" w:type="dxa"/>
            <w:vAlign w:val="bottom"/>
          </w:tcPr>
          <w:p>
            <w:pPr>
              <w:jc w:val="right"/>
              <w:ind w:right="13"/>
              <w:spacing w:after="0" w:line="122" w:lineRule="exact"/>
              <w:rPr>
                <w:sz w:val="20"/>
                <w:szCs w:val="20"/>
                <w:color w:val="auto"/>
              </w:rPr>
            </w:pPr>
            <w:r>
              <w:rPr>
                <w:rFonts w:ascii="Times New Roman" w:cs="Times New Roman" w:eastAsia="Times New Roman" w:hAnsi="Times New Roman"/>
                <w:sz w:val="13"/>
                <w:szCs w:val="13"/>
                <w:color w:val="auto"/>
              </w:rPr>
              <w:t>8.83%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2,023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2,017</w:t>
            </w:r>
          </w:p>
        </w:tc>
        <w:tc>
          <w:tcPr>
            <w:tcW w:w="1220" w:type="dxa"/>
            <w:vAlign w:val="bottom"/>
            <w:gridSpan w:val="3"/>
          </w:tcPr>
          <w:p>
            <w:pPr>
              <w:jc w:val="right"/>
              <w:ind w:right="40"/>
              <w:spacing w:after="0" w:line="122"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17"/>
        </w:trPr>
        <w:tc>
          <w:tcPr>
            <w:tcW w:w="2740" w:type="dxa"/>
            <w:vAlign w:val="bottom"/>
          </w:tcPr>
          <w:p>
            <w:pPr>
              <w:spacing w:after="0"/>
              <w:rPr>
                <w:sz w:val="20"/>
                <w:szCs w:val="20"/>
                <w:color w:val="auto"/>
              </w:rPr>
            </w:pPr>
            <w:r>
              <w:rPr>
                <w:rFonts w:ascii="Times New Roman" w:cs="Times New Roman" w:eastAsia="Times New Roman" w:hAnsi="Times New Roman"/>
                <w:sz w:val="9"/>
                <w:szCs w:val="9"/>
                <w:color w:val="auto"/>
              </w:rPr>
              <w:t>(4)(9)</w:t>
            </w:r>
          </w:p>
        </w:tc>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7/2038)</w:t>
            </w:r>
          </w:p>
        </w:tc>
        <w:tc>
          <w:tcPr>
            <w:tcW w:w="9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740" w:type="dxa"/>
            <w:vAlign w:val="bottom"/>
            <w:vMerge w:val="restart"/>
          </w:tcPr>
          <w:p>
            <w:pPr>
              <w:spacing w:after="0" w:line="195" w:lineRule="exact"/>
              <w:rPr>
                <w:sz w:val="20"/>
                <w:szCs w:val="20"/>
                <w:color w:val="auto"/>
              </w:rPr>
            </w:pPr>
            <w:r>
              <w:rPr>
                <w:rFonts w:ascii="Times New Roman" w:cs="Times New Roman" w:eastAsia="Times New Roman" w:hAnsi="Times New Roman"/>
                <w:sz w:val="13"/>
                <w:szCs w:val="13"/>
                <w:color w:val="auto"/>
              </w:rPr>
              <w:t xml:space="preserve">Whitebox CLO Ltd, Series 2023-4A </w:t>
            </w:r>
            <w:r>
              <w:rPr>
                <w:rFonts w:ascii="Times New Roman" w:cs="Times New Roman" w:eastAsia="Times New Roman" w:hAnsi="Times New Roman"/>
                <w:sz w:val="18"/>
                <w:szCs w:val="18"/>
                <w:color w:val="auto"/>
                <w:vertAlign w:val="superscript"/>
              </w:rPr>
              <w:t>(3)(4)(9)</w:t>
            </w:r>
          </w:p>
        </w:tc>
        <w:tc>
          <w:tcPr>
            <w:tcW w:w="21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740" w:type="dxa"/>
            <w:vAlign w:val="bottom"/>
            <w:vMerge w:val="continue"/>
          </w:tcPr>
          <w:p>
            <w:pPr>
              <w:spacing w:after="0"/>
              <w:rPr>
                <w:sz w:val="11"/>
                <w:szCs w:val="11"/>
                <w:color w:val="auto"/>
              </w:rPr>
            </w:pPr>
          </w:p>
        </w:tc>
        <w:tc>
          <w:tcPr>
            <w:tcW w:w="218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color w:val="auto"/>
              </w:rPr>
              <w:t>Structured Credit ($1,500 par, due</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8/20/2025</w:t>
            </w:r>
          </w:p>
        </w:tc>
        <w:tc>
          <w:tcPr>
            <w:tcW w:w="144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SOFR + 6.48%</w:t>
            </w:r>
          </w:p>
        </w:tc>
        <w:tc>
          <w:tcPr>
            <w:tcW w:w="1060" w:type="dxa"/>
            <w:vAlign w:val="bottom"/>
          </w:tcPr>
          <w:p>
            <w:pPr>
              <w:jc w:val="right"/>
              <w:ind w:right="13"/>
              <w:spacing w:after="0" w:line="136" w:lineRule="exact"/>
              <w:rPr>
                <w:sz w:val="20"/>
                <w:szCs w:val="20"/>
                <w:color w:val="auto"/>
              </w:rPr>
            </w:pPr>
            <w:r>
              <w:rPr>
                <w:rFonts w:ascii="Times New Roman" w:cs="Times New Roman" w:eastAsia="Times New Roman" w:hAnsi="Times New Roman"/>
                <w:sz w:val="13"/>
                <w:szCs w:val="13"/>
                <w:color w:val="auto"/>
              </w:rPr>
              <w:t>10.36%</w:t>
            </w:r>
          </w:p>
        </w:tc>
        <w:tc>
          <w:tcPr>
            <w:tcW w:w="8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1,529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1,514</w:t>
            </w:r>
          </w:p>
        </w:tc>
        <w:tc>
          <w:tcPr>
            <w:tcW w:w="122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2180" w:type="dxa"/>
            <w:vAlign w:val="bottom"/>
          </w:tcPr>
          <w:p>
            <w:pPr>
              <w:ind w:left="40"/>
              <w:spacing w:after="0" w:line="148" w:lineRule="exact"/>
              <w:rPr>
                <w:sz w:val="20"/>
                <w:szCs w:val="20"/>
                <w:color w:val="auto"/>
              </w:rPr>
            </w:pPr>
            <w:r>
              <w:rPr>
                <w:rFonts w:ascii="Times New Roman" w:cs="Times New Roman" w:eastAsia="Times New Roman" w:hAnsi="Times New Roman"/>
                <w:sz w:val="13"/>
                <w:szCs w:val="13"/>
                <w:color w:val="auto"/>
              </w:rPr>
              <w:t>4/2036)</w:t>
            </w:r>
          </w:p>
        </w:tc>
        <w:tc>
          <w:tcPr>
            <w:tcW w:w="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Other Investments</w:t>
            </w:r>
          </w:p>
        </w:tc>
        <w:tc>
          <w:tcPr>
            <w:tcW w:w="2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98,557</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97,872</w:t>
            </w:r>
          </w:p>
        </w:tc>
        <w:tc>
          <w:tcPr>
            <w:tcW w:w="16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21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4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Equity and Other Investments</w:t>
            </w:r>
          </w:p>
        </w:tc>
        <w:tc>
          <w:tcPr>
            <w:tcW w:w="2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258,339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270,454</w:t>
            </w:r>
          </w:p>
        </w:tc>
        <w:tc>
          <w:tcPr>
            <w:tcW w:w="160" w:type="dxa"/>
            <w:vAlign w:val="bottom"/>
          </w:tcPr>
          <w:p>
            <w:pPr>
              <w:spacing w:after="0"/>
              <w:rPr>
                <w:sz w:val="12"/>
                <w:szCs w:val="12"/>
                <w:color w:val="auto"/>
              </w:rPr>
            </w:pPr>
          </w:p>
        </w:tc>
        <w:tc>
          <w:tcPr>
            <w:tcW w:w="10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7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Total Investments</w:t>
            </w:r>
          </w:p>
        </w:tc>
        <w:tc>
          <w:tcPr>
            <w:tcW w:w="21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4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3,323,28</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3,347,317</w:t>
            </w:r>
          </w:p>
        </w:tc>
        <w:tc>
          <w:tcPr>
            <w:tcW w:w="1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3"/>
                <w:szCs w:val="13"/>
                <w:b w:val="1"/>
                <w:bCs w:val="1"/>
                <w:color w:val="auto"/>
              </w:rPr>
              <w:t>208.2%</w:t>
            </w:r>
          </w:p>
        </w:tc>
        <w:tc>
          <w:tcPr>
            <w:tcW w:w="0" w:type="dxa"/>
            <w:vAlign w:val="bottom"/>
          </w:tcPr>
          <w:p>
            <w:pPr>
              <w:spacing w:after="0"/>
              <w:rPr>
                <w:sz w:val="1"/>
                <w:szCs w:val="1"/>
                <w:color w:val="auto"/>
              </w:rPr>
            </w:pPr>
          </w:p>
        </w:tc>
      </w:tr>
      <w:tr>
        <w:trPr>
          <w:trHeight w:val="205"/>
        </w:trPr>
        <w:tc>
          <w:tcPr>
            <w:tcW w:w="2740" w:type="dxa"/>
            <w:vAlign w:val="bottom"/>
            <w:tcBorders>
              <w:bottom w:val="single" w:sz="8" w:color="CFF0FC"/>
            </w:tcBorders>
            <w:shd w:val="clear" w:color="auto" w:fill="CFF0FC"/>
          </w:tcPr>
          <w:p>
            <w:pPr>
              <w:spacing w:after="0"/>
              <w:rPr>
                <w:sz w:val="17"/>
                <w:szCs w:val="17"/>
                <w:color w:val="auto"/>
              </w:rPr>
            </w:pPr>
          </w:p>
        </w:tc>
        <w:tc>
          <w:tcPr>
            <w:tcW w:w="21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-4988560</wp:posOffset>
            </wp:positionV>
            <wp:extent cx="7132320" cy="1885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-4611370</wp:posOffset>
            </wp:positionV>
            <wp:extent cx="7132320" cy="1885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-4225290</wp:posOffset>
            </wp:positionV>
            <wp:extent cx="7132320" cy="1968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-3839845</wp:posOffset>
            </wp:positionV>
            <wp:extent cx="7132320" cy="1885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-3462655</wp:posOffset>
            </wp:positionV>
            <wp:extent cx="7132320" cy="1885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-2691130</wp:posOffset>
            </wp:positionV>
            <wp:extent cx="7132320" cy="1974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-2305050</wp:posOffset>
            </wp:positionV>
            <wp:extent cx="7132320" cy="1885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-1927860</wp:posOffset>
            </wp:positionV>
            <wp:extent cx="7132320" cy="18859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-1550670</wp:posOffset>
            </wp:positionV>
            <wp:extent cx="7132320" cy="18859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1885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18859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-325120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-325120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-325120</wp:posOffset>
            </wp:positionV>
            <wp:extent cx="939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Interest Rate Swaps as of December 31, 2025</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96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Upfront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center"/>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2"/>
                <w:szCs w:val="12"/>
                <w:color w:val="auto"/>
              </w:rPr>
            </w:pPr>
          </w:p>
        </w:tc>
        <w:tc>
          <w:tcPr>
            <w:tcW w:w="96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73"/>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Interest rate swap </w:t>
            </w:r>
            <w:r>
              <w:rPr>
                <w:rFonts w:ascii="Times New Roman" w:cs="Times New Roman" w:eastAsia="Times New Roman" w:hAnsi="Times New Roman"/>
                <w:sz w:val="19"/>
                <w:szCs w:val="19"/>
                <w:color w:val="auto"/>
                <w:vertAlign w:val="superscript"/>
              </w:rPr>
              <w:t>(a)(b)</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Receives</w:t>
            </w:r>
          </w:p>
        </w:tc>
        <w:tc>
          <w:tcPr>
            <w:tcW w:w="14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Pays</w:t>
            </w:r>
          </w:p>
        </w:tc>
        <w:tc>
          <w:tcPr>
            <w:tcW w:w="140" w:type="dxa"/>
            <w:vAlign w:val="bottom"/>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240" w:type="dxa"/>
            <w:vAlign w:val="bottom"/>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Gains / (Losses)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vMerge w:val="continue"/>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2.50%</w:t>
            </w:r>
          </w:p>
        </w:tc>
        <w:tc>
          <w:tcPr>
            <w:tcW w:w="14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SOFR + 2.17%</w:t>
            </w:r>
          </w:p>
        </w:tc>
        <w:tc>
          <w:tcPr>
            <w:tcW w:w="164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8/1/2026  $</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300,000</w:t>
            </w:r>
          </w:p>
        </w:tc>
        <w:tc>
          <w:tcPr>
            <w:tcW w:w="4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(5,785)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ind w:left="8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Interest rate swap </w:t>
            </w:r>
            <w:r>
              <w:rPr>
                <w:rFonts w:ascii="Times New Roman" w:cs="Times New Roman" w:eastAsia="Times New Roman" w:hAnsi="Times New Roman"/>
                <w:sz w:val="19"/>
                <w:szCs w:val="19"/>
                <w:color w:val="auto"/>
                <w:vertAlign w:val="superscript"/>
              </w:rPr>
              <w:t>(a)(b)</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6.95%</w:t>
            </w:r>
          </w:p>
        </w:tc>
        <w:tc>
          <w:tcPr>
            <w:tcW w:w="1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+ 2.99%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8/14/2028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Interest rate swap </w:t>
            </w:r>
            <w:r>
              <w:rPr>
                <w:rFonts w:ascii="Times New Roman" w:cs="Times New Roman" w:eastAsia="Times New Roman" w:hAnsi="Times New Roman"/>
                <w:sz w:val="19"/>
                <w:szCs w:val="19"/>
                <w:color w:val="auto"/>
                <w:vertAlign w:val="superscript"/>
              </w:rPr>
              <w:t>(a)(b)</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6.125%</w:t>
            </w:r>
          </w:p>
        </w:tc>
        <w:tc>
          <w:tcPr>
            <w:tcW w:w="1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+ 2.44%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3/1/2029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line="189" w:lineRule="exact"/>
              <w:rPr>
                <w:sz w:val="20"/>
                <w:szCs w:val="20"/>
                <w:color w:val="auto"/>
              </w:rPr>
            </w:pPr>
            <w:r>
              <w:rPr>
                <w:rFonts w:ascii="Times New Roman" w:cs="Times New Roman" w:eastAsia="Times New Roman" w:hAnsi="Times New Roman"/>
                <w:sz w:val="14"/>
                <w:szCs w:val="14"/>
                <w:color w:val="auto"/>
              </w:rPr>
              <w:t xml:space="preserve">Interest rate swap </w:t>
            </w:r>
            <w:r>
              <w:rPr>
                <w:rFonts w:ascii="Times New Roman" w:cs="Times New Roman" w:eastAsia="Times New Roman" w:hAnsi="Times New Roman"/>
                <w:sz w:val="19"/>
                <w:szCs w:val="19"/>
                <w:color w:val="auto"/>
                <w:vertAlign w:val="superscript"/>
              </w:rPr>
              <w:t>(a)(b)</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5.625%</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SOFR + 1.53%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8/15/2030</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8,284</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Hedge Accounting Swaps</w:t>
            </w: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1,250,000</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10,301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ind w:left="8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34,539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collateral</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16,727</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80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8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Total derivatives</w:t>
            </w: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40" w:type="dxa"/>
            <w:vAlign w:val="bottom"/>
            <w:gridSpan w:val="4"/>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1,250,000</w:t>
            </w:r>
          </w:p>
        </w:tc>
        <w:tc>
          <w:tcPr>
            <w:tcW w:w="44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27,028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ind w:left="80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34,539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238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0" w:type="dxa"/>
            <w:vAlign w:val="bottom"/>
            <w:tcBorders>
              <w:top w:val="single" w:sz="8" w:color="CFF0FC"/>
            </w:tcBorders>
          </w:tcPr>
          <w:p>
            <w:pPr>
              <w:spacing w:after="0"/>
              <w:rPr>
                <w:sz w:val="24"/>
                <w:szCs w:val="24"/>
                <w:color w:val="auto"/>
              </w:rPr>
            </w:pPr>
          </w:p>
        </w:tc>
        <w:tc>
          <w:tcPr>
            <w:tcW w:w="1320" w:type="dxa"/>
            <w:vAlign w:val="bottom"/>
            <w:tcBorders>
              <w:top w:val="single" w:sz="8" w:color="CFF0FC"/>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-1533525</wp:posOffset>
            </wp:positionV>
            <wp:extent cx="7132320" cy="11112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-1310640</wp:posOffset>
            </wp:positionV>
            <wp:extent cx="7132320" cy="11112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-796290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-779145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-796290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-779145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-796290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-779145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23" w:name="page24"/>
    <w:bookmarkEnd w:id="23"/>
    <w:p>
      <w:pPr>
        <w:ind w:left="1012" w:hanging="503"/>
        <w:spacing w:after="0"/>
        <w:tabs>
          <w:tab w:leader="none" w:pos="101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SOFR.</w:t>
      </w:r>
    </w:p>
    <w:p>
      <w:pPr>
        <w:spacing w:after="0" w:line="27" w:lineRule="exact"/>
        <w:rPr>
          <w:rFonts w:ascii="Times New Roman" w:cs="Times New Roman" w:eastAsia="Times New Roman" w:hAnsi="Times New Roman"/>
          <w:sz w:val="18"/>
          <w:szCs w:val="18"/>
          <w:color w:val="auto"/>
        </w:rPr>
      </w:pPr>
    </w:p>
    <w:p>
      <w:pPr>
        <w:ind w:left="1012" w:right="180" w:hanging="503"/>
        <w:spacing w:after="0" w:line="260" w:lineRule="auto"/>
        <w:tabs>
          <w:tab w:leader="none" w:pos="101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is used in a hedge accounting relationship. The associated change in fair value is recorded along with the change in fair value of the hedged item within interest expense.</w:t>
      </w:r>
    </w:p>
    <w:p>
      <w:pPr>
        <w:spacing w:after="0" w:line="181"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27" w:lineRule="exact"/>
        <w:rPr>
          <w:rFonts w:ascii="Times New Roman" w:cs="Times New Roman" w:eastAsia="Times New Roman" w:hAnsi="Times New Roman"/>
          <w:sz w:val="18"/>
          <w:szCs w:val="18"/>
          <w:color w:val="auto"/>
        </w:rPr>
      </w:pPr>
    </w:p>
    <w:p>
      <w:pPr>
        <w:ind w:left="512" w:hanging="512"/>
        <w:spacing w:after="0" w:line="250" w:lineRule="auto"/>
        <w:tabs>
          <w:tab w:leader="none" w:pos="5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12" w:right="20" w:hanging="512"/>
        <w:spacing w:after="0" w:line="250" w:lineRule="auto"/>
        <w:tabs>
          <w:tab w:leader="none" w:pos="5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Euro Interbank Offer Rate (“Euribor” or “E”), Sterling Overnight Index Average (“SONIA” or “S”), Secured Overnight Financing Rate (“SOFR”) which may also contain a credit spread adjustment depending on the tenor election,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2025.</w:t>
      </w:r>
    </w:p>
    <w:p>
      <w:pPr>
        <w:spacing w:after="0" w:line="2" w:lineRule="exact"/>
        <w:rPr>
          <w:rFonts w:ascii="Times New Roman" w:cs="Times New Roman" w:eastAsia="Times New Roman" w:hAnsi="Times New Roman"/>
          <w:sz w:val="18"/>
          <w:szCs w:val="18"/>
          <w:color w:val="auto"/>
        </w:rPr>
      </w:pPr>
    </w:p>
    <w:p>
      <w:pPr>
        <w:ind w:left="512" w:right="20" w:hanging="512"/>
        <w:spacing w:after="0" w:line="250" w:lineRule="auto"/>
        <w:tabs>
          <w:tab w:leader="none" w:pos="5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19.9% of total assets as of December 31, 2025.</w:t>
      </w:r>
    </w:p>
    <w:p>
      <w:pPr>
        <w:spacing w:after="0" w:line="1" w:lineRule="exact"/>
        <w:rPr>
          <w:rFonts w:ascii="Times New Roman" w:cs="Times New Roman" w:eastAsia="Times New Roman" w:hAnsi="Times New Roman"/>
          <w:sz w:val="18"/>
          <w:szCs w:val="18"/>
          <w:color w:val="auto"/>
        </w:rPr>
      </w:pPr>
    </w:p>
    <w:p>
      <w:pPr>
        <w:ind w:left="512" w:right="40" w:hanging="512"/>
        <w:spacing w:after="0" w:line="250" w:lineRule="auto"/>
        <w:tabs>
          <w:tab w:leader="none" w:pos="5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Times New Roman" w:cs="Times New Roman" w:eastAsia="Times New Roman" w:hAnsi="Times New Roman"/>
          <w:sz w:val="18"/>
          <w:szCs w:val="18"/>
          <w:color w:val="auto"/>
        </w:rPr>
      </w:pPr>
    </w:p>
    <w:p>
      <w:pPr>
        <w:ind w:left="512" w:right="180" w:hanging="512"/>
        <w:spacing w:after="0" w:line="253" w:lineRule="auto"/>
        <w:tabs>
          <w:tab w:leader="none" w:pos="5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2025 in which the issuer was an Affiliated Person of and was deemed to Control a portfolio company are as follows:</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Affiliated Investments during the year ended December 31, 2025</w:t>
      </w:r>
    </w:p>
    <w:p>
      <w:pPr>
        <w:spacing w:after="0" w:line="237"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3"/>
                <w:szCs w:val="13"/>
                <w:color w:val="auto"/>
              </w:rPr>
            </w:pPr>
          </w:p>
        </w:tc>
        <w:tc>
          <w:tcPr>
            <w:tcW w:w="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16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17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w:t>
            </w:r>
          </w:p>
        </w:tc>
        <w:tc>
          <w:tcPr>
            <w:tcW w:w="1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Additions (a)</w:t>
            </w:r>
          </w:p>
        </w:tc>
        <w:tc>
          <w:tcPr>
            <w:tcW w:w="160" w:type="dxa"/>
            <w:vAlign w:val="bottom"/>
          </w:tcPr>
          <w:p>
            <w:pPr>
              <w:spacing w:after="0"/>
              <w:rPr>
                <w:sz w:val="15"/>
                <w:szCs w:val="15"/>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60" w:type="dxa"/>
            <w:vAlign w:val="bottom"/>
          </w:tcPr>
          <w:p>
            <w:pPr>
              <w:spacing w:after="0"/>
              <w:rPr>
                <w:sz w:val="15"/>
                <w:szCs w:val="15"/>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80" w:type="dxa"/>
            <w:vAlign w:val="bottom"/>
          </w:tcPr>
          <w:p>
            <w:pPr>
              <w:spacing w:after="0"/>
              <w:rPr>
                <w:sz w:val="15"/>
                <w:szCs w:val="15"/>
                <w:color w:val="auto"/>
              </w:rPr>
            </w:pPr>
          </w:p>
        </w:tc>
        <w:tc>
          <w:tcPr>
            <w:tcW w:w="4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72"/>
              </w:rPr>
              <w: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18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1"/>
        </w:trPr>
        <w:tc>
          <w:tcPr>
            <w:tcW w:w="174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IRGSE Holding Corp.</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65,095</w:t>
            </w:r>
          </w:p>
        </w:tc>
        <w:tc>
          <w:tcPr>
            <w:tcW w:w="3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3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(5,310)</w:t>
            </w:r>
          </w:p>
        </w:tc>
        <w:tc>
          <w:tcPr>
            <w:tcW w:w="3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(16,309)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58,372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7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10,34</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65,095</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11,630</w:t>
            </w: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(5,310)</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(16,309)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58,372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-307975</wp:posOffset>
            </wp:positionV>
            <wp:extent cx="596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-307975</wp:posOffset>
            </wp:positionV>
            <wp:extent cx="6032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-307975</wp:posOffset>
            </wp:positionV>
            <wp:extent cx="603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4071620</wp:posOffset>
            </wp:positionH>
            <wp:positionV relativeFrom="paragraph">
              <wp:posOffset>-307975</wp:posOffset>
            </wp:positionV>
            <wp:extent cx="603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-307975</wp:posOffset>
            </wp:positionV>
            <wp:extent cx="603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-307975</wp:posOffset>
            </wp:positionV>
            <wp:extent cx="603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5829300</wp:posOffset>
            </wp:positionH>
            <wp:positionV relativeFrom="paragraph">
              <wp:posOffset>-307975</wp:posOffset>
            </wp:positionV>
            <wp:extent cx="603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6223635</wp:posOffset>
            </wp:positionH>
            <wp:positionV relativeFrom="paragraph">
              <wp:posOffset>-307975</wp:posOffset>
            </wp:positionV>
            <wp:extent cx="603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6711950</wp:posOffset>
            </wp:positionH>
            <wp:positionV relativeFrom="paragraph">
              <wp:posOffset>-307975</wp:posOffset>
            </wp:positionV>
            <wp:extent cx="603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left="1012" w:right="80" w:hanging="503"/>
        <w:spacing w:after="0" w:line="261"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12" w:right="200" w:hanging="503"/>
        <w:spacing w:after="0" w:line="255"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85" w:lineRule="exact"/>
        <w:rPr>
          <w:rFonts w:ascii="Times New Roman" w:cs="Times New Roman" w:eastAsia="Times New Roman" w:hAnsi="Times New Roman"/>
          <w:sz w:val="18"/>
          <w:szCs w:val="18"/>
          <w:color w:val="auto"/>
        </w:rPr>
      </w:pPr>
    </w:p>
    <w:p>
      <w:pPr>
        <w:ind w:left="512" w:right="680" w:hanging="512"/>
        <w:spacing w:after="0" w:line="261" w:lineRule="auto"/>
        <w:tabs>
          <w:tab w:leader="none" w:pos="5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estimated cost basis of investments for U.S. federal tax purposes was $3,332,367 resulting in estimated gross unrealized gains and losses of $219,540 and $231,975, respectively.</w:t>
      </w:r>
    </w:p>
    <w:p>
      <w:pPr>
        <w:ind w:left="512" w:right="60" w:hanging="512"/>
        <w:spacing w:after="0" w:line="250" w:lineRule="auto"/>
        <w:tabs>
          <w:tab w:leader="none" w:pos="5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12" w:right="100" w:hanging="512"/>
        <w:spacing w:after="0" w:line="250" w:lineRule="auto"/>
        <w:tabs>
          <w:tab w:leader="none" w:pos="5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ind w:left="512" w:right="100" w:hanging="512"/>
        <w:spacing w:after="0" w:line="250" w:lineRule="auto"/>
        <w:tabs>
          <w:tab w:leader="none" w:pos="5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ind w:left="512" w:hanging="512"/>
        <w:spacing w:after="0"/>
        <w:tabs>
          <w:tab w:leader="none" w:pos="5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473075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01" w:right="339" w:bottom="1440" w:gutter="0" w:footer="0" w:header="0"/>
        </w:sectPr>
      </w:pPr>
    </w:p>
    <w:bookmarkStart w:id="24" w:name="page25"/>
    <w:bookmarkEnd w:id="24"/>
    <w:p>
      <w:pPr>
        <w:ind w:left="512" w:right="40" w:hanging="512"/>
        <w:spacing w:after="0" w:line="257" w:lineRule="auto"/>
        <w:tabs>
          <w:tab w:leader="none" w:pos="5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a transaction exempt from registration under the Securities Act of 1933, as amended (the “Securities Act”), and may be deemed to be “restricted securities” under the Securities Act. As of December 31, 2025, the aggregate fair value of these securities is $18,527, or 1.2% of the Company’s net assets.</w:t>
      </w:r>
    </w:p>
    <w:p>
      <w:pPr>
        <w:spacing w:after="0" w:line="1"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investments may occur through a holding company or partnership.</w:t>
      </w:r>
    </w:p>
    <w:p>
      <w:pPr>
        <w:spacing w:after="0" w:line="9"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on non-accrual status as of December 31, 2025.</w:t>
      </w:r>
    </w:p>
    <w:p>
      <w:pPr>
        <w:spacing w:after="0" w:line="9" w:lineRule="exact"/>
        <w:rPr>
          <w:rFonts w:ascii="Times New Roman" w:cs="Times New Roman" w:eastAsia="Times New Roman" w:hAnsi="Times New Roman"/>
          <w:sz w:val="18"/>
          <w:szCs w:val="18"/>
          <w:color w:val="auto"/>
        </w:rPr>
      </w:pPr>
    </w:p>
    <w:p>
      <w:pPr>
        <w:ind w:left="512" w:hanging="512"/>
        <w:spacing w:after="0" w:line="253" w:lineRule="auto"/>
        <w:tabs>
          <w:tab w:leader="none" w:pos="5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principal amount outstanding and accrued interest owed on this investment, the Company is entitled to a separate Make-Whole Amount (the “Make-Whole”) of $15.9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473075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5" w:right="3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38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13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Par</w:t>
            </w:r>
          </w:p>
        </w:tc>
        <w:tc>
          <w:tcPr>
            <w:tcW w:w="1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Paid in Capital in</w:t>
            </w:r>
          </w:p>
        </w:tc>
        <w:tc>
          <w:tcPr>
            <w:tcW w:w="160" w:type="dxa"/>
            <w:vAlign w:val="bottom"/>
          </w:tcPr>
          <w:p>
            <w:pPr>
              <w:spacing w:after="0"/>
              <w:rPr>
                <w:sz w:val="10"/>
                <w:szCs w:val="10"/>
                <w:color w:val="auto"/>
              </w:rPr>
            </w:pPr>
          </w:p>
        </w:tc>
        <w:tc>
          <w:tcPr>
            <w:tcW w:w="10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Distributable</w:t>
            </w:r>
          </w:p>
        </w:tc>
        <w:tc>
          <w:tcPr>
            <w:tcW w:w="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 Net</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7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vMerge w:val="restart"/>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Amoun</w:t>
            </w:r>
          </w:p>
        </w:tc>
        <w:tc>
          <w:tcPr>
            <w:tcW w:w="1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w:t>
            </w:r>
          </w:p>
        </w:tc>
        <w:tc>
          <w:tcPr>
            <w:tcW w:w="16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Excess of Par</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12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94,705,15</w:t>
            </w:r>
          </w:p>
        </w:tc>
        <w:tc>
          <w:tcPr>
            <w:tcW w:w="1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64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664,2</w:t>
            </w:r>
          </w:p>
        </w:tc>
        <w:tc>
          <w:tcPr>
            <w:tcW w:w="88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 (10,459)</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1,535,583</w:t>
            </w:r>
          </w:p>
        </w:tc>
        <w:tc>
          <w:tcPr>
            <w:tcW w:w="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81,643</w:t>
            </w:r>
          </w:p>
        </w:tc>
        <w:tc>
          <w:tcPr>
            <w:tcW w:w="1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1,607,721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6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80" w:type="dxa"/>
            <w:vAlign w:val="bottom"/>
            <w:gridSpan w:val="3"/>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investment income</w:t>
            </w:r>
          </w:p>
        </w:tc>
        <w:tc>
          <w:tcPr>
            <w:tcW w:w="8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39,842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39,842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12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(26,524)</w:t>
            </w:r>
          </w:p>
        </w:tc>
        <w:tc>
          <w:tcPr>
            <w:tcW w:w="10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(26,524)</w:t>
            </w:r>
          </w:p>
        </w:tc>
        <w:tc>
          <w:tcPr>
            <w:tcW w:w="0" w:type="dxa"/>
            <w:vAlign w:val="bottom"/>
          </w:tcPr>
          <w:p>
            <w:pPr>
              <w:spacing w:after="0"/>
              <w:rPr>
                <w:sz w:val="1"/>
                <w:szCs w:val="1"/>
                <w:color w:val="auto"/>
              </w:rPr>
            </w:pPr>
          </w:p>
        </w:tc>
      </w:tr>
      <w:tr>
        <w:trPr>
          <w:trHeight w:val="171"/>
        </w:trPr>
        <w:tc>
          <w:tcPr>
            <w:tcW w:w="5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12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8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(39,343)</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(39,343)</w:t>
            </w:r>
          </w:p>
        </w:tc>
        <w:tc>
          <w:tcPr>
            <w:tcW w:w="0" w:type="dxa"/>
            <w:vAlign w:val="bottom"/>
          </w:tcPr>
          <w:p>
            <w:pPr>
              <w:spacing w:after="0"/>
              <w:rPr>
                <w:sz w:val="1"/>
                <w:szCs w:val="1"/>
                <w:color w:val="auto"/>
              </w:rPr>
            </w:pPr>
          </w:p>
        </w:tc>
      </w:tr>
      <w:tr>
        <w:trPr>
          <w:trHeight w:val="171"/>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currency transactions</w:t>
            </w: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Dividends to stockholders: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314,450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5,485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declared from distributable earnings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(44,511)</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(44,511)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12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March 31, 2026</w:t>
            </w:r>
          </w:p>
        </w:tc>
        <w:tc>
          <w:tcPr>
            <w:tcW w:w="72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95,019,60</w:t>
            </w:r>
          </w:p>
        </w:tc>
        <w:tc>
          <w:tcPr>
            <w:tcW w:w="1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957</w:t>
            </w: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664,2</w:t>
            </w:r>
          </w:p>
        </w:tc>
        <w:tc>
          <w:tcPr>
            <w:tcW w:w="88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(10,459)</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1,541,068</w:t>
            </w:r>
          </w:p>
        </w:tc>
        <w:tc>
          <w:tcPr>
            <w:tcW w:w="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11,107</w:t>
            </w:r>
          </w:p>
        </w:tc>
        <w:tc>
          <w:tcPr>
            <w:tcW w:w="1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1,542,673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5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16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880" w:type="dxa"/>
            <w:vAlign w:val="bottom"/>
            <w:gridSpan w:val="3"/>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120" w:type="dxa"/>
            <w:vAlign w:val="bottom"/>
            <w:tcBorders>
              <w:top w:val="single" w:sz="8" w:color="CFF0FC"/>
            </w:tcBorders>
          </w:tcPr>
          <w:p>
            <w:pPr>
              <w:ind w:left="60"/>
              <w:spacing w:after="0" w:line="12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investment income</w:t>
            </w:r>
          </w:p>
        </w:tc>
        <w:tc>
          <w:tcPr>
            <w:tcW w:w="8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40,884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40,884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12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(1,182)</w:t>
            </w:r>
          </w:p>
        </w:tc>
        <w:tc>
          <w:tcPr>
            <w:tcW w:w="0" w:type="dxa"/>
            <w:vAlign w:val="bottom"/>
          </w:tcPr>
          <w:p>
            <w:pPr>
              <w:spacing w:after="0"/>
              <w:rPr>
                <w:sz w:val="1"/>
                <w:szCs w:val="1"/>
                <w:color w:val="auto"/>
              </w:rPr>
            </w:pPr>
          </w:p>
        </w:tc>
      </w:tr>
      <w:tr>
        <w:trPr>
          <w:trHeight w:val="171"/>
        </w:trPr>
        <w:tc>
          <w:tcPr>
            <w:tcW w:w="5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12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8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currency transactions</w:t>
            </w: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Increase (decrease) in Net Assets Resulting from Capital Share Transactions: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12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Purchases of treasury stock</w:t>
            </w:r>
          </w:p>
        </w:tc>
        <w:tc>
          <w:tcPr>
            <w:tcW w:w="8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(30,938)</w:t>
            </w:r>
          </w:p>
        </w:tc>
        <w:tc>
          <w:tcPr>
            <w:tcW w:w="10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30,93</w:t>
            </w:r>
          </w:p>
        </w:tc>
        <w:tc>
          <w:tcPr>
            <w:tcW w:w="88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1"/>
        </w:trPr>
        <w:tc>
          <w:tcPr>
            <w:tcW w:w="512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80" w:type="dxa"/>
            <w:vAlign w:val="bottom"/>
            <w:gridSpan w:val="3"/>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Dividends to stockholders: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354,477</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5,779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declared from distributable earnings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(39,908)</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(39,908)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12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June 30, 2026</w:t>
            </w:r>
          </w:p>
        </w:tc>
        <w:tc>
          <w:tcPr>
            <w:tcW w:w="72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95,343,13</w:t>
            </w:r>
          </w:p>
        </w:tc>
        <w:tc>
          <w:tcPr>
            <w:tcW w:w="1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960</w:t>
            </w: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695,1</w:t>
            </w:r>
          </w:p>
        </w:tc>
        <w:tc>
          <w:tcPr>
            <w:tcW w:w="88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(10,959)</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1,546,847</w:t>
            </w:r>
          </w:p>
        </w:tc>
        <w:tc>
          <w:tcPr>
            <w:tcW w:w="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11,706</w:t>
            </w:r>
          </w:p>
        </w:tc>
        <w:tc>
          <w:tcPr>
            <w:tcW w:w="1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1,548,554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5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6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880" w:type="dxa"/>
            <w:vAlign w:val="bottom"/>
            <w:gridSpan w:val="3"/>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120" w:type="dxa"/>
            <w:vAlign w:val="bottom"/>
            <w:tcBorders>
              <w:top w:val="single" w:sz="8" w:color="CFF0FC"/>
            </w:tcBorders>
          </w:tcPr>
          <w:p>
            <w:pPr>
              <w:ind w:left="60"/>
              <w:spacing w:after="0" w:line="12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investment income</w:t>
            </w:r>
          </w:p>
        </w:tc>
        <w:tc>
          <w:tcPr>
            <w:tcW w:w="8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41,604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41,604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12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12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8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(9,628)</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(9,628)</w:t>
            </w:r>
          </w:p>
        </w:tc>
        <w:tc>
          <w:tcPr>
            <w:tcW w:w="0" w:type="dxa"/>
            <w:vAlign w:val="bottom"/>
          </w:tcPr>
          <w:p>
            <w:pPr>
              <w:spacing w:after="0"/>
              <w:rPr>
                <w:sz w:val="1"/>
                <w:szCs w:val="1"/>
                <w:color w:val="auto"/>
              </w:rPr>
            </w:pPr>
          </w:p>
        </w:tc>
      </w:tr>
      <w:tr>
        <w:trPr>
          <w:trHeight w:val="171"/>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currency transactions</w:t>
            </w: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Dividends to stockholders: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370,020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6,331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declared from distributable earnings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(40,044)</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(40,044)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12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September 30, 2026</w:t>
            </w:r>
          </w:p>
        </w:tc>
        <w:tc>
          <w:tcPr>
            <w:tcW w:w="72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95,713,15</w:t>
            </w:r>
          </w:p>
        </w:tc>
        <w:tc>
          <w:tcPr>
            <w:tcW w:w="1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964</w:t>
            </w:r>
          </w:p>
        </w:tc>
        <w:tc>
          <w:tcPr>
            <w:tcW w:w="16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695,1</w:t>
            </w:r>
          </w:p>
        </w:tc>
        <w:tc>
          <w:tcPr>
            <w:tcW w:w="88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(10,959)</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1,553,178</w:t>
            </w:r>
          </w:p>
        </w:tc>
        <w:tc>
          <w:tcPr>
            <w:tcW w:w="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6,107</w:t>
            </w:r>
          </w:p>
        </w:tc>
        <w:tc>
          <w:tcPr>
            <w:tcW w:w="1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1,549,290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5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60" w:type="dxa"/>
            <w:vAlign w:val="bottom"/>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40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880" w:type="dxa"/>
            <w:vAlign w:val="bottom"/>
            <w:gridSpan w:val="3"/>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-2451100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-2433955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-2451100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-2433955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-2451100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-2433955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-2451100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-2433955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-2451100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-2433955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-2451100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-2433955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-2433955</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-1096645</wp:posOffset>
            </wp:positionV>
            <wp:extent cx="6858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-1079500</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-1096645</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-1079500</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-1096645</wp:posOffset>
            </wp:positionV>
            <wp:extent cx="685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-1079500</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-1096645</wp:posOffset>
            </wp:positionV>
            <wp:extent cx="685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-1079500</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-1096645</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-1079500</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-1096645</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-1079500</wp:posOffset>
            </wp:positionV>
            <wp:extent cx="685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-24765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-24765</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34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13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Par</w:t>
            </w:r>
          </w:p>
        </w:tc>
        <w:tc>
          <w:tcPr>
            <w:tcW w:w="1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Paid in Capital in</w:t>
            </w:r>
          </w:p>
        </w:tc>
        <w:tc>
          <w:tcPr>
            <w:tcW w:w="160" w:type="dxa"/>
            <w:vAlign w:val="bottom"/>
          </w:tcPr>
          <w:p>
            <w:pPr>
              <w:spacing w:after="0"/>
              <w:rPr>
                <w:sz w:val="10"/>
                <w:szCs w:val="10"/>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Distributable</w:t>
            </w:r>
          </w:p>
        </w:tc>
        <w:tc>
          <w:tcPr>
            <w:tcW w:w="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 Net</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6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Amoun</w:t>
            </w:r>
          </w:p>
        </w:tc>
        <w:tc>
          <w:tcPr>
            <w:tcW w:w="1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w:t>
            </w:r>
          </w:p>
        </w:tc>
        <w:tc>
          <w:tcPr>
            <w:tcW w:w="16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Excess of Par</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1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6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93,661,4</w:t>
            </w:r>
          </w:p>
        </w:tc>
        <w:tc>
          <w:tcPr>
            <w:tcW w:w="260" w:type="dxa"/>
            <w:vAlign w:val="bottom"/>
            <w:gridSpan w:val="2"/>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62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664,2</w:t>
            </w:r>
          </w:p>
        </w:tc>
        <w:tc>
          <w:tcPr>
            <w:tcW w:w="900" w:type="dxa"/>
            <w:vAlign w:val="bottom"/>
            <w:tcBorders>
              <w:right w:val="single" w:sz="8" w:color="CFF0FC"/>
            </w:tcBorders>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 (10,459)</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1,519,337</w:t>
            </w:r>
          </w:p>
        </w:tc>
        <w:tc>
          <w:tcPr>
            <w:tcW w:w="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97,708</w:t>
            </w:r>
          </w:p>
        </w:tc>
        <w:tc>
          <w:tcPr>
            <w:tcW w:w="1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1,607,529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60" w:type="dxa"/>
            <w:vAlign w:val="bottom"/>
            <w:gridSpan w:val="2"/>
            <w:vMerge w:val="continue"/>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900" w:type="dxa"/>
            <w:vAlign w:val="bottom"/>
            <w:tcBorders>
              <w:right w:val="single" w:sz="8" w:color="CFF0FC"/>
            </w:tcBorders>
            <w:gridSpan w:val="3"/>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investment income</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57,978</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57,978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10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(21,860)</w:t>
            </w:r>
          </w:p>
        </w:tc>
        <w:tc>
          <w:tcPr>
            <w:tcW w:w="10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(21,860)</w:t>
            </w:r>
          </w:p>
        </w:tc>
        <w:tc>
          <w:tcPr>
            <w:tcW w:w="0" w:type="dxa"/>
            <w:vAlign w:val="bottom"/>
          </w:tcPr>
          <w:p>
            <w:pPr>
              <w:spacing w:after="0"/>
              <w:rPr>
                <w:sz w:val="1"/>
                <w:szCs w:val="1"/>
                <w:color w:val="auto"/>
              </w:rPr>
            </w:pPr>
          </w:p>
        </w:tc>
      </w:tr>
      <w:tr>
        <w:trPr>
          <w:trHeight w:val="171"/>
        </w:trPr>
        <w:tc>
          <w:tcPr>
            <w:tcW w:w="5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10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72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currency transactions</w:t>
            </w:r>
          </w:p>
        </w:tc>
        <w:tc>
          <w:tcPr>
            <w:tcW w:w="6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Dividends to stockholders: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302,922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6,437</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declared from distributable earnings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(49,641)</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(49,641)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1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68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93,964,3</w:t>
            </w:r>
          </w:p>
        </w:tc>
        <w:tc>
          <w:tcPr>
            <w:tcW w:w="260" w:type="dxa"/>
            <w:vAlign w:val="bottom"/>
            <w:gridSpan w:val="2"/>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946</w:t>
            </w:r>
          </w:p>
        </w:tc>
        <w:tc>
          <w:tcPr>
            <w:tcW w:w="62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664,2</w:t>
            </w:r>
          </w:p>
        </w:tc>
        <w:tc>
          <w:tcPr>
            <w:tcW w:w="900" w:type="dxa"/>
            <w:vAlign w:val="bottom"/>
            <w:tcBorders>
              <w:right w:val="single" w:sz="8" w:color="CFF0FC"/>
            </w:tcBorders>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(10,459)</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1,525,774</w:t>
            </w:r>
          </w:p>
        </w:tc>
        <w:tc>
          <w:tcPr>
            <w:tcW w:w="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85,022</w:t>
            </w:r>
          </w:p>
        </w:tc>
        <w:tc>
          <w:tcPr>
            <w:tcW w:w="1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1,601,283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58</w:t>
            </w:r>
          </w:p>
        </w:tc>
        <w:tc>
          <w:tcPr>
            <w:tcW w:w="260" w:type="dxa"/>
            <w:vAlign w:val="bottom"/>
            <w:gridSpan w:val="2"/>
            <w:vMerge w:val="continue"/>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900" w:type="dxa"/>
            <w:vAlign w:val="bottom"/>
            <w:tcBorders>
              <w:right w:val="single" w:sz="8" w:color="CFF0FC"/>
            </w:tcBorders>
            <w:gridSpan w:val="3"/>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300" w:type="dxa"/>
            <w:vAlign w:val="bottom"/>
            <w:gridSpan w:val="2"/>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100" w:type="dxa"/>
            <w:vAlign w:val="bottom"/>
            <w:tcBorders>
              <w:top w:val="single" w:sz="8" w:color="CFF0FC"/>
            </w:tcBorders>
          </w:tcPr>
          <w:p>
            <w:pPr>
              <w:ind w:left="60"/>
              <w:spacing w:after="0" w:line="12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investment income</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50,840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50,840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10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45,039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10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72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(36,876)</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(36,876)</w:t>
            </w:r>
          </w:p>
        </w:tc>
        <w:tc>
          <w:tcPr>
            <w:tcW w:w="0" w:type="dxa"/>
            <w:vAlign w:val="bottom"/>
          </w:tcPr>
          <w:p>
            <w:pPr>
              <w:spacing w:after="0"/>
              <w:rPr>
                <w:sz w:val="1"/>
                <w:szCs w:val="1"/>
                <w:color w:val="auto"/>
              </w:rPr>
            </w:pPr>
          </w:p>
        </w:tc>
      </w:tr>
      <w:tr>
        <w:trPr>
          <w:trHeight w:val="171"/>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currency transactions</w:t>
            </w:r>
          </w:p>
        </w:tc>
        <w:tc>
          <w:tcPr>
            <w:tcW w:w="6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Dividends to stockholders: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275,990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6,219</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declared from distributable earnings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(48,862)</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(48,862)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1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68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94,240,3</w:t>
            </w:r>
          </w:p>
        </w:tc>
        <w:tc>
          <w:tcPr>
            <w:tcW w:w="260" w:type="dxa"/>
            <w:vAlign w:val="bottom"/>
            <w:gridSpan w:val="2"/>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949</w:t>
            </w:r>
          </w:p>
        </w:tc>
        <w:tc>
          <w:tcPr>
            <w:tcW w:w="62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664,2</w:t>
            </w:r>
          </w:p>
        </w:tc>
        <w:tc>
          <w:tcPr>
            <w:tcW w:w="900" w:type="dxa"/>
            <w:vAlign w:val="bottom"/>
            <w:tcBorders>
              <w:right w:val="single" w:sz="8" w:color="CFF0FC"/>
            </w:tcBorders>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(10,459)</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1,531,993</w:t>
            </w:r>
          </w:p>
        </w:tc>
        <w:tc>
          <w:tcPr>
            <w:tcW w:w="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95,163</w:t>
            </w:r>
          </w:p>
        </w:tc>
        <w:tc>
          <w:tcPr>
            <w:tcW w:w="1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1,617,646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c>
          <w:tcPr>
            <w:tcW w:w="260" w:type="dxa"/>
            <w:vAlign w:val="bottom"/>
            <w:gridSpan w:val="2"/>
            <w:vMerge w:val="continue"/>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900" w:type="dxa"/>
            <w:vAlign w:val="bottom"/>
            <w:tcBorders>
              <w:right w:val="single" w:sz="8" w:color="CFF0FC"/>
            </w:tcBorders>
            <w:gridSpan w:val="3"/>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300" w:type="dxa"/>
            <w:vAlign w:val="bottom"/>
            <w:gridSpan w:val="2"/>
            <w:vMerge w:val="continue"/>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100" w:type="dxa"/>
            <w:vAlign w:val="bottom"/>
            <w:tcBorders>
              <w:top w:val="single" w:sz="8" w:color="CFF0FC"/>
            </w:tcBorders>
          </w:tcPr>
          <w:p>
            <w:pPr>
              <w:ind w:left="60"/>
              <w:spacing w:after="0" w:line="129" w:lineRule="exact"/>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investment income</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50,680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50,680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10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change in unrealized gains (losses) on investments and</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(5,545)</w:t>
            </w:r>
          </w:p>
        </w:tc>
        <w:tc>
          <w:tcPr>
            <w:tcW w:w="10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(5,545)</w:t>
            </w:r>
          </w:p>
        </w:tc>
        <w:tc>
          <w:tcPr>
            <w:tcW w:w="0" w:type="dxa"/>
            <w:vAlign w:val="bottom"/>
          </w:tcPr>
          <w:p>
            <w:pPr>
              <w:spacing w:after="0"/>
              <w:rPr>
                <w:sz w:val="1"/>
                <w:szCs w:val="1"/>
                <w:color w:val="auto"/>
              </w:rPr>
            </w:pPr>
          </w:p>
        </w:tc>
      </w:tr>
      <w:tr>
        <w:trPr>
          <w:trHeight w:val="171"/>
        </w:trPr>
        <w:tc>
          <w:tcPr>
            <w:tcW w:w="5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10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Net realized gains (losses) on investments and foreign</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72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171"/>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currency transactions</w:t>
            </w:r>
          </w:p>
        </w:tc>
        <w:tc>
          <w:tcPr>
            <w:tcW w:w="6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Dividends to stockholders: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issued in connection with dividend reinvestment plan</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253,577</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5,521</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declared from distributable earnings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(48,063)</w:t>
            </w: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(48,063)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1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68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94,493,9</w:t>
            </w:r>
          </w:p>
        </w:tc>
        <w:tc>
          <w:tcPr>
            <w:tcW w:w="260" w:type="dxa"/>
            <w:vAlign w:val="bottom"/>
            <w:gridSpan w:val="2"/>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952</w:t>
            </w:r>
          </w:p>
        </w:tc>
        <w:tc>
          <w:tcPr>
            <w:tcW w:w="62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664,2</w:t>
            </w:r>
          </w:p>
        </w:tc>
        <w:tc>
          <w:tcPr>
            <w:tcW w:w="900" w:type="dxa"/>
            <w:vAlign w:val="bottom"/>
            <w:tcBorders>
              <w:right w:val="single" w:sz="8" w:color="CFF0FC"/>
            </w:tcBorders>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(10,459)</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1,537,514</w:t>
            </w:r>
          </w:p>
        </w:tc>
        <w:tc>
          <w:tcPr>
            <w:tcW w:w="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91,700</w:t>
            </w:r>
          </w:p>
        </w:tc>
        <w:tc>
          <w:tcPr>
            <w:tcW w:w="1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1,619,707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5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260" w:type="dxa"/>
            <w:vAlign w:val="bottom"/>
            <w:gridSpan w:val="2"/>
            <w:vMerge w:val="continue"/>
            <w:shd w:val="clear" w:color="auto" w:fill="CFF0FC"/>
          </w:tcPr>
          <w:p>
            <w:pPr>
              <w:spacing w:after="0"/>
              <w:rPr>
                <w:sz w:val="16"/>
                <w:szCs w:val="16"/>
                <w:color w:val="auto"/>
              </w:rPr>
            </w:pPr>
          </w:p>
        </w:tc>
        <w:tc>
          <w:tcPr>
            <w:tcW w:w="400" w:type="dxa"/>
            <w:vAlign w:val="bottom"/>
            <w:vMerge w:val="continue"/>
            <w:shd w:val="clear" w:color="auto" w:fill="CFF0FC"/>
          </w:tcPr>
          <w:p>
            <w:pPr>
              <w:spacing w:after="0"/>
              <w:rPr>
                <w:sz w:val="16"/>
                <w:szCs w:val="16"/>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900" w:type="dxa"/>
            <w:vAlign w:val="bottom"/>
            <w:tcBorders>
              <w:right w:val="single" w:sz="8" w:color="CFF0FC"/>
            </w:tcBorders>
            <w:gridSpan w:val="3"/>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300" w:type="dxa"/>
            <w:vAlign w:val="bottom"/>
            <w:gridSpan w:val="2"/>
            <w:vMerge w:val="continue"/>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-2167890</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-2150745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-2167890</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-2150745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-2167890</wp:posOffset>
            </wp:positionV>
            <wp:extent cx="685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-2150745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-2167890</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-2150745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-2167890</wp:posOffset>
            </wp:positionV>
            <wp:extent cx="685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-2150745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-2167890</wp:posOffset>
            </wp:positionV>
            <wp:extent cx="685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-2150745</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-1096645</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-1079500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-1096645</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-1079500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-1096645</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-1079500</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-1096645</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-1079500</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-1096645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-1079500</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-1096645</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-1079500</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685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685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-24765</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42"/>
        </w:trPr>
        <w:tc>
          <w:tcPr>
            <w:tcW w:w="67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6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76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8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net assets resulting from operations</w:t>
            </w:r>
          </w:p>
        </w:tc>
        <w:tc>
          <w:tcPr>
            <w:tcW w:w="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48,928</w:t>
            </w:r>
          </w:p>
        </w:tc>
        <w:tc>
          <w:tcPr>
            <w:tcW w:w="140" w:type="dxa"/>
            <w:vAlign w:val="bottom"/>
          </w:tcPr>
          <w:p>
            <w:pPr>
              <w:spacing w:after="0"/>
              <w:rPr>
                <w:sz w:val="12"/>
                <w:szCs w:val="12"/>
                <w:color w:val="auto"/>
              </w:rPr>
            </w:pPr>
          </w:p>
        </w:tc>
        <w:tc>
          <w:tcPr>
            <w:tcW w:w="3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140,557</w:t>
            </w:r>
          </w:p>
        </w:tc>
        <w:tc>
          <w:tcPr>
            <w:tcW w:w="100" w:type="dxa"/>
            <w:vAlign w:val="bottom"/>
          </w:tcPr>
          <w:p>
            <w:pPr>
              <w:spacing w:after="0"/>
              <w:rPr>
                <w:sz w:val="12"/>
                <w:szCs w:val="12"/>
                <w:color w:val="auto"/>
              </w:rPr>
            </w:pPr>
          </w:p>
        </w:tc>
      </w:tr>
      <w:tr>
        <w:trPr>
          <w:trHeight w:val="126"/>
        </w:trPr>
        <w:tc>
          <w:tcPr>
            <w:tcW w:w="67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Adjustments to reconcile increase (decrease) in net assets resulting from operations to net cash provided by (used</w:t>
            </w: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7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1"/>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 operating activities:</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8"/>
        </w:trPr>
        <w:tc>
          <w:tcPr>
            <w:tcW w:w="67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 on investments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38,640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(53,081)</w:t>
            </w:r>
          </w:p>
        </w:tc>
      </w:tr>
      <w:tr>
        <w:trPr>
          <w:trHeight w:val="148"/>
        </w:trPr>
        <w:tc>
          <w:tcPr>
            <w:tcW w:w="670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 on foreign currency transactions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(15,114)</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36,052</w:t>
            </w:r>
          </w:p>
        </w:tc>
        <w:tc>
          <w:tcPr>
            <w:tcW w:w="100" w:type="dxa"/>
            <w:vAlign w:val="bottom"/>
            <w:shd w:val="clear" w:color="auto" w:fill="CFF0FC"/>
          </w:tcPr>
          <w:p>
            <w:pPr>
              <w:spacing w:after="0"/>
              <w:rPr>
                <w:sz w:val="12"/>
                <w:szCs w:val="12"/>
                <w:color w:val="auto"/>
              </w:rPr>
            </w:pPr>
          </w:p>
        </w:tc>
      </w:tr>
      <w:tr>
        <w:trPr>
          <w:trHeight w:val="149"/>
        </w:trPr>
        <w:tc>
          <w:tcPr>
            <w:tcW w:w="67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Net change in unrealized (gains) losses on interest rate swaps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70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Net realized (gains) losses on investments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48,215</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34,919</w:t>
            </w:r>
          </w:p>
        </w:tc>
        <w:tc>
          <w:tcPr>
            <w:tcW w:w="100" w:type="dxa"/>
            <w:vAlign w:val="bottom"/>
            <w:shd w:val="clear" w:color="auto" w:fill="CFF0FC"/>
          </w:tcPr>
          <w:p>
            <w:pPr>
              <w:spacing w:after="0"/>
              <w:rPr>
                <w:sz w:val="12"/>
                <w:szCs w:val="12"/>
                <w:color w:val="auto"/>
              </w:rPr>
            </w:pPr>
          </w:p>
        </w:tc>
      </w:tr>
      <w:tr>
        <w:trPr>
          <w:trHeight w:val="148"/>
        </w:trPr>
        <w:tc>
          <w:tcPr>
            <w:tcW w:w="67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Net realized (gains) losses on foreign currency transactions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2"/>
                <w:szCs w:val="12"/>
                <w:color w:val="auto"/>
              </w:rPr>
            </w:pPr>
          </w:p>
        </w:tc>
      </w:tr>
      <w:tr>
        <w:trPr>
          <w:trHeight w:val="148"/>
        </w:trPr>
        <w:tc>
          <w:tcPr>
            <w:tcW w:w="670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Net amortization of discount on investments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(12,877)</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(20,720)</w:t>
            </w:r>
          </w:p>
        </w:tc>
      </w:tr>
      <w:tr>
        <w:trPr>
          <w:trHeight w:val="148"/>
        </w:trPr>
        <w:tc>
          <w:tcPr>
            <w:tcW w:w="67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4,987</w:t>
            </w:r>
          </w:p>
        </w:tc>
        <w:tc>
          <w:tcPr>
            <w:tcW w:w="100" w:type="dxa"/>
            <w:vAlign w:val="bottom"/>
          </w:tcPr>
          <w:p>
            <w:pPr>
              <w:spacing w:after="0"/>
              <w:rPr>
                <w:sz w:val="12"/>
                <w:szCs w:val="12"/>
                <w:color w:val="auto"/>
              </w:rPr>
            </w:pPr>
          </w:p>
        </w:tc>
      </w:tr>
      <w:tr>
        <w:trPr>
          <w:trHeight w:val="149"/>
        </w:trPr>
        <w:tc>
          <w:tcPr>
            <w:tcW w:w="670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Amortization of discount on debt</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1,359</w:t>
            </w:r>
          </w:p>
        </w:tc>
        <w:tc>
          <w:tcPr>
            <w:tcW w:w="100" w:type="dxa"/>
            <w:vAlign w:val="bottom"/>
            <w:shd w:val="clear" w:color="auto" w:fill="CFF0FC"/>
          </w:tcPr>
          <w:p>
            <w:pPr>
              <w:spacing w:after="0"/>
              <w:rPr>
                <w:sz w:val="12"/>
                <w:szCs w:val="12"/>
                <w:color w:val="auto"/>
              </w:rPr>
            </w:pPr>
          </w:p>
        </w:tc>
      </w:tr>
      <w:tr>
        <w:trPr>
          <w:trHeight w:val="148"/>
        </w:trPr>
        <w:tc>
          <w:tcPr>
            <w:tcW w:w="67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Purchases and originations of investments, net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(619,388)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(848,418)</w:t>
            </w:r>
          </w:p>
        </w:tc>
      </w:tr>
      <w:tr>
        <w:trPr>
          <w:trHeight w:val="148"/>
        </w:trPr>
        <w:tc>
          <w:tcPr>
            <w:tcW w:w="670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Proceeds from investments, net</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23,536</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66,850</w:t>
            </w:r>
          </w:p>
        </w:tc>
        <w:tc>
          <w:tcPr>
            <w:tcW w:w="100" w:type="dxa"/>
            <w:vAlign w:val="bottom"/>
            <w:shd w:val="clear" w:color="auto" w:fill="CFF0FC"/>
          </w:tcPr>
          <w:p>
            <w:pPr>
              <w:spacing w:after="0"/>
              <w:rPr>
                <w:sz w:val="12"/>
                <w:szCs w:val="12"/>
                <w:color w:val="auto"/>
              </w:rPr>
            </w:pPr>
          </w:p>
        </w:tc>
      </w:tr>
      <w:tr>
        <w:trPr>
          <w:trHeight w:val="148"/>
        </w:trPr>
        <w:tc>
          <w:tcPr>
            <w:tcW w:w="67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Repayments on investments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494,401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981,196</w:t>
            </w:r>
          </w:p>
        </w:tc>
        <w:tc>
          <w:tcPr>
            <w:tcW w:w="100" w:type="dxa"/>
            <w:vAlign w:val="bottom"/>
          </w:tcPr>
          <w:p>
            <w:pPr>
              <w:spacing w:after="0"/>
              <w:rPr>
                <w:sz w:val="12"/>
                <w:szCs w:val="12"/>
                <w:color w:val="auto"/>
              </w:rPr>
            </w:pPr>
          </w:p>
        </w:tc>
      </w:tr>
      <w:tr>
        <w:trPr>
          <w:trHeight w:val="148"/>
        </w:trPr>
        <w:tc>
          <w:tcPr>
            <w:tcW w:w="670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Paid-in-kind interest</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(18,040)</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(17,849)</w:t>
            </w:r>
          </w:p>
        </w:tc>
      </w:tr>
      <w:tr>
        <w:trPr>
          <w:trHeight w:val="148"/>
        </w:trPr>
        <w:tc>
          <w:tcPr>
            <w:tcW w:w="67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70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Interest and dividend receivable</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(2,528)</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(498)</w:t>
            </w:r>
          </w:p>
        </w:tc>
      </w:tr>
      <w:tr>
        <w:trPr>
          <w:trHeight w:val="148"/>
        </w:trPr>
        <w:tc>
          <w:tcPr>
            <w:tcW w:w="67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Interest receivable paid-in-kind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(1,949)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(177)</w:t>
            </w:r>
          </w:p>
        </w:tc>
      </w:tr>
      <w:tr>
        <w:trPr>
          <w:trHeight w:val="148"/>
        </w:trPr>
        <w:tc>
          <w:tcPr>
            <w:tcW w:w="670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633</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(3,800)</w:t>
            </w:r>
          </w:p>
        </w:tc>
      </w:tr>
      <w:tr>
        <w:trPr>
          <w:trHeight w:val="148"/>
        </w:trPr>
        <w:tc>
          <w:tcPr>
            <w:tcW w:w="67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Management fees payable to affiliate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(156)</w:t>
            </w:r>
          </w:p>
        </w:tc>
      </w:tr>
      <w:tr>
        <w:trPr>
          <w:trHeight w:val="148"/>
        </w:trPr>
        <w:tc>
          <w:tcPr>
            <w:tcW w:w="670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Incentive fees on net investment income payable to affiliate</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(1,511)</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(1,486)</w:t>
            </w:r>
          </w:p>
        </w:tc>
      </w:tr>
      <w:tr>
        <w:trPr>
          <w:trHeight w:val="149"/>
        </w:trPr>
        <w:tc>
          <w:tcPr>
            <w:tcW w:w="67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Incentive fees on net capital gains accrued to affiliate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(3,303)</w:t>
            </w:r>
          </w:p>
        </w:tc>
      </w:tr>
      <w:tr>
        <w:trPr>
          <w:trHeight w:val="148"/>
        </w:trPr>
        <w:tc>
          <w:tcPr>
            <w:tcW w:w="670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Payable to affiliate</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1,146</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(648)</w:t>
            </w:r>
          </w:p>
        </w:tc>
      </w:tr>
      <w:tr>
        <w:trPr>
          <w:trHeight w:val="148"/>
        </w:trPr>
        <w:tc>
          <w:tcPr>
            <w:tcW w:w="67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(43,376)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11,528</w:t>
            </w:r>
          </w:p>
        </w:tc>
        <w:tc>
          <w:tcPr>
            <w:tcW w:w="100" w:type="dxa"/>
            <w:vAlign w:val="bottom"/>
          </w:tcPr>
          <w:p>
            <w:pPr>
              <w:spacing w:after="0"/>
              <w:rPr>
                <w:sz w:val="12"/>
                <w:szCs w:val="12"/>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700" w:type="dxa"/>
            <w:vAlign w:val="bottom"/>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(52,412)</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327,487</w:t>
            </w:r>
          </w:p>
        </w:tc>
        <w:tc>
          <w:tcPr>
            <w:tcW w:w="100" w:type="dxa"/>
            <w:vAlign w:val="bottom"/>
            <w:shd w:val="clear" w:color="auto" w:fill="CFF0FC"/>
          </w:tcPr>
          <w:p>
            <w:pPr>
              <w:spacing w:after="0"/>
              <w:rPr>
                <w:sz w:val="12"/>
                <w:szCs w:val="12"/>
                <w:color w:val="auto"/>
              </w:rPr>
            </w:pPr>
          </w:p>
        </w:tc>
      </w:tr>
      <w:tr>
        <w:trPr>
          <w:trHeight w:val="142"/>
        </w:trPr>
        <w:tc>
          <w:tcPr>
            <w:tcW w:w="67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6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6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Borrowings on debt</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1,117,750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1,113,585</w:t>
            </w:r>
          </w:p>
        </w:tc>
        <w:tc>
          <w:tcPr>
            <w:tcW w:w="100" w:type="dxa"/>
            <w:vAlign w:val="bottom"/>
            <w:shd w:val="clear" w:color="auto" w:fill="CFF0FC"/>
          </w:tcPr>
          <w:p>
            <w:pPr>
              <w:spacing w:after="0"/>
              <w:rPr>
                <w:sz w:val="12"/>
                <w:szCs w:val="12"/>
                <w:color w:val="auto"/>
              </w:rPr>
            </w:pPr>
          </w:p>
        </w:tc>
      </w:tr>
      <w:tr>
        <w:trPr>
          <w:trHeight w:val="148"/>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on debt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(929,014)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(1,249,545)</w:t>
            </w:r>
          </w:p>
        </w:tc>
      </w:tr>
      <w:tr>
        <w:trPr>
          <w:trHeight w:val="149"/>
        </w:trPr>
        <w:tc>
          <w:tcPr>
            <w:tcW w:w="6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financing costs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(8,127)</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(7,317)</w:t>
            </w:r>
          </w:p>
        </w:tc>
      </w:tr>
      <w:tr>
        <w:trPr>
          <w:trHeight w:val="148"/>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stockholders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(106,860)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(128,379)</w:t>
            </w:r>
          </w:p>
        </w:tc>
      </w:tr>
      <w:tr>
        <w:trPr>
          <w:trHeight w:val="148"/>
        </w:trPr>
        <w:tc>
          <w:tcPr>
            <w:tcW w:w="6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9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67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70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73,249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(271,656)</w:t>
            </w:r>
          </w:p>
        </w:tc>
      </w:tr>
      <w:tr>
        <w:trPr>
          <w:trHeight w:val="142"/>
        </w:trPr>
        <w:tc>
          <w:tcPr>
            <w:tcW w:w="6700" w:type="dxa"/>
            <w:vAlign w:val="bottom"/>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16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7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20,837</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8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55,831</w:t>
            </w:r>
          </w:p>
        </w:tc>
        <w:tc>
          <w:tcPr>
            <w:tcW w:w="100" w:type="dxa"/>
            <w:vAlign w:val="bottom"/>
            <w:shd w:val="clear" w:color="auto" w:fill="CFF0FC"/>
          </w:tcPr>
          <w:p>
            <w:pPr>
              <w:spacing w:after="0"/>
              <w:rPr>
                <w:sz w:val="12"/>
                <w:szCs w:val="12"/>
                <w:color w:val="auto"/>
              </w:rPr>
            </w:pPr>
          </w:p>
        </w:tc>
      </w:tr>
      <w:tr>
        <w:trPr>
          <w:trHeight w:val="148"/>
        </w:trPr>
        <w:tc>
          <w:tcPr>
            <w:tcW w:w="6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19,662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27,328</w:t>
            </w:r>
          </w:p>
        </w:tc>
        <w:tc>
          <w:tcPr>
            <w:tcW w:w="100" w:type="dxa"/>
            <w:vAlign w:val="bottom"/>
          </w:tcPr>
          <w:p>
            <w:pPr>
              <w:spacing w:after="0"/>
              <w:rPr>
                <w:sz w:val="12"/>
                <w:szCs w:val="12"/>
                <w:color w:val="auto"/>
              </w:rPr>
            </w:pPr>
          </w:p>
        </w:tc>
      </w:tr>
      <w:tr>
        <w:trPr>
          <w:trHeight w:val="182"/>
        </w:trPr>
        <w:tc>
          <w:tcPr>
            <w:tcW w:w="6700" w:type="dxa"/>
            <w:vAlign w:val="bottom"/>
            <w:shd w:val="clear" w:color="auto" w:fill="CFF0FC"/>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3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40,499</w:t>
            </w:r>
          </w:p>
        </w:tc>
        <w:tc>
          <w:tcPr>
            <w:tcW w:w="1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83,159</w:t>
            </w:r>
          </w:p>
        </w:tc>
        <w:tc>
          <w:tcPr>
            <w:tcW w:w="100" w:type="dxa"/>
            <w:vAlign w:val="bottom"/>
            <w:shd w:val="clear" w:color="auto" w:fill="CFF0FC"/>
          </w:tcPr>
          <w:p>
            <w:pPr>
              <w:spacing w:after="0"/>
              <w:rPr>
                <w:sz w:val="15"/>
                <w:szCs w:val="15"/>
                <w:color w:val="auto"/>
              </w:rPr>
            </w:pPr>
          </w:p>
        </w:tc>
      </w:tr>
      <w:tr>
        <w:trPr>
          <w:trHeight w:val="129"/>
        </w:trPr>
        <w:tc>
          <w:tcPr>
            <w:tcW w:w="670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Supplemental Information:</w:t>
            </w:r>
          </w:p>
        </w:tc>
        <w:tc>
          <w:tcPr>
            <w:tcW w:w="16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48"/>
        </w:trPr>
        <w:tc>
          <w:tcPr>
            <w:tcW w:w="670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Interest paid during the period</w:t>
            </w:r>
          </w:p>
        </w:tc>
        <w:tc>
          <w:tcPr>
            <w:tcW w:w="3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92,789</w:t>
            </w:r>
          </w:p>
        </w:tc>
        <w:tc>
          <w:tcPr>
            <w:tcW w:w="14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106,967</w:t>
            </w:r>
          </w:p>
        </w:tc>
        <w:tc>
          <w:tcPr>
            <w:tcW w:w="100" w:type="dxa"/>
            <w:vAlign w:val="bottom"/>
            <w:shd w:val="clear" w:color="auto" w:fill="CFF0FC"/>
          </w:tcPr>
          <w:p>
            <w:pPr>
              <w:spacing w:after="0"/>
              <w:rPr>
                <w:sz w:val="12"/>
                <w:szCs w:val="12"/>
                <w:color w:val="auto"/>
              </w:rPr>
            </w:pPr>
          </w:p>
        </w:tc>
      </w:tr>
      <w:tr>
        <w:trPr>
          <w:trHeight w:val="148"/>
        </w:trPr>
        <w:tc>
          <w:tcPr>
            <w:tcW w:w="67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Excise and other taxes paid during the period</w:t>
            </w:r>
          </w:p>
        </w:tc>
        <w:tc>
          <w:tcPr>
            <w:tcW w:w="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4,605</w:t>
            </w:r>
          </w:p>
        </w:tc>
        <w:tc>
          <w:tcPr>
            <w:tcW w:w="140" w:type="dxa"/>
            <w:vAlign w:val="bottom"/>
          </w:tcPr>
          <w:p>
            <w:pPr>
              <w:spacing w:after="0"/>
              <w:rPr>
                <w:sz w:val="12"/>
                <w:szCs w:val="12"/>
                <w:color w:val="auto"/>
              </w:rPr>
            </w:pPr>
          </w:p>
        </w:tc>
        <w:tc>
          <w:tcPr>
            <w:tcW w:w="3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4,844</w:t>
            </w:r>
          </w:p>
        </w:tc>
        <w:tc>
          <w:tcPr>
            <w:tcW w:w="100" w:type="dxa"/>
            <w:vAlign w:val="bottom"/>
          </w:tcPr>
          <w:p>
            <w:pPr>
              <w:spacing w:after="0"/>
              <w:rPr>
                <w:sz w:val="12"/>
                <w:szCs w:val="12"/>
                <w:color w:val="auto"/>
              </w:rPr>
            </w:pPr>
          </w:p>
        </w:tc>
      </w:tr>
      <w:tr>
        <w:trPr>
          <w:trHeight w:val="149"/>
        </w:trPr>
        <w:tc>
          <w:tcPr>
            <w:tcW w:w="670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Dividends declared during the period</w:t>
            </w:r>
          </w:p>
        </w:tc>
        <w:tc>
          <w:tcPr>
            <w:tcW w:w="3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124,463</w:t>
            </w:r>
          </w:p>
        </w:tc>
        <w:tc>
          <w:tcPr>
            <w:tcW w:w="14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146,566</w:t>
            </w:r>
          </w:p>
        </w:tc>
        <w:tc>
          <w:tcPr>
            <w:tcW w:w="100" w:type="dxa"/>
            <w:vAlign w:val="bottom"/>
            <w:shd w:val="clear" w:color="auto" w:fill="CFF0FC"/>
          </w:tcPr>
          <w:p>
            <w:pPr>
              <w:spacing w:after="0"/>
              <w:rPr>
                <w:sz w:val="12"/>
                <w:szCs w:val="12"/>
                <w:color w:val="auto"/>
              </w:rPr>
            </w:pPr>
          </w:p>
        </w:tc>
      </w:tr>
      <w:tr>
        <w:trPr>
          <w:trHeight w:val="148"/>
        </w:trPr>
        <w:tc>
          <w:tcPr>
            <w:tcW w:w="6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7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8"/>
        </w:trPr>
        <w:tc>
          <w:tcPr>
            <w:tcW w:w="6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Reinvestment of dividends during the period</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17,605</w:t>
            </w:r>
          </w:p>
        </w:tc>
        <w:tc>
          <w:tcPr>
            <w:tcW w:w="14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18,186</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-1687830</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-1113155</wp:posOffset>
            </wp:positionV>
            <wp:extent cx="6858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-1113155</wp:posOffset>
            </wp:positionV>
            <wp:extent cx="6858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-710565</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-693420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example, with the word “million” or otherwise)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June 1, 2011, the Company formed a wholly-owned subsidiary, TC Lending, LLC, a Delaware limited liability company.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March 22, 2012, the Company formed a wholly-owned subsidiary, Sixth Street SL SPV, LLC, a Delaware limited liability company.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May 19, 2014, the Company formed a wholly-owned subsidiary, Sixth Street SL Holding, LLC, a Delaware limited liability company.</w:t>
      </w:r>
    </w:p>
    <w:p>
      <w:pPr>
        <w:spacing w:after="0" w:line="117"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On December 9, 2020, the Company formed a wholly-owned subsidiary, Sixth Street Specialty Lending Sub, LLC, a Cayman Islands limited liability company.</w:t>
      </w:r>
    </w:p>
    <w:p>
      <w:pPr>
        <w:spacing w:after="0" w:line="54" w:lineRule="exact"/>
        <w:rPr>
          <w:sz w:val="20"/>
          <w:szCs w:val="20"/>
          <w:color w:val="auto"/>
        </w:rPr>
      </w:pPr>
    </w:p>
    <w:p>
      <w:pPr>
        <w:ind w:right="580" w:firstLine="255"/>
        <w:spacing w:after="0" w:line="282" w:lineRule="auto"/>
        <w:rPr>
          <w:sz w:val="20"/>
          <w:szCs w:val="20"/>
          <w:color w:val="auto"/>
        </w:rPr>
      </w:pPr>
      <w:r>
        <w:rPr>
          <w:rFonts w:ascii="Times New Roman" w:cs="Times New Roman" w:eastAsia="Times New Roman" w:hAnsi="Times New Roman"/>
          <w:sz w:val="18"/>
          <w:szCs w:val="18"/>
          <w:color w:val="auto"/>
        </w:rPr>
        <w:t>On March 21, 2014, the Company completed its initial public offering (“IPO”) and the Company’s shares began trading on the New York Stock Exchange (“NYSE”) under the symbol “TSLX.”</w:t>
      </w:r>
    </w:p>
    <w:p>
      <w:pPr>
        <w:spacing w:after="0" w:line="54" w:lineRule="exact"/>
        <w:rPr>
          <w:sz w:val="20"/>
          <w:szCs w:val="20"/>
          <w:color w:val="auto"/>
        </w:rPr>
      </w:pPr>
    </w:p>
    <w:p>
      <w:pPr>
        <w:jc w:val="both"/>
        <w:ind w:right="20" w:firstLine="255"/>
        <w:spacing w:after="0" w:line="277" w:lineRule="auto"/>
        <w:rPr>
          <w:sz w:val="20"/>
          <w:szCs w:val="20"/>
          <w:color w:val="auto"/>
        </w:rPr>
      </w:pPr>
      <w:r>
        <w:rPr>
          <w:rFonts w:ascii="Times New Roman" w:cs="Times New Roman" w:eastAsia="Times New Roman" w:hAnsi="Times New Roman"/>
          <w:sz w:val="17"/>
          <w:szCs w:val="17"/>
          <w:color w:val="auto"/>
        </w:rPr>
        <w:t>On December 23, 2025, affiliates of Sixth Street, including the Company, and affiliates of Carlyle Group Inc. (“Carlyle”) entered into an amended and restated limited liability company agreement, as amended from time to time (the “Limited Liability Company Agreement”) to co-manage Structured Credit Partners JV, LLC (“SCP”), a joint venture focused on investing in broadly syndicated first lien senior secured loans, financed with long-term, non-mark-to-market, and predominantly investment grade rated CLO debt. The Company has 25.0% voting ownership in SCP and has commitments to fund, from time to time, capital of up to $200.0 million. Refer to Note 6, Fair Value of Financial Instruments, to these consolidated financial statements for further details.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180" w:firstLine="255"/>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75"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2025, which was filed with the Securities and Exchange Commission (“SEC”), on February 12, 2026.</w:t>
      </w:r>
    </w:p>
    <w:p>
      <w:pPr>
        <w:spacing w:after="0" w:line="183" w:lineRule="exact"/>
        <w:rPr>
          <w:sz w:val="20"/>
          <w:szCs w:val="20"/>
          <w:color w:val="auto"/>
        </w:rPr>
      </w:pPr>
    </w:p>
    <w:p>
      <w:pPr>
        <w:ind w:right="900" w:firstLine="255"/>
        <w:spacing w:after="0" w:line="282" w:lineRule="auto"/>
        <w:rPr>
          <w:sz w:val="20"/>
          <w:szCs w:val="20"/>
          <w:color w:val="auto"/>
        </w:rPr>
      </w:pPr>
      <w:r>
        <w:rPr>
          <w:rFonts w:ascii="Times New Roman" w:cs="Times New Roman" w:eastAsia="Times New Roman" w:hAnsi="Times New Roman"/>
          <w:sz w:val="18"/>
          <w:szCs w:val="18"/>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8"/>
          <w:szCs w:val="18"/>
          <w:i w:val="1"/>
          <w:iCs w:val="1"/>
          <w:color w:val="auto"/>
        </w:rPr>
        <w:t>Financial Services – Investment Companies.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3" w:lineRule="exact"/>
        <w:rPr>
          <w:sz w:val="20"/>
          <w:szCs w:val="20"/>
          <w:color w:val="auto"/>
        </w:rPr>
      </w:pPr>
    </w:p>
    <w:p>
      <w:pPr>
        <w:ind w:right="280" w:firstLine="255"/>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83"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our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40" w:hanging="257"/>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20" w:right="360" w:hanging="257"/>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17" w:lineRule="exact"/>
        <w:rPr>
          <w:rFonts w:ascii="Times New Roman" w:cs="Times New Roman" w:eastAsia="Times New Roman" w:hAnsi="Times New Roman"/>
          <w:sz w:val="18"/>
          <w:szCs w:val="18"/>
          <w:color w:val="auto"/>
        </w:rPr>
      </w:pPr>
    </w:p>
    <w:p>
      <w:pPr>
        <w:ind w:left="520" w:right="60" w:hanging="257"/>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conducts this valuation process on a quarterly basis.</w:t>
      </w:r>
    </w:p>
    <w:p>
      <w:pPr>
        <w:spacing w:after="0" w:line="225"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of investments for which no market quotations are readily available. At September 30, 2026,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81"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30" w:name="page31"/>
    <w:bookmarkEnd w:id="30"/>
    <w:p>
      <w:pPr>
        <w:ind w:right="580"/>
        <w:spacing w:after="0" w:line="266" w:lineRule="auto"/>
        <w:rPr>
          <w:sz w:val="20"/>
          <w:szCs w:val="20"/>
          <w:color w:val="auto"/>
        </w:rPr>
      </w:pPr>
      <w:r>
        <w:rPr>
          <w:rFonts w:ascii="Times New Roman" w:cs="Times New Roman" w:eastAsia="Times New Roman" w:hAnsi="Times New Roman"/>
          <w:sz w:val="18"/>
          <w:szCs w:val="18"/>
          <w:color w:val="auto"/>
        </w:rPr>
        <w:t>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68" w:lineRule="exact"/>
        <w:rPr>
          <w:sz w:val="20"/>
          <w:szCs w:val="20"/>
          <w:color w:val="auto"/>
        </w:rPr>
      </w:pPr>
    </w:p>
    <w:p>
      <w:pPr>
        <w:ind w:left="520" w:hanging="257"/>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17" w:lineRule="exact"/>
        <w:rPr>
          <w:rFonts w:ascii="Times New Roman" w:cs="Times New Roman" w:eastAsia="Times New Roman" w:hAnsi="Times New Roman"/>
          <w:sz w:val="18"/>
          <w:szCs w:val="18"/>
          <w:color w:val="auto"/>
        </w:rPr>
      </w:pPr>
    </w:p>
    <w:p>
      <w:pPr>
        <w:ind w:left="520" w:right="580" w:hanging="257"/>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88"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7"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11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84" w:lineRule="exact"/>
        <w:rPr>
          <w:sz w:val="20"/>
          <w:szCs w:val="20"/>
          <w:color w:val="auto"/>
        </w:rPr>
      </w:pPr>
    </w:p>
    <w:p>
      <w:pPr>
        <w:ind w:right="200" w:firstLine="255"/>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Derivatives, including the Company’s interest rate swaps, for which broker quotes are available are typically valued at those broker quotes.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119"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17" w:lineRule="exact"/>
        <w:rPr>
          <w:sz w:val="20"/>
          <w:szCs w:val="20"/>
          <w:color w:val="auto"/>
        </w:rPr>
      </w:pPr>
    </w:p>
    <w:p>
      <w:pPr>
        <w:ind w:left="520" w:right="580" w:hanging="257"/>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53" w:lineRule="exact"/>
        <w:rPr>
          <w:rFonts w:ascii="Times New Roman" w:cs="Times New Roman" w:eastAsia="Times New Roman" w:hAnsi="Times New Roman"/>
          <w:sz w:val="18"/>
          <w:szCs w:val="18"/>
          <w:color w:val="auto"/>
        </w:rPr>
      </w:pPr>
    </w:p>
    <w:p>
      <w:pPr>
        <w:ind w:left="520" w:hanging="257"/>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borrowings and repayments of such borrowings, income and expenses: at the rates of exchange prevailing on the respective dates of such transactions.</w:t>
      </w:r>
    </w:p>
    <w:p>
      <w:pPr>
        <w:spacing w:after="0" w:line="162"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9"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 Expenses</w:t>
      </w:r>
    </w:p>
    <w:p>
      <w:pPr>
        <w:spacing w:after="0" w:line="119"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140" w:firstLine="255"/>
        <w:spacing w:after="0" w:line="257"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 services that the Adviser provides vary by investment, but may include syndication, structuring, arranger, diligence fees, or other service-based fees and fees for providing managerial assistance to our portfolio companies and are recognized as revenue when earned.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0"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Including Excise Taxes</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8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3"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80" w:lineRule="exact"/>
        <w:rPr>
          <w:sz w:val="20"/>
          <w:szCs w:val="20"/>
          <w:color w:val="auto"/>
        </w:rPr>
      </w:pPr>
    </w:p>
    <w:p>
      <w:pPr>
        <w:jc w:val="both"/>
        <w:ind w:right="40" w:firstLine="255"/>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recorded a net expense of $1.2 million and $3.7 million, respectively, for U.S. federal excise tax and other taxes. For the three and nine months ended September 30, 2025, the Company recorded a net expense of $1.4 million and $4.0 million, respectively, for U.S. federal excise tax and other taxes.</w:t>
      </w:r>
    </w:p>
    <w:p>
      <w:pPr>
        <w:spacing w:after="0" w:line="176" w:lineRule="exact"/>
        <w:rPr>
          <w:sz w:val="20"/>
          <w:szCs w:val="20"/>
          <w:color w:val="auto"/>
        </w:rPr>
      </w:pPr>
    </w:p>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recorded an increase in our deferred tax liability of $0.9 million and $1.6 million, respectively, pertaining to net unrealized gains. As of September 30, 2026, the balance of our deferred tax liability was $5.6 million.</w:t>
      </w:r>
    </w:p>
    <w:p>
      <w:pPr>
        <w:spacing w:after="0" w:line="162" w:lineRule="exact"/>
        <w:rPr>
          <w:sz w:val="20"/>
          <w:szCs w:val="20"/>
          <w:color w:val="auto"/>
        </w:rPr>
      </w:pPr>
    </w:p>
    <w:p>
      <w:pPr>
        <w:jc w:val="both"/>
        <w:ind w:right="100" w:firstLine="255"/>
        <w:spacing w:after="0" w:line="257"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recorded a decrease in our deferred tax liability of $0.6 million, pertaining to net unrealized losses and recognized a tax expense of $0.9 million, pertaining to net realized gains. As of September 30, 2025, the balance of our deferred tax liability was $3.9 million.</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Dividends to Common Stockholders</w:t>
      </w:r>
    </w:p>
    <w:p>
      <w:pPr>
        <w:spacing w:after="0" w:line="119"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76"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may use newly issued shares to satisfy the dividend reinvestment plan or, if the Company is otherwise permitted under applicable law to purchase such shares, the Company may purchase shares in the open market in connection with satisfying the dividend reinvestment plan.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ind w:right="260" w:firstLine="255"/>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w:t>
      </w:r>
    </w:p>
    <w:p>
      <w:pPr>
        <w:spacing w:after="0" w:line="176" w:lineRule="exact"/>
        <w:rPr>
          <w:sz w:val="20"/>
          <w:szCs w:val="20"/>
          <w:color w:val="auto"/>
        </w:rPr>
      </w:pPr>
    </w:p>
    <w:p>
      <w:pPr>
        <w:ind w:right="540" w:firstLine="255"/>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(the “CODM”) is comprised of the senior executive committee that includes the Chief Executive Officer, Chief Financial Officer, and the Deputy Chief Financial Officer.</w:t>
      </w:r>
    </w:p>
    <w:p>
      <w:pPr>
        <w:spacing w:after="0" w:line="162"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w:t>
      </w:r>
    </w:p>
    <w:p>
      <w:pPr>
        <w:spacing w:after="0" w:line="176" w:lineRule="exact"/>
        <w:rPr>
          <w:sz w:val="20"/>
          <w:szCs w:val="20"/>
          <w:color w:val="auto"/>
        </w:rPr>
      </w:pPr>
    </w:p>
    <w:p>
      <w:pPr>
        <w:ind w:right="320" w:firstLine="255"/>
        <w:spacing w:after="0" w:line="261" w:lineRule="auto"/>
        <w:rPr>
          <w:sz w:val="20"/>
          <w:szCs w:val="20"/>
          <w:color w:val="auto"/>
        </w:rPr>
      </w:pPr>
      <w:r>
        <w:rPr>
          <w:rFonts w:ascii="Times New Roman" w:cs="Times New Roman" w:eastAsia="Times New Roman" w:hAnsi="Times New Roman"/>
          <w:sz w:val="18"/>
          <w:szCs w:val="18"/>
          <w:color w:val="auto"/>
        </w:rPr>
        <w:t>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and Regulatory Updates</w:t>
      </w:r>
    </w:p>
    <w:p>
      <w:pPr>
        <w:spacing w:after="0" w:line="11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In November 2025, the FASB issued ASU No. 2025-09, “Derivatives and Hedging (Topic 815): Hedge Accounting Improvements”, which intends to more closely align hedge accounting with the economics of an entity’s risk management activities. This update is effective for annual periods beginning after December 15, 2026, including interim periods within those fiscal years, though early adoption is permitted. The Company does not expect this update to have a material effect on the Company’s consolidated financial statements.</w:t>
      </w:r>
    </w:p>
    <w:p>
      <w:pPr>
        <w:spacing w:after="0" w:line="7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In March 2026, the FASB issued ASU No. 2025-11, “Interim Reporting (Topic 270): Narrow-Scope Improvements (“ASU 2025-11”)”, which intends to improve the guidance in Topic 270, Interim Reporting, in order to improve navigability of required interim disclosures and clarify when that guidance is applicable. This update is effective for interim periods in fiscal years beginning after December 15, 2027. The Company does not expect this update to have a material effect on the Company’s consolidated financial statements.</w:t>
      </w:r>
    </w:p>
    <w:p>
      <w:pPr>
        <w:spacing w:after="0" w:line="7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In March 2026, the FASB issued ASU No. 2025-12, “Codification Improvements”, which is part of a standing project to address suggestions received from stakeholders that intends to clarify accounting guidance, correct errors and make technical corrections to the Accounting Standards Codification. This update is effective for interim periods in fiscal years beginning after December 15, 2026, though early adoption is permitted. The Company does not expect this update to have a material effect on the Company’s consolidated financial statements.</w:t>
      </w:r>
    </w:p>
    <w:p>
      <w:pPr>
        <w:spacing w:after="0" w:line="72" w:lineRule="exact"/>
        <w:rPr>
          <w:sz w:val="20"/>
          <w:szCs w:val="20"/>
          <w:color w:val="auto"/>
        </w:rPr>
      </w:pPr>
    </w:p>
    <w:p>
      <w:pPr>
        <w:ind w:right="120" w:firstLine="255"/>
        <w:spacing w:after="0" w:line="254" w:lineRule="auto"/>
        <w:rPr>
          <w:sz w:val="20"/>
          <w:szCs w:val="20"/>
          <w:color w:val="auto"/>
        </w:rPr>
      </w:pPr>
      <w:r>
        <w:rPr>
          <w:rFonts w:ascii="Times New Roman" w:cs="Times New Roman" w:eastAsia="Times New Roman" w:hAnsi="Times New Roman"/>
          <w:sz w:val="18"/>
          <w:szCs w:val="18"/>
          <w:color w:val="auto"/>
        </w:rPr>
        <w:t>In September 2026, the FASB issued ASU No. 2026-03, “Fair Value Measurement (Topic 820): Investment Companies with Equity Securities Subject to Contractual Sale Restrictions (“ASU 2026-03”)”, which requires investment companies to reflect the effect of contractual sale restrictions in the fair value measurement of equity securities. The guidance is effective for fiscal years beginning after December 15, 2027, with early adoption permitted. The Company early adopted ASU 2026-03 prospectively as of September 30, 2026, which did not have a material impact on its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87"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In February 2017,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76"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In November 2026, the Board renewed the Administration Agreement. Unless earlier terminated as described below, the Administration Agreement will remain in effect until November 2027,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90"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incurred expenses of $0.9 million and $3.0 million, respectively, for administrative services payable to the Adviser under the terms of the Administration Agreement, which is included in other general and administrative expenses in the Consolidated Statements of Operations. For the three and nine months ended September 30, 2025, the Company incurred expenses of $1.0 million and $2.8 million, respectively, for administrative services payable to the Adviser under the terms of the Administration Agreement.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75" w:lineRule="exact"/>
        <w:rPr>
          <w:sz w:val="20"/>
          <w:szCs w:val="20"/>
          <w:color w:val="auto"/>
        </w:rPr>
      </w:pPr>
    </w:p>
    <w:p>
      <w:pPr>
        <w:jc w:val="both"/>
        <w:ind w:right="260" w:firstLine="255"/>
        <w:spacing w:after="0" w:line="266" w:lineRule="auto"/>
        <w:rPr>
          <w:sz w:val="20"/>
          <w:szCs w:val="20"/>
          <w:color w:val="auto"/>
        </w:rPr>
      </w:pPr>
      <w:r>
        <w:rPr>
          <w:rFonts w:ascii="Times New Roman" w:cs="Times New Roman" w:eastAsia="Times New Roman" w:hAnsi="Times New Roman"/>
          <w:sz w:val="18"/>
          <w:szCs w:val="18"/>
          <w:color w:val="auto"/>
        </w:rPr>
        <w:t>In November 2026, the Board renewed the Investment Advisory Agreement. Unless earlier terminated as described below, the Investment Advisory Agreement will remain in effect until November 2027, and may be extended subject to required approvals. The Investment Advisory Agreement may be terminated by either party without penalty on 60 days’ written notice to the other party.</w:t>
      </w:r>
    </w:p>
    <w:p>
      <w:pPr>
        <w:spacing w:after="0" w:line="176"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76"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Management Fees (gross of waivers) were $13.2 million and $38.8 million, respectively. For the three and nine months ended September 30, 2025, Management Fees (gross of waivers) were $13.1 million and $39.1 million, respectively.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Any waived Management Fees are not subject to recoupment by the Adviser.</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5" w:name="page36"/>
    <w:bookmarkEnd w:id="35"/>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2026, the Adviser waived Management Fees of $0.5 million and $1.3 million, respectively, pursuant to the Leverage Waiver. For the three and nine months ended September 30, 2025, the Adviser waived Management Fees of $0.3 million and $1.0 million, respectively, pursuant to the Leverage Waiver.</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20" w:right="140" w:hanging="257"/>
        <w:spacing w:after="0" w:line="255"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0" w:lineRule="exact"/>
        <w:rPr>
          <w:rFonts w:ascii="Times New Roman" w:cs="Times New Roman" w:eastAsia="Times New Roman" w:hAnsi="Times New Roman"/>
          <w:sz w:val="18"/>
          <w:szCs w:val="18"/>
          <w:color w:val="auto"/>
        </w:rPr>
      </w:pPr>
    </w:p>
    <w:p>
      <w:pPr>
        <w:ind w:left="520" w:right="1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79" w:lineRule="exact"/>
        <w:rPr>
          <w:rFonts w:ascii="Times New Roman" w:cs="Times New Roman" w:eastAsia="Times New Roman" w:hAnsi="Times New Roman"/>
          <w:sz w:val="18"/>
          <w:szCs w:val="18"/>
          <w:color w:val="auto"/>
        </w:rPr>
      </w:pPr>
    </w:p>
    <w:p>
      <w:pPr>
        <w:ind w:left="520" w:hanging="257"/>
        <w:spacing w:after="0" w:line="253"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Fee with respect to unrealized capital gains because a Capital Gains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In the determination of the second component of the Incentive Fee, any unrealized gains or losses specifically related to the foreign currency denominated borrowings of non-US dollar denominated investments is offset against any associated unrealized gains or losses related to foreign currency denominated investments. As of March 31, 2020, there are no remaining investments that were made prior to April 1, 2014, and as a result, the Incentive Fee rate of 17.5% is applicable to any future realized capital gains.</w:t>
      </w:r>
    </w:p>
    <w:p>
      <w:pPr>
        <w:spacing w:after="0" w:line="187" w:lineRule="exact"/>
        <w:rPr>
          <w:sz w:val="20"/>
          <w:szCs w:val="20"/>
          <w:color w:val="auto"/>
        </w:rPr>
      </w:pPr>
    </w:p>
    <w:p>
      <w:pPr>
        <w:ind w:right="440" w:firstLine="255"/>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62"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Section 205(b)(3) of the Investment Advisers Act of 1940, as amended (the “Advisers Act”), prohibits the Adviser from receiving the payment of fees on unrealized gains until those gains are realized, if ever. There can be no assurance that such unrealized gains will be realized in the future.</w:t>
      </w:r>
    </w:p>
    <w:p>
      <w:pPr>
        <w:spacing w:after="0" w:line="54"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2026, Incentive Fees were $8.8 million and $25.9 million, respectively, of which $8.8 million and $25.9 million, respectively, were realized and payable to the Adviser. For the three and nine months ended September 30, 2025, Incentive Fees were $9.5 million and $29.8 million, respectively, of which $10.5 million and $33.1 million, respectively, were realized and payable to the Adviser. For both the three and nine months ended September 30, 2026, there were no Incentive Fees accrued related to Capital Gains Fees. For the three and nine months ended September 30, 2025, $(1.1) million and $(3.3) million, respectively, of Incentive Fees were accrued related to Capital Gains Fees. As of September 30, 2026, the Capital Gains Fees are not contractually payable to the Adviser.</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Any waived Incentive Fees are not subject to recoupment by the Adviser.</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firstLine="255"/>
        <w:spacing w:after="0" w:line="266" w:lineRule="auto"/>
        <w:rPr>
          <w:sz w:val="20"/>
          <w:szCs w:val="20"/>
          <w:color w:val="auto"/>
        </w:rPr>
      </w:pPr>
      <w:r>
        <w:rPr>
          <w:rFonts w:ascii="Times New Roman" w:cs="Times New Roman" w:eastAsia="Times New Roman" w:hAnsi="Times New Roman"/>
          <w:sz w:val="18"/>
          <w:szCs w:val="18"/>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76"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Investments at fair value consisted of the following at September 30, 2026 and December 31, 2025:</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September 30, 2026</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 xml:space="preserve">Amortized Cost </w:t>
            </w:r>
            <w:r>
              <w:rPr>
                <w:rFonts w:ascii="Times New Roman" w:cs="Times New Roman" w:eastAsia="Times New Roman" w:hAnsi="Times New Roman"/>
                <w:sz w:val="19"/>
                <w:szCs w:val="19"/>
                <w:b w:val="1"/>
                <w:bCs w:val="1"/>
                <w:color w:val="auto"/>
                <w:w w:val="99"/>
                <w:vertAlign w:val="superscript"/>
              </w:rPr>
              <w:t>(1)</w:t>
            </w:r>
          </w:p>
        </w:tc>
        <w:tc>
          <w:tcPr>
            <w:tcW w:w="2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2,976,755</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2,950,384</w:t>
            </w:r>
          </w:p>
        </w:tc>
        <w:tc>
          <w:tcPr>
            <w:tcW w:w="100" w:type="dxa"/>
            <w:vAlign w:val="bottom"/>
            <w:shd w:val="clear" w:color="auto" w:fill="CFF0FC"/>
          </w:tcPr>
          <w:p>
            <w:pPr>
              <w:spacing w:after="0"/>
              <w:rPr>
                <w:sz w:val="18"/>
                <w:szCs w:val="18"/>
                <w:color w:val="auto"/>
              </w:rPr>
            </w:pPr>
          </w:p>
        </w:tc>
        <w:tc>
          <w:tcPr>
            <w:tcW w:w="2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(26,371)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2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63,582</w:t>
            </w:r>
          </w:p>
        </w:tc>
        <w:tc>
          <w:tcPr>
            <w:tcW w:w="2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63,966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credit investments</w:t>
            </w:r>
          </w:p>
        </w:tc>
        <w:tc>
          <w:tcPr>
            <w:tcW w:w="12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84,890</w:t>
            </w:r>
          </w:p>
        </w:tc>
        <w:tc>
          <w:tcPr>
            <w:tcW w:w="2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(3,293)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investments</w:t>
            </w:r>
          </w:p>
        </w:tc>
        <w:tc>
          <w:tcPr>
            <w:tcW w:w="1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3,407,640</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3,393,035</w:t>
            </w:r>
          </w:p>
        </w:tc>
        <w:tc>
          <w:tcPr>
            <w:tcW w:w="100" w:type="dxa"/>
            <w:vAlign w:val="bottom"/>
            <w:shd w:val="clear" w:color="auto" w:fill="CFF0FC"/>
          </w:tcPr>
          <w:p>
            <w:pPr>
              <w:spacing w:after="0"/>
              <w:rPr>
                <w:sz w:val="19"/>
                <w:szCs w:val="19"/>
                <w:color w:val="auto"/>
              </w:rPr>
            </w:pPr>
          </w:p>
        </w:tc>
        <w:tc>
          <w:tcPr>
            <w:tcW w:w="2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(14,605)</w:t>
            </w: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9"/>
                <w:szCs w:val="19"/>
                <w:b w:val="1"/>
                <w:bCs w:val="1"/>
                <w:color w:val="auto"/>
                <w:vertAlign w:val="superscript"/>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2,934,162</w:t>
            </w:r>
          </w:p>
        </w:tc>
        <w:tc>
          <w:tcPr>
            <w:tcW w:w="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2,984,501</w:t>
            </w:r>
          </w:p>
        </w:tc>
        <w:tc>
          <w:tcPr>
            <w:tcW w:w="1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50,339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69,631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(38,953)</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2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61,150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61,684</w:t>
            </w:r>
          </w:p>
        </w:tc>
        <w:tc>
          <w:tcPr>
            <w:tcW w:w="1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159,782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172,582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credit investments</w:t>
            </w:r>
          </w:p>
        </w:tc>
        <w:tc>
          <w:tcPr>
            <w:tcW w:w="12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0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98,557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97,872</w:t>
            </w:r>
          </w:p>
        </w:tc>
        <w:tc>
          <w:tcPr>
            <w:tcW w:w="1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0"/>
        </w:trPr>
        <w:tc>
          <w:tcPr>
            <w:tcW w:w="3300" w:type="dxa"/>
            <w:vAlign w:val="bottom"/>
            <w:shd w:val="clear" w:color="auto" w:fill="CFF0FC"/>
          </w:tcPr>
          <w:p>
            <w:pPr>
              <w:spacing w:after="0" w:line="20" w:lineRule="exact"/>
              <w:rPr>
                <w:sz w:val="1"/>
                <w:szCs w:val="1"/>
                <w:color w:val="auto"/>
              </w:rPr>
            </w:pPr>
          </w:p>
        </w:tc>
        <w:tc>
          <w:tcPr>
            <w:tcW w:w="1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3,323,282</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3,347,317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-1319530</wp:posOffset>
            </wp:positionV>
            <wp:extent cx="5143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-1302385</wp:posOffset>
            </wp:positionV>
            <wp:extent cx="5143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-1319530</wp:posOffset>
            </wp:positionV>
            <wp:extent cx="514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-1302385</wp:posOffset>
            </wp:positionV>
            <wp:extent cx="5143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-1319530</wp:posOffset>
            </wp:positionV>
            <wp:extent cx="5143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-1302385</wp:posOffset>
            </wp:positionV>
            <wp:extent cx="5143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-170815</wp:posOffset>
            </wp:positionV>
            <wp:extent cx="514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-170815</wp:posOffset>
            </wp:positionV>
            <wp:extent cx="5143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520" w:right="40" w:hanging="512"/>
        <w:spacing w:after="0" w:line="26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37" w:name="page38"/>
    <w:bookmarkEnd w:id="37"/>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September 30, 2026 and December 31, 2025 is as follows: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5"/>
                <w:szCs w:val="15"/>
                <w:color w:val="auto"/>
              </w:rPr>
            </w:pPr>
          </w:p>
        </w:tc>
        <w:tc>
          <w:tcPr>
            <w:tcW w:w="15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5"/>
                <w:szCs w:val="15"/>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Chemicals</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Education</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Electronics</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Healthcare</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3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3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Real Estate </w:t>
            </w:r>
            <w:r>
              <w:rPr>
                <w:rFonts w:ascii="Times New Roman" w:cs="Times New Roman" w:eastAsia="Times New Roman" w:hAnsi="Times New Roman"/>
                <w:sz w:val="24"/>
                <w:szCs w:val="24"/>
                <w:color w:val="auto"/>
                <w:vertAlign w:val="superscript"/>
              </w:rPr>
              <w:t>(2)</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430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3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-170815</wp:posOffset>
            </wp:positionV>
            <wp:extent cx="11112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11112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45"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structured credit and joint venture investments.</w:t>
      </w:r>
    </w:p>
    <w:p>
      <w:pPr>
        <w:spacing w:after="0" w:line="4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sums to less than 0.1%.</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September 30, 2026 and December 31, 2025 is as follows:</w:t>
      </w:r>
    </w:p>
    <w:p>
      <w:pPr>
        <w:spacing w:after="0" w:line="246" w:lineRule="exact"/>
        <w:rPr>
          <w:sz w:val="20"/>
          <w:szCs w:val="20"/>
          <w:color w:val="auto"/>
        </w:rPr>
      </w:pPr>
    </w:p>
    <w:tbl>
      <w:tblPr>
        <w:tblLayout w:type="fixed"/>
        <w:tblInd w:w="164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Midwest</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Northeast</w:t>
            </w:r>
          </w:p>
        </w:tc>
        <w:tc>
          <w:tcPr>
            <w:tcW w:w="1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15.8%</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South</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West</w:t>
            </w:r>
          </w:p>
        </w:tc>
        <w:tc>
          <w:tcPr>
            <w:tcW w:w="1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1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3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Finland </w:t>
            </w:r>
            <w:r>
              <w:rPr>
                <w:rFonts w:ascii="Times New Roman" w:cs="Times New Roman" w:eastAsia="Times New Roman" w:hAnsi="Times New Roman"/>
                <w:sz w:val="24"/>
                <w:szCs w:val="24"/>
                <w:color w:val="auto"/>
                <w:vertAlign w:val="superscript"/>
              </w:rPr>
              <w:t>(1)</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France</w:t>
            </w:r>
          </w:p>
        </w:tc>
        <w:tc>
          <w:tcPr>
            <w:tcW w:w="1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Italy</w:t>
            </w:r>
          </w:p>
        </w:tc>
        <w:tc>
          <w:tcPr>
            <w:tcW w:w="1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Norway</w:t>
            </w:r>
          </w:p>
        </w:tc>
        <w:tc>
          <w:tcPr>
            <w:tcW w:w="1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11176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11176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11112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11112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4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Value sums to less than 0.1%.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22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Company enters into interest rate swap transactions from time to time to hedge fixed rate debt obligations and certain fixed rate debt investments. The Company’s interest rate swaps are all with one counterparty and are centrally cleared through a registered</w:t>
      </w:r>
    </w:p>
    <w:p>
      <w:pPr>
        <w:jc w:val="center"/>
        <w:ind w:right="-1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01"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commodities exchange. Refer to the Consolidated Schedule of Investments for additional disclosure regarding these interest rate swaps.</w:t>
      </w:r>
    </w:p>
    <w:p>
      <w:pPr>
        <w:spacing w:after="0" w:line="225"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Cash flows related to the Company's derivatives are included within operating activities on the Consolidated Statements of Cash Flows. The following tables present the amounts paid and received on the Company’s interest rate swap transactions for the three and nine months ended September 30, 2026 and 2025:</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7"/>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8"/>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rate swap</w:t>
            </w:r>
          </w:p>
        </w:tc>
        <w:tc>
          <w:tcPr>
            <w:tcW w:w="13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7"/>
                <w:szCs w:val="17"/>
                <w:color w:val="auto"/>
              </w:rPr>
              <w:t>8/1/2026 $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lef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(1,885)</w:t>
            </w: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420" w:type="dxa"/>
            <w:vAlign w:val="bottom"/>
            <w:tcBorders>
              <w:lef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(1,093)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(10,532)</w:t>
            </w: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4,458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Interest rate swap</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8/14/2028</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(5,105)</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(15,139)</w:t>
            </w:r>
          </w:p>
        </w:tc>
        <w:tc>
          <w:tcPr>
            <w:tcW w:w="16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15,638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rate swap</w:t>
            </w:r>
          </w:p>
        </w:tc>
        <w:tc>
          <w:tcPr>
            <w:tcW w:w="1080" w:type="dxa"/>
            <w:vAlign w:val="bottom"/>
            <w:tcBorders>
              <w:right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3/1/2029</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(5,459)</w:t>
            </w:r>
          </w:p>
        </w:tc>
        <w:tc>
          <w:tcPr>
            <w:tcW w:w="160" w:type="dxa"/>
            <w:vAlign w:val="bottom"/>
            <w:tcBorders>
              <w:left w:val="single" w:sz="8" w:color="CFF0FC"/>
            </w:tcBorders>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5,359</w:t>
            </w:r>
          </w:p>
        </w:tc>
        <w:tc>
          <w:tcPr>
            <w:tcW w:w="220" w:type="dxa"/>
            <w:vAlign w:val="bottom"/>
            <w:tcBorders>
              <w:left w:val="single" w:sz="8" w:color="CFF0FC"/>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shd w:val="clear" w:color="auto" w:fill="CFF0FC"/>
          </w:tcPr>
          <w:p>
            <w:pPr>
              <w:spacing w:after="0"/>
              <w:rPr>
                <w:sz w:val="17"/>
                <w:szCs w:val="17"/>
                <w:color w:val="auto"/>
              </w:rPr>
            </w:pPr>
          </w:p>
        </w:tc>
        <w:tc>
          <w:tcPr>
            <w:tcW w:w="11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(16,189)</w:t>
            </w:r>
          </w:p>
        </w:tc>
        <w:tc>
          <w:tcPr>
            <w:tcW w:w="160" w:type="dxa"/>
            <w:vAlign w:val="bottom"/>
            <w:tcBorders>
              <w:left w:val="single" w:sz="8" w:color="CFF0FC"/>
            </w:tcBorders>
            <w:shd w:val="clear" w:color="auto" w:fill="CFF0FC"/>
          </w:tcPr>
          <w:p>
            <w:pPr>
              <w:spacing w:after="0"/>
              <w:rPr>
                <w:sz w:val="17"/>
                <w:szCs w:val="17"/>
                <w:color w:val="auto"/>
              </w:rPr>
            </w:pPr>
          </w:p>
        </w:tc>
        <w:tc>
          <w:tcPr>
            <w:tcW w:w="9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16,078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Interest rate swap</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8/15/2030</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(3,981)</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(11,802)</w:t>
            </w:r>
          </w:p>
        </w:tc>
        <w:tc>
          <w:tcPr>
            <w:tcW w:w="16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12,609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rate swap</w:t>
            </w:r>
          </w:p>
        </w:tc>
        <w:tc>
          <w:tcPr>
            <w:tcW w:w="1080" w:type="dxa"/>
            <w:vAlign w:val="bottom"/>
            <w:tcBorders>
              <w:right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8/15/2031</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20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(4,228)</w:t>
            </w:r>
          </w:p>
        </w:tc>
        <w:tc>
          <w:tcPr>
            <w:tcW w:w="160" w:type="dxa"/>
            <w:vAlign w:val="bottom"/>
            <w:tcBorders>
              <w:left w:val="single" w:sz="8" w:color="CFF0FC"/>
            </w:tcBorders>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4,237</w:t>
            </w:r>
          </w:p>
        </w:tc>
        <w:tc>
          <w:tcPr>
            <w:tcW w:w="220" w:type="dxa"/>
            <w:vAlign w:val="bottom"/>
            <w:tcBorders>
              <w:left w:val="single" w:sz="8" w:color="CFF0FC"/>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(6,138)</w:t>
            </w:r>
          </w:p>
        </w:tc>
        <w:tc>
          <w:tcPr>
            <w:tcW w:w="160" w:type="dxa"/>
            <w:vAlign w:val="bottom"/>
            <w:tcBorders>
              <w:left w:val="single" w:sz="8" w:color="CFF0FC"/>
            </w:tcBorders>
            <w:shd w:val="clear" w:color="auto" w:fill="CFF0FC"/>
          </w:tcPr>
          <w:p>
            <w:pPr>
              <w:spacing w:after="0"/>
              <w:rPr>
                <w:sz w:val="17"/>
                <w:szCs w:val="17"/>
                <w:color w:val="auto"/>
              </w:rPr>
            </w:pPr>
          </w:p>
        </w:tc>
        <w:tc>
          <w:tcPr>
            <w:tcW w:w="9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6,168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10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Pr>
          <w:p>
            <w:pPr>
              <w:spacing w:after="0"/>
              <w:rPr>
                <w:sz w:val="18"/>
                <w:szCs w:val="18"/>
                <w:color w:val="auto"/>
              </w:rPr>
            </w:pPr>
          </w:p>
        </w:tc>
        <w:tc>
          <w:tcPr>
            <w:tcW w:w="220" w:type="dxa"/>
            <w:vAlign w:val="bottom"/>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(20,658)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(59,800)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54,951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140" w:type="dxa"/>
            <w:vAlign w:val="bottom"/>
          </w:tcPr>
          <w:p>
            <w:pPr>
              <w:spacing w:after="0"/>
              <w:rPr>
                <w:sz w:val="24"/>
                <w:szCs w:val="24"/>
                <w:color w:val="auto"/>
              </w:rPr>
            </w:pPr>
          </w:p>
        </w:tc>
        <w:tc>
          <w:tcPr>
            <w:tcW w:w="332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100" w:type="dxa"/>
            <w:vAlign w:val="bottom"/>
            <w:tcBorders>
              <w:bottom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Paid</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Paid</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rate swap</w:t>
            </w:r>
          </w:p>
        </w:tc>
        <w:tc>
          <w:tcPr>
            <w:tcW w:w="1080" w:type="dxa"/>
            <w:vAlign w:val="bottom"/>
            <w:tcBorders>
              <w:right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8/1/2026</w:t>
            </w:r>
          </w:p>
        </w:tc>
        <w:tc>
          <w:tcPr>
            <w:tcW w:w="2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20" w:type="dxa"/>
            <w:vAlign w:val="bottom"/>
            <w:tcBorders>
              <w:lef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(5,011)</w:t>
            </w: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420" w:type="dxa"/>
            <w:vAlign w:val="bottom"/>
            <w:tcBorders>
              <w:lef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(3,136)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(14,793)</w:t>
            </w: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Interest rate swap</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8/14/2028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(5,640)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(16,715)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rate swap</w:t>
            </w:r>
          </w:p>
        </w:tc>
        <w:tc>
          <w:tcPr>
            <w:tcW w:w="1080" w:type="dxa"/>
            <w:vAlign w:val="bottom"/>
            <w:tcBorders>
              <w:right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rPr>
              <w:t>3/1/2029</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(6,083)</w:t>
            </w:r>
          </w:p>
        </w:tc>
        <w:tc>
          <w:tcPr>
            <w:tcW w:w="160" w:type="dxa"/>
            <w:vAlign w:val="bottom"/>
            <w:tcBorders>
              <w:left w:val="single" w:sz="8" w:color="CFF0FC"/>
            </w:tcBorders>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shd w:val="clear" w:color="auto" w:fill="CFF0FC"/>
          </w:tcPr>
          <w:p>
            <w:pPr>
              <w:spacing w:after="0"/>
              <w:rPr>
                <w:sz w:val="18"/>
                <w:szCs w:val="18"/>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(18,027)</w:t>
            </w:r>
          </w:p>
        </w:tc>
        <w:tc>
          <w:tcPr>
            <w:tcW w:w="160" w:type="dxa"/>
            <w:vAlign w:val="bottom"/>
            <w:tcBorders>
              <w:left w:val="single" w:sz="8" w:color="CFF0FC"/>
            </w:tcBorders>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rate swap</w:t>
            </w: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8/15/2030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(10,380)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320" w:type="dxa"/>
            <w:vAlign w:val="bottom"/>
            <w:tcBorders>
              <w:lef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(21,250)</w:t>
            </w: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420" w:type="dxa"/>
            <w:vAlign w:val="bottom"/>
            <w:tcBorders>
              <w:lef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(4,584)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(59,915)</w:t>
            </w: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47,143</w:t>
            </w: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-1250950</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-1250950</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-1250950</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-1250950</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-1250950</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-1250950</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-1250950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-25400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-8255</wp:posOffset>
            </wp:positionV>
            <wp:extent cx="6858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-25400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-8255</wp:posOffset>
            </wp:positionV>
            <wp:extent cx="6858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-25400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-8255</wp:posOffset>
            </wp:positionV>
            <wp:extent cx="6858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-25400</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6858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6858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recognized $29.9 million and $44.0 million, respectively, of unrealized losses on interest rate swaps designated as hedging instruments in the Consolidated Statements of Operations. For the three and nine months ended September 30, 2026, this amount was offset by an increase of $1.1 million and $5.8 million, respectively, for a change in carrying value of the 2026 Notes, a decrease of $3.8 million and $8.8 million, respectively, for a change in carrying value of the 2028 Notes, a decrease of $6.1 million and $12.0 million, respectively, for a change in carrying value of the 2029 Notes, a decrease of $9.5 million and $15.7 million, respectively, for a change in carrying value of the 2030 Notes and a decrease of $11.6 million and $13.3 million, respectively, for a change in carrying value of the 2031 Notes.</w:t>
      </w:r>
    </w:p>
    <w:p>
      <w:pPr>
        <w:spacing w:after="0" w:line="187"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recognized $3.9 million and $33.1 million, respectively, of unrealized gains on interest rate swaps designated as hedging instruments in the Consolidated Statements of Operations. For the three and nine months ended September 30, 2025, this amount was offset by an increase of $2.8 million and $9.0 million, respectively, for a change in carrying value of the 2026 Notes, an increase of $0.2 million and $6.0 million, respectively, for a change in carrying value of the 2028 Notes, an increase of $0.5 million and $8.7 million, respectively, for a change in carrying value of the 2029 Notes and an increase of $0.4 million and $9.3 million, respectively, for a change in carrying value of the 2030 Notes.</w:t>
      </w:r>
    </w:p>
    <w:p>
      <w:pPr>
        <w:spacing w:after="0" w:line="187" w:lineRule="exact"/>
        <w:rPr>
          <w:sz w:val="20"/>
          <w:szCs w:val="20"/>
          <w:color w:val="auto"/>
        </w:rPr>
      </w:pPr>
    </w:p>
    <w:p>
      <w:pPr>
        <w:jc w:val="both"/>
        <w:ind w:right="220" w:firstLine="255"/>
        <w:spacing w:after="0" w:line="258" w:lineRule="auto"/>
        <w:rPr>
          <w:sz w:val="20"/>
          <w:szCs w:val="20"/>
          <w:color w:val="auto"/>
        </w:rPr>
      </w:pPr>
      <w:r>
        <w:rPr>
          <w:rFonts w:ascii="Times New Roman" w:cs="Times New Roman" w:eastAsia="Times New Roman" w:hAnsi="Times New Roman"/>
          <w:sz w:val="18"/>
          <w:szCs w:val="18"/>
          <w:color w:val="auto"/>
        </w:rPr>
        <w:t>As of September 30, 2026, the swap transactions had a fair value of $(33.7) million, which is netted against cash collateral of $69.1 million. Cash is pledged as collateral under the Company’s derivative agreements and is included in restricted cash as a component of cash and cash equivalents on the Company’s Consolidated Balance Sheet. As of December 31, 2025, the swap transactions had a fair value of $10.3 million, which is netted against cash collateral of $16.7 million. Cash is pledged as collateral under the Company’s derivative agreements and is included in restricted cash as a component of cash and cash equivalents on the Company’s Consolidated Balance Sheet.</w:t>
      </w:r>
    </w:p>
    <w:p>
      <w:pPr>
        <w:spacing w:after="0" w:line="18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83" w:lineRule="exact"/>
        <w:rPr>
          <w:sz w:val="20"/>
          <w:szCs w:val="20"/>
          <w:color w:val="auto"/>
        </w:rPr>
      </w:pPr>
    </w:p>
    <w:p>
      <w:pPr>
        <w:ind w:left="5540" w:right="1200" w:hanging="5270"/>
        <w:spacing w:after="0" w:line="282" w:lineRule="auto"/>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the same or other counterparties in the future.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September 30, 2026 and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Fair Value Hierarchy at September 30, 2026</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left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2,933,775</w:t>
            </w:r>
          </w:p>
        </w:tc>
        <w:tc>
          <w:tcPr>
            <w:tcW w:w="240" w:type="dxa"/>
            <w:vAlign w:val="bottom"/>
            <w:tcBorders>
              <w:left w:val="single" w:sz="8" w:color="CFF0FC"/>
            </w:tcBorders>
            <w:shd w:val="clear" w:color="auto" w:fill="CFF0FC"/>
          </w:tcPr>
          <w:p>
            <w:pPr>
              <w:spacing w:after="0"/>
              <w:rPr>
                <w:sz w:val="18"/>
                <w:szCs w:val="18"/>
                <w:color w:val="auto"/>
              </w:rPr>
            </w:pPr>
          </w:p>
        </w:tc>
        <w:tc>
          <w:tcPr>
            <w:tcW w:w="300" w:type="dxa"/>
            <w:vAlign w:val="bottom"/>
            <w:tcBorders>
              <w:left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2,950,384</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24,898</w:t>
            </w: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63,966</w:t>
            </w:r>
          </w:p>
        </w:tc>
        <w:tc>
          <w:tcPr>
            <w:tcW w:w="240" w:type="dxa"/>
            <w:vAlign w:val="bottom"/>
            <w:tcBorders>
              <w:left w:val="single" w:sz="8" w:color="CFF0FC"/>
            </w:tcBorders>
            <w:shd w:val="clear" w:color="auto" w:fill="CFF0FC"/>
          </w:tcPr>
          <w:p>
            <w:pPr>
              <w:spacing w:after="0"/>
              <w:rPr>
                <w:sz w:val="18"/>
                <w:szCs w:val="18"/>
                <w:color w:val="auto"/>
              </w:rPr>
            </w:pPr>
          </w:p>
        </w:tc>
        <w:tc>
          <w:tcPr>
            <w:tcW w:w="300" w:type="dxa"/>
            <w:vAlign w:val="bottom"/>
            <w:tcBorders>
              <w:left w:val="single" w:sz="8" w:color="CFF0FC"/>
            </w:tcBorders>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63,966</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192,200</w:t>
            </w:r>
          </w:p>
        </w:tc>
        <w:tc>
          <w:tcPr>
            <w:tcW w:w="12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credit investments</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left w:val="single" w:sz="8" w:color="CFF0FC"/>
            </w:tcBorders>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81,597</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investments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79,990</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79,990</w:t>
            </w:r>
          </w:p>
        </w:tc>
        <w:tc>
          <w:tcPr>
            <w:tcW w:w="120" w:type="dxa"/>
            <w:vAlign w:val="bottom"/>
          </w:tcPr>
          <w:p>
            <w:pPr>
              <w:spacing w:after="0"/>
              <w:rPr>
                <w:sz w:val="18"/>
                <w:szCs w:val="18"/>
                <w:color w:val="auto"/>
              </w:rPr>
            </w:pPr>
          </w:p>
        </w:tc>
      </w:tr>
      <w:tr>
        <w:trPr>
          <w:trHeight w:val="209"/>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500" w:type="dxa"/>
            <w:vAlign w:val="bottom"/>
            <w:tcBorders>
              <w:left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108,928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3,282,614</w:t>
            </w:r>
          </w:p>
        </w:tc>
        <w:tc>
          <w:tcPr>
            <w:tcW w:w="240" w:type="dxa"/>
            <w:vAlign w:val="bottom"/>
            <w:tcBorders>
              <w:left w:val="single" w:sz="8" w:color="CFF0FC"/>
            </w:tcBorders>
            <w:shd w:val="clear" w:color="auto" w:fill="CFF0FC"/>
          </w:tcPr>
          <w:p>
            <w:pPr>
              <w:spacing w:after="0"/>
              <w:rPr>
                <w:sz w:val="18"/>
                <w:szCs w:val="18"/>
                <w:color w:val="auto"/>
              </w:rPr>
            </w:pPr>
          </w:p>
        </w:tc>
        <w:tc>
          <w:tcPr>
            <w:tcW w:w="300" w:type="dxa"/>
            <w:vAlign w:val="bottom"/>
            <w:tcBorders>
              <w:left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3,393,035</w:t>
            </w:r>
          </w:p>
        </w:tc>
        <w:tc>
          <w:tcPr>
            <w:tcW w:w="12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(33,692)</w:t>
            </w:r>
          </w:p>
        </w:tc>
      </w:tr>
      <w:tr>
        <w:trPr>
          <w:trHeight w:val="20"/>
        </w:trPr>
        <w:tc>
          <w:tcPr>
            <w:tcW w:w="5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500" w:type="dxa"/>
            <w:vAlign w:val="bottom"/>
            <w:tcBorders>
              <w:left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75,236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3,282,614</w:t>
            </w:r>
          </w:p>
        </w:tc>
        <w:tc>
          <w:tcPr>
            <w:tcW w:w="240" w:type="dxa"/>
            <w:vAlign w:val="bottom"/>
            <w:tcBorders>
              <w:left w:val="single" w:sz="8" w:color="CFF0FC"/>
            </w:tcBorders>
            <w:shd w:val="clear" w:color="auto" w:fill="CFF0FC"/>
          </w:tcPr>
          <w:p>
            <w:pPr>
              <w:spacing w:after="0"/>
              <w:rPr>
                <w:sz w:val="19"/>
                <w:szCs w:val="19"/>
                <w:color w:val="auto"/>
              </w:rPr>
            </w:pPr>
          </w:p>
        </w:tc>
        <w:tc>
          <w:tcPr>
            <w:tcW w:w="300" w:type="dxa"/>
            <w:vAlign w:val="bottom"/>
            <w:tcBorders>
              <w:left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3,359,343</w:t>
            </w:r>
          </w:p>
        </w:tc>
        <w:tc>
          <w:tcPr>
            <w:tcW w:w="120" w:type="dxa"/>
            <w:vAlign w:val="bottom"/>
            <w:shd w:val="clear" w:color="auto" w:fill="CFF0FC"/>
          </w:tcPr>
          <w:p>
            <w:pPr>
              <w:spacing w:after="0"/>
              <w:rPr>
                <w:sz w:val="19"/>
                <w:szCs w:val="19"/>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345"/>
        </w:trPr>
        <w:tc>
          <w:tcPr>
            <w:tcW w:w="56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2025</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6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left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28,204</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2,956,297</w:t>
            </w:r>
          </w:p>
        </w:tc>
        <w:tc>
          <w:tcPr>
            <w:tcW w:w="300" w:type="dxa"/>
            <w:vAlign w:val="bottom"/>
            <w:tcBorders>
              <w:left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2,984,501</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30,456</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30,678</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61,684</w:t>
            </w:r>
          </w:p>
        </w:tc>
        <w:tc>
          <w:tcPr>
            <w:tcW w:w="300" w:type="dxa"/>
            <w:vAlign w:val="bottom"/>
            <w:tcBorders>
              <w:left w:val="single" w:sz="8" w:color="CFF0FC"/>
            </w:tcBorders>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61,684</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133,397</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172,582</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credit investments</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97,872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left w:val="single" w:sz="8" w:color="CFF0FC"/>
            </w:tcBorders>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97,872</w:t>
            </w:r>
          </w:p>
        </w:tc>
      </w:tr>
      <w:tr>
        <w:trPr>
          <w:trHeight w:val="20"/>
        </w:trPr>
        <w:tc>
          <w:tcPr>
            <w:tcW w:w="56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FF0FC"/>
          </w:tcPr>
          <w:p>
            <w:pPr>
              <w:spacing w:after="0" w:line="20" w:lineRule="exact"/>
              <w:rPr>
                <w:sz w:val="1"/>
                <w:szCs w:val="1"/>
                <w:color w:val="auto"/>
              </w:rPr>
            </w:pPr>
          </w:p>
        </w:tc>
        <w:tc>
          <w:tcPr>
            <w:tcW w:w="300" w:type="dxa"/>
            <w:vAlign w:val="bottom"/>
            <w:tcBorders>
              <w:left w:val="single" w:sz="8" w:color="CFF0FC"/>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28,169</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137,314</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3,181,834</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3,347,317</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left w:val="single" w:sz="8" w:color="CFF0FC"/>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left w:val="single" w:sz="8" w:color="CFF0FC"/>
            </w:tcBorders>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10,301</w:t>
            </w:r>
          </w:p>
        </w:tc>
      </w:tr>
      <w:tr>
        <w:trPr>
          <w:trHeight w:val="20"/>
        </w:trPr>
        <w:tc>
          <w:tcPr>
            <w:tcW w:w="56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FF0FC"/>
          </w:tcPr>
          <w:p>
            <w:pPr>
              <w:spacing w:after="0" w:line="20" w:lineRule="exact"/>
              <w:rPr>
                <w:sz w:val="1"/>
                <w:szCs w:val="1"/>
                <w:color w:val="auto"/>
              </w:rPr>
            </w:pPr>
          </w:p>
        </w:tc>
        <w:tc>
          <w:tcPr>
            <w:tcW w:w="300" w:type="dxa"/>
            <w:vAlign w:val="bottom"/>
            <w:tcBorders>
              <w:left w:val="single" w:sz="8" w:color="CFF0FC"/>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28,169</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147,615</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3,181,834</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3,357,618</w:t>
            </w:r>
          </w:p>
        </w:tc>
      </w:tr>
      <w:tr>
        <w:trPr>
          <w:trHeight w:val="20"/>
        </w:trPr>
        <w:tc>
          <w:tcPr>
            <w:tcW w:w="5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-1508125</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-1490980</wp:posOffset>
            </wp:positionV>
            <wp:extent cx="685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-1508125</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-1490980</wp:posOffset>
            </wp:positionV>
            <wp:extent cx="685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-1508125</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-1490980</wp:posOffset>
            </wp:positionV>
            <wp:extent cx="68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-1508125</wp:posOffset>
            </wp:positionV>
            <wp:extent cx="7747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-1490980</wp:posOffset>
            </wp:positionV>
            <wp:extent cx="7747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-453390</wp:posOffset>
            </wp:positionV>
            <wp:extent cx="685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-453390</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-453390</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-170815</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w:t>
      </w:r>
    </w:p>
    <w:p>
      <w:pPr>
        <w:spacing w:after="0" w:line="117" w:lineRule="exact"/>
        <w:rPr>
          <w:sz w:val="20"/>
          <w:szCs w:val="20"/>
          <w:color w:val="auto"/>
        </w:rPr>
      </w:pPr>
    </w:p>
    <w:p>
      <w:pPr>
        <w:jc w:val="both"/>
        <w:ind w:right="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three and nine months ended September 30, 2026: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60" w:type="dxa"/>
            <w:vAlign w:val="bottom"/>
            <w:gridSpan w:val="9"/>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First-lien</w:t>
            </w:r>
          </w:p>
        </w:tc>
        <w:tc>
          <w:tcPr>
            <w:tcW w:w="1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Second-lien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Mezzanine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structured</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credit</w:t>
            </w: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2,901,631</w:t>
            </w:r>
          </w:p>
        </w:tc>
        <w:tc>
          <w:tcPr>
            <w:tcW w:w="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64,621</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131,957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53,832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3,175,716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(162,200)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(163,054)</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Sales Proceeds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(12,865)</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(15,865)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within Level 3</w:t>
            </w: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(10,927)</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6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2,933,775</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24,893</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63,966</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179,990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79,990</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3,282,614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3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40</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-796290</wp:posOffset>
            </wp:positionV>
            <wp:extent cx="7683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-779780</wp:posOffset>
            </wp:positionV>
            <wp:extent cx="7683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-796290</wp:posOffset>
            </wp:positionV>
            <wp:extent cx="7683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-779780</wp:posOffset>
            </wp:positionV>
            <wp:extent cx="7683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-796290</wp:posOffset>
            </wp:positionV>
            <wp:extent cx="6858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-779780</wp:posOffset>
            </wp:positionV>
            <wp:extent cx="6858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-796290</wp:posOffset>
            </wp:positionV>
            <wp:extent cx="6858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-779780</wp:posOffset>
            </wp:positionV>
            <wp:extent cx="6858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-796290</wp:posOffset>
            </wp:positionV>
            <wp:extent cx="6858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-779780</wp:posOffset>
            </wp:positionV>
            <wp:extent cx="6858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6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and for the Nine Months Ended</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First-lien</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Second-lien</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Mezzanine</w:t>
            </w:r>
          </w:p>
        </w:tc>
        <w:tc>
          <w:tcPr>
            <w:tcW w:w="100" w:type="dxa"/>
            <w:vAlign w:val="bottom"/>
          </w:tcPr>
          <w:p>
            <w:pPr>
              <w:spacing w:after="0"/>
              <w:rPr>
                <w:sz w:val="10"/>
                <w:szCs w:val="10"/>
                <w:color w:val="auto"/>
              </w:rPr>
            </w:pPr>
          </w:p>
        </w:tc>
        <w:tc>
          <w:tcPr>
            <w:tcW w:w="11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 structured</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credit</w:t>
            </w: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2,956,297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61,684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133,397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3,181,834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(461,454)</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(8,245)</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(471,303)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Sales Proceeds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(75,585)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(18,613)</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(12,855)</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(39,489)</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(6,255)</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(58,599)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within Level 3</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(10,927)</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2,933,775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63,966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179,990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-24765</wp:posOffset>
            </wp:positionV>
            <wp:extent cx="7683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7683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0" w:firstLine="255"/>
        <w:spacing w:after="0" w:line="282" w:lineRule="auto"/>
        <w:rPr>
          <w:sz w:val="20"/>
          <w:szCs w:val="20"/>
          <w:color w:val="auto"/>
        </w:rPr>
      </w:pPr>
      <w:r>
        <w:rPr>
          <w:rFonts w:ascii="Times New Roman" w:cs="Times New Roman" w:eastAsia="Times New Roman" w:hAnsi="Times New Roman"/>
          <w:sz w:val="18"/>
          <w:szCs w:val="18"/>
          <w:color w:val="auto"/>
        </w:rPr>
        <w:t>Dye &amp; Durham, Ltd. was transferred out of Level 3 into Level 1 for fair value measurement purposes during the nine months ended September 30, 2026, as a result of changes in the observability of inputs into the security valuation for this portfolio company.</w:t>
      </w:r>
    </w:p>
    <w:p>
      <w:pPr>
        <w:spacing w:after="0" w:line="162"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three and nine months ended September 30,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0" w:type="dxa"/>
            <w:vAlign w:val="bottom"/>
            <w:gridSpan w:val="10"/>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3,014,071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28,735</w:t>
            </w:r>
          </w:p>
        </w:tc>
        <w:tc>
          <w:tcPr>
            <w:tcW w:w="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53,567</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120,739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3,217,112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(312,964)</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(313,181)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Sales Proceeds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(1,588)</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(12,641)</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(10,518)</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within Level 3</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2,982,375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28,984</w:t>
            </w:r>
          </w:p>
        </w:tc>
        <w:tc>
          <w:tcPr>
            <w:tcW w:w="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60,082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123,820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3,195,261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10"/>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 and for the Nine Months Ended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3,287,829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39,091</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139,586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3,485,041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(977,186)</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(980,760)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Sales Proceeds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(36,910)</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(9,786)</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(46,696)</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(41,472)</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(37,051)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within Level 3</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(7,533)</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(22,018)</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(22,018)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2,982,375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28,984</w:t>
            </w:r>
          </w:p>
        </w:tc>
        <w:tc>
          <w:tcPr>
            <w:tcW w:w="8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60,082</w:t>
            </w:r>
          </w:p>
        </w:tc>
        <w:tc>
          <w:tcPr>
            <w:tcW w:w="1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123,820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3,195,261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4080" w:type="dxa"/>
            <w:vAlign w:val="bottom"/>
            <w:tcBorders>
              <w:top w:val="single" w:sz="8" w:color="CFF0FC"/>
            </w:tcBorders>
          </w:tcPr>
          <w:p>
            <w:pPr>
              <w:spacing w:after="0"/>
              <w:rPr>
                <w:sz w:val="24"/>
                <w:szCs w:val="24"/>
                <w:color w:val="auto"/>
              </w:rPr>
            </w:pPr>
          </w:p>
        </w:tc>
        <w:tc>
          <w:tcPr>
            <w:tcW w:w="10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-2965450</wp:posOffset>
            </wp:positionV>
            <wp:extent cx="7683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-2948305</wp:posOffset>
            </wp:positionV>
            <wp:extent cx="7683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-2965450</wp:posOffset>
            </wp:positionV>
            <wp:extent cx="6858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-2948305</wp:posOffset>
            </wp:positionV>
            <wp:extent cx="685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-2965450</wp:posOffset>
            </wp:positionV>
            <wp:extent cx="6858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-2948305</wp:posOffset>
            </wp:positionV>
            <wp:extent cx="685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-2965450</wp:posOffset>
            </wp:positionV>
            <wp:extent cx="6858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-2948305</wp:posOffset>
            </wp:positionV>
            <wp:extent cx="685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-796290</wp:posOffset>
            </wp:positionV>
            <wp:extent cx="7683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-779145</wp:posOffset>
            </wp:positionV>
            <wp:extent cx="7683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-796290</wp:posOffset>
            </wp:positionV>
            <wp:extent cx="6858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-779145</wp:posOffset>
            </wp:positionV>
            <wp:extent cx="6858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-796290</wp:posOffset>
            </wp:positionV>
            <wp:extent cx="685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-779145</wp:posOffset>
            </wp:positionV>
            <wp:extent cx="6858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-796290</wp:posOffset>
            </wp:positionV>
            <wp:extent cx="6858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-779145</wp:posOffset>
            </wp:positionV>
            <wp:extent cx="6858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Caris Life Sciences, Inc. was transferred out of Level 3 into Level 1 for fair value measurement purposes during the nine months ended September 30, 2025, as a result of changes in the observability of inputs into the security valuation for this portfolio company.</w:t>
      </w:r>
    </w:p>
    <w:p>
      <w:pPr>
        <w:spacing w:after="0" w:line="162"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the net change in unrealized gains or losses on investments for which Level 3 inputs were used in determining fair value that are still held by the Company at September 30, 2026 and 2025:</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r>
      <w:tr>
        <w:trPr>
          <w:trHeight w:val="149"/>
        </w:trPr>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Gains or (Losses)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Gains or (Losses)</w:t>
            </w:r>
          </w:p>
        </w:tc>
      </w:tr>
      <w:tr>
        <w:trPr>
          <w:trHeight w:val="148"/>
        </w:trPr>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48"/>
        </w:trPr>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2026 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2025 on</w:t>
            </w:r>
          </w:p>
        </w:tc>
      </w:tr>
      <w:tr>
        <w:trPr>
          <w:trHeight w:val="148"/>
        </w:trPr>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r>
      <w:tr>
        <w:trPr>
          <w:trHeight w:val="173"/>
        </w:trPr>
        <w:tc>
          <w:tcPr>
            <w:tcW w:w="3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5"/>
                <w:szCs w:val="15"/>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(10,611)</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(6,123)</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2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(925)</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80" w:type="dxa"/>
            <w:vAlign w:val="bottom"/>
          </w:tcPr>
          <w:p>
            <w:pPr>
              <w:spacing w:after="0"/>
              <w:rPr>
                <w:sz w:val="18"/>
                <w:szCs w:val="18"/>
                <w:color w:val="auto"/>
              </w:rPr>
            </w:pPr>
          </w:p>
        </w:tc>
      </w:tr>
      <w:tr>
        <w:trPr>
          <w:trHeight w:val="216"/>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venture investments</w:t>
            </w:r>
          </w:p>
        </w:tc>
        <w:tc>
          <w:tcPr>
            <w:tcW w:w="220" w:type="dxa"/>
            <w:vAlign w:val="bottom"/>
            <w:tcBorders>
              <w:bottom w:val="single" w:sz="8" w:color="auto"/>
            </w:tcBorders>
            <w:shd w:val="clear" w:color="auto" w:fill="CFF0FC"/>
          </w:tcPr>
          <w:p>
            <w:pPr>
              <w:spacing w:after="0"/>
              <w:rPr>
                <w:sz w:val="18"/>
                <w:szCs w:val="18"/>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3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(3,418)</w:t>
            </w:r>
          </w:p>
        </w:tc>
      </w:tr>
      <w:tr>
        <w:trPr>
          <w:trHeight w:val="20"/>
        </w:trPr>
        <w:tc>
          <w:tcPr>
            <w:tcW w:w="3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-170815</wp:posOffset>
            </wp:positionV>
            <wp:extent cx="5143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4"/>
          <w:szCs w:val="14"/>
          <w:b w:val="1"/>
          <w:bCs w:val="1"/>
          <w:color w:val="auto"/>
        </w:rPr>
        <w:t>Net Change in Unrealized</w:t>
      </w:r>
    </w:p>
    <w:p>
      <w:pPr>
        <w:jc w:val="center"/>
        <w:ind w:left="4980"/>
        <w:spacing w:after="0" w:line="229" w:lineRule="auto"/>
        <w:rPr>
          <w:sz w:val="20"/>
          <w:szCs w:val="20"/>
          <w:color w:val="auto"/>
        </w:rPr>
      </w:pPr>
      <w:r>
        <w:rPr>
          <w:rFonts w:ascii="Times New Roman" w:cs="Times New Roman" w:eastAsia="Times New Roman" w:hAnsi="Times New Roman"/>
          <w:sz w:val="14"/>
          <w:szCs w:val="14"/>
          <w:b w:val="1"/>
          <w:bCs w:val="1"/>
          <w:color w:val="auto"/>
        </w:rPr>
        <w:t>Gains or (Losses)</w:t>
      </w:r>
    </w:p>
    <w:p>
      <w:pPr>
        <w:jc w:val="center"/>
        <w:ind w:left="4980"/>
        <w:spacing w:after="0" w:line="221" w:lineRule="auto"/>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4980"/>
        <w:spacing w:after="0" w:line="222" w:lineRule="auto"/>
        <w:rPr>
          <w:sz w:val="20"/>
          <w:szCs w:val="20"/>
          <w:color w:val="auto"/>
        </w:rPr>
      </w:pPr>
      <w:r>
        <w:rPr>
          <w:rFonts w:ascii="Times New Roman" w:cs="Times New Roman" w:eastAsia="Times New Roman" w:hAnsi="Times New Roman"/>
          <w:sz w:val="14"/>
          <w:szCs w:val="14"/>
          <w:b w:val="1"/>
          <w:bCs w:val="1"/>
          <w:color w:val="auto"/>
        </w:rPr>
        <w:t>September 30, 2026 on</w:t>
      </w:r>
    </w:p>
    <w:p>
      <w:pPr>
        <w:jc w:val="center"/>
        <w:ind w:left="4980"/>
        <w:spacing w:after="0" w:line="221" w:lineRule="auto"/>
        <w:rPr>
          <w:sz w:val="20"/>
          <w:szCs w:val="20"/>
          <w:color w:val="auto"/>
        </w:rPr>
      </w:pPr>
      <w:r>
        <w:rPr>
          <w:rFonts w:ascii="Times New Roman" w:cs="Times New Roman" w:eastAsia="Times New Roman" w:hAnsi="Times New Roman"/>
          <w:sz w:val="14"/>
          <w:szCs w:val="14"/>
          <w:b w:val="1"/>
          <w:bCs w:val="1"/>
          <w:color w:val="auto"/>
        </w:rPr>
        <w:t>Investments Held at</w:t>
      </w:r>
    </w:p>
    <w:p>
      <w:pPr>
        <w:jc w:val="center"/>
        <w:ind w:left="4980"/>
        <w:spacing w:after="0" w:line="232" w:lineRule="auto"/>
        <w:rPr>
          <w:sz w:val="20"/>
          <w:szCs w:val="20"/>
          <w:color w:val="auto"/>
        </w:rPr>
      </w:pPr>
      <w:r>
        <w:rPr>
          <w:rFonts w:ascii="Times New Roman" w:cs="Times New Roman" w:eastAsia="Times New Roman" w:hAnsi="Times New Roman"/>
          <w:sz w:val="14"/>
          <w:szCs w:val="14"/>
          <w:b w:val="1"/>
          <w:bCs w:val="1"/>
          <w:color w:val="auto"/>
        </w:rPr>
        <w:t>September 30, 2026</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Net Change in Unrealized</w:t>
      </w:r>
    </w:p>
    <w:p>
      <w:pPr>
        <w:jc w:val="center"/>
        <w:ind w:right="1600"/>
        <w:spacing w:after="0" w:line="229" w:lineRule="auto"/>
        <w:rPr>
          <w:sz w:val="20"/>
          <w:szCs w:val="20"/>
          <w:color w:val="auto"/>
        </w:rPr>
      </w:pPr>
      <w:r>
        <w:rPr>
          <w:rFonts w:ascii="Times New Roman" w:cs="Times New Roman" w:eastAsia="Times New Roman" w:hAnsi="Times New Roman"/>
          <w:sz w:val="14"/>
          <w:szCs w:val="14"/>
          <w:b w:val="1"/>
          <w:bCs w:val="1"/>
          <w:color w:val="auto"/>
        </w:rPr>
        <w:t>Gains or (Losses)</w:t>
      </w:r>
    </w:p>
    <w:p>
      <w:pPr>
        <w:jc w:val="center"/>
        <w:ind w:right="1600"/>
        <w:spacing w:after="0" w:line="221" w:lineRule="auto"/>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right="1600"/>
        <w:spacing w:after="0" w:line="222" w:lineRule="auto"/>
        <w:rPr>
          <w:sz w:val="20"/>
          <w:szCs w:val="20"/>
          <w:color w:val="auto"/>
        </w:rPr>
      </w:pPr>
      <w:r>
        <w:rPr>
          <w:rFonts w:ascii="Times New Roman" w:cs="Times New Roman" w:eastAsia="Times New Roman" w:hAnsi="Times New Roman"/>
          <w:sz w:val="14"/>
          <w:szCs w:val="14"/>
          <w:b w:val="1"/>
          <w:bCs w:val="1"/>
          <w:color w:val="auto"/>
        </w:rPr>
        <w:t>September 30, 2025 on</w:t>
      </w:r>
    </w:p>
    <w:p>
      <w:pPr>
        <w:jc w:val="center"/>
        <w:ind w:right="1600"/>
        <w:spacing w:after="0" w:line="221" w:lineRule="auto"/>
        <w:rPr>
          <w:sz w:val="20"/>
          <w:szCs w:val="20"/>
          <w:color w:val="auto"/>
        </w:rPr>
      </w:pPr>
      <w:r>
        <w:rPr>
          <w:rFonts w:ascii="Times New Roman" w:cs="Times New Roman" w:eastAsia="Times New Roman" w:hAnsi="Times New Roman"/>
          <w:sz w:val="14"/>
          <w:szCs w:val="14"/>
          <w:b w:val="1"/>
          <w:bCs w:val="1"/>
          <w:color w:val="auto"/>
        </w:rPr>
        <w:t>Investments Held at</w:t>
      </w:r>
    </w:p>
    <w:p>
      <w:pPr>
        <w:jc w:val="center"/>
        <w:ind w:right="1600"/>
        <w:spacing w:after="0" w:line="232" w:lineRule="auto"/>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20" w:lineRule="exact"/>
        <w:rPr>
          <w:sz w:val="20"/>
          <w:szCs w:val="20"/>
          <w:color w:val="auto"/>
        </w:rPr>
      </w:pPr>
    </w:p>
    <w:p>
      <w:pPr>
        <w:sectPr>
          <w:pgSz w:w="11900" w:h="16838" w:orient="portrait"/>
          <w:cols w:equalWidth="0" w:num="2">
            <w:col w:w="7240" w:space="720"/>
            <w:col w:w="3280"/>
          </w:cols>
          <w:pgMar w:left="320" w:top="1201" w:right="339" w:bottom="1440" w:gutter="0" w:footer="0" w:header="0"/>
          <w:type w:val="continuous"/>
        </w:sectPr>
      </w:pPr>
    </w:p>
    <w:tbl>
      <w:tblPr>
        <w:tblLayout w:type="fixed"/>
        <w:tblInd w:w="1140" w:type="dxa"/>
        <w:tblCellMar>
          <w:top w:w="0" w:type="dxa"/>
          <w:left w:w="0" w:type="dxa"/>
          <w:bottom w:w="0" w:type="dxa"/>
          <w:right w:w="0" w:type="dxa"/>
        </w:tblCellMar>
      </w:tblPr>
      <w:tr>
        <w:trPr>
          <w:trHeight w:val="20"/>
        </w:trPr>
        <w:tc>
          <w:tcPr>
            <w:tcW w:w="3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3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First-lien debt investments</w:t>
            </w:r>
          </w:p>
        </w:tc>
        <w:tc>
          <w:tcPr>
            <w:tcW w:w="1000" w:type="dxa"/>
            <w:vAlign w:val="bottom"/>
            <w:shd w:val="clear" w:color="auto" w:fill="CFF0FC"/>
          </w:tcPr>
          <w:p>
            <w:pPr>
              <w:jc w:val="right"/>
              <w:ind w:right="8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(69,306)</w:t>
            </w:r>
          </w:p>
        </w:tc>
        <w:tc>
          <w:tcPr>
            <w:tcW w:w="1100" w:type="dxa"/>
            <w:vAlign w:val="bottom"/>
            <w:gridSpan w:val="2"/>
            <w:shd w:val="clear" w:color="auto" w:fill="CFF0FC"/>
          </w:tcPr>
          <w:p>
            <w:pPr>
              <w:jc w:val="right"/>
              <w:ind w:right="9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20,648</w:t>
            </w:r>
          </w:p>
        </w:tc>
        <w:tc>
          <w:tcPr>
            <w:tcW w:w="80" w:type="dxa"/>
            <w:vAlign w:val="bottom"/>
            <w:shd w:val="clear" w:color="auto" w:fill="CFF0FC"/>
          </w:tcPr>
          <w:p>
            <w:pPr>
              <w:spacing w:after="0"/>
              <w:rPr>
                <w:sz w:val="16"/>
                <w:szCs w:val="16"/>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00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(4,544)</w:t>
            </w: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0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(1,441)</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18"/>
                <w:szCs w:val="18"/>
                <w:color w:val="auto"/>
              </w:rPr>
            </w:pPr>
          </w:p>
        </w:tc>
      </w:tr>
      <w:tr>
        <w:trPr>
          <w:trHeight w:val="216"/>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Joint venture investments</w:t>
            </w:r>
          </w:p>
        </w:tc>
        <w:tc>
          <w:tcPr>
            <w:tcW w:w="10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3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(54,328)</w:t>
            </w:r>
          </w:p>
        </w:tc>
        <w:tc>
          <w:tcPr>
            <w:tcW w:w="11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8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-170815</wp:posOffset>
            </wp:positionV>
            <wp:extent cx="5143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fair value of Level 3 Investments and the significant unobservable inputs used in the valuations as of September 30, 2026 and December 31, 2025. The tables are not intended to be all-inclusive, but instead capture the significant unobservable inputs relevant to the Company’s determination of fair values.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Pr>
          <w:p>
            <w:pPr>
              <w:spacing w:after="0"/>
              <w:rPr>
                <w:sz w:val="10"/>
                <w:szCs w:val="10"/>
                <w:color w:val="auto"/>
              </w:rPr>
            </w:pPr>
          </w:p>
        </w:tc>
        <w:tc>
          <w:tcPr>
            <w:tcW w:w="18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84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20" w:type="dxa"/>
            <w:vAlign w:val="bottom"/>
          </w:tcPr>
          <w:p>
            <w:pPr>
              <w:spacing w:after="0"/>
              <w:rPr>
                <w:sz w:val="10"/>
                <w:szCs w:val="10"/>
                <w:color w:val="auto"/>
              </w:rPr>
            </w:pPr>
          </w:p>
        </w:tc>
        <w:tc>
          <w:tcPr>
            <w:tcW w:w="1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196"/>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2,933,775</w:t>
            </w:r>
          </w:p>
        </w:tc>
        <w:tc>
          <w:tcPr>
            <w:tcW w:w="2000" w:type="dxa"/>
            <w:vAlign w:val="bottom"/>
            <w:gridSpan w:val="2"/>
            <w:shd w:val="clear" w:color="auto" w:fill="CFF0FC"/>
          </w:tcPr>
          <w:p>
            <w:pPr>
              <w:ind w:left="240"/>
              <w:spacing w:after="0" w:line="196"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(1)</w:t>
            </w:r>
          </w:p>
        </w:tc>
        <w:tc>
          <w:tcPr>
            <w:tcW w:w="198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Discount rate</w:t>
            </w:r>
          </w:p>
        </w:tc>
        <w:tc>
          <w:tcPr>
            <w:tcW w:w="1840" w:type="dxa"/>
            <w:vAlign w:val="bottom"/>
            <w:shd w:val="clear" w:color="auto" w:fill="CFF0FC"/>
          </w:tcPr>
          <w:p>
            <w:pPr>
              <w:jc w:val="center"/>
              <w:ind w:right="41"/>
              <w:spacing w:after="0"/>
              <w:rPr>
                <w:sz w:val="20"/>
                <w:szCs w:val="20"/>
                <w:color w:val="auto"/>
              </w:rPr>
            </w:pPr>
            <w:r>
              <w:rPr>
                <w:rFonts w:ascii="Times New Roman" w:cs="Times New Roman" w:eastAsia="Times New Roman" w:hAnsi="Times New Roman"/>
                <w:sz w:val="16"/>
                <w:szCs w:val="16"/>
                <w:color w:val="auto"/>
              </w:rPr>
              <w:t>8.0% — 27.5% (12.3%)</w:t>
            </w: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24,893</w:t>
            </w:r>
          </w:p>
        </w:tc>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Income approach</w:t>
            </w:r>
          </w:p>
        </w:tc>
        <w:tc>
          <w:tcPr>
            <w:tcW w:w="19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Discount rate</w:t>
            </w:r>
          </w:p>
        </w:tc>
        <w:tc>
          <w:tcPr>
            <w:tcW w:w="184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rPr>
              <w:t>16.3% — 17.7% (16.5%)</w:t>
            </w:r>
          </w:p>
        </w:tc>
        <w:tc>
          <w:tcPr>
            <w:tcW w:w="1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63,966</w:t>
            </w:r>
          </w:p>
        </w:tc>
        <w:tc>
          <w:tcPr>
            <w:tcW w:w="2000" w:type="dxa"/>
            <w:vAlign w:val="bottom"/>
            <w:gridSpan w:val="2"/>
            <w:shd w:val="clear" w:color="auto" w:fill="CFF0FC"/>
          </w:tcPr>
          <w:p>
            <w:pPr>
              <w:ind w:left="240"/>
              <w:spacing w:after="0" w:line="203"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(2)</w:t>
            </w:r>
          </w:p>
        </w:tc>
        <w:tc>
          <w:tcPr>
            <w:tcW w:w="198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Discount rate</w:t>
            </w:r>
          </w:p>
        </w:tc>
        <w:tc>
          <w:tcPr>
            <w:tcW w:w="1840" w:type="dxa"/>
            <w:vAlign w:val="bottom"/>
            <w:shd w:val="clear" w:color="auto" w:fill="CFF0FC"/>
          </w:tcPr>
          <w:p>
            <w:pPr>
              <w:jc w:val="center"/>
              <w:ind w:right="41"/>
              <w:spacing w:after="0"/>
              <w:rPr>
                <w:sz w:val="20"/>
                <w:szCs w:val="20"/>
                <w:color w:val="auto"/>
              </w:rPr>
            </w:pPr>
            <w:r>
              <w:rPr>
                <w:rFonts w:ascii="Times New Roman" w:cs="Times New Roman" w:eastAsia="Times New Roman" w:hAnsi="Times New Roman"/>
                <w:sz w:val="16"/>
                <w:szCs w:val="16"/>
                <w:color w:val="auto"/>
              </w:rPr>
              <w:t>10.8% — 11.5% (11.5%)</w:t>
            </w: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42,043</w:t>
            </w:r>
          </w:p>
        </w:tc>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Income approach</w:t>
            </w:r>
          </w:p>
        </w:tc>
        <w:tc>
          <w:tcPr>
            <w:tcW w:w="19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Discount rate</w:t>
            </w:r>
          </w:p>
        </w:tc>
        <w:tc>
          <w:tcPr>
            <w:tcW w:w="184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rPr>
              <w:t>8.0% — 22.6% (16.6%)</w:t>
            </w:r>
          </w:p>
        </w:tc>
        <w:tc>
          <w:tcPr>
            <w:tcW w:w="1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137,947</w:t>
            </w:r>
          </w:p>
        </w:tc>
        <w:tc>
          <w:tcPr>
            <w:tcW w:w="2000" w:type="dxa"/>
            <w:vAlign w:val="bottom"/>
            <w:gridSpan w:val="2"/>
            <w:shd w:val="clear" w:color="auto" w:fill="CFF0FC"/>
          </w:tcPr>
          <w:p>
            <w:pPr>
              <w:ind w:left="240"/>
              <w:spacing w:after="0" w:line="203" w:lineRule="exact"/>
              <w:rPr>
                <w:sz w:val="20"/>
                <w:szCs w:val="20"/>
                <w:color w:val="auto"/>
              </w:rPr>
            </w:pPr>
            <w:r>
              <w:rPr>
                <w:rFonts w:ascii="Times New Roman" w:cs="Times New Roman" w:eastAsia="Times New Roman" w:hAnsi="Times New Roman"/>
                <w:sz w:val="16"/>
                <w:szCs w:val="16"/>
                <w:color w:val="auto"/>
              </w:rPr>
              <w:t xml:space="preserve">Market Multiple </w:t>
            </w:r>
            <w:r>
              <w:rPr>
                <w:rFonts w:ascii="Times New Roman" w:cs="Times New Roman" w:eastAsia="Times New Roman" w:hAnsi="Times New Roman"/>
                <w:sz w:val="21"/>
                <w:szCs w:val="21"/>
                <w:color w:val="auto"/>
                <w:vertAlign w:val="superscript"/>
              </w:rPr>
              <w:t>(3)</w:t>
            </w:r>
          </w:p>
        </w:tc>
        <w:tc>
          <w:tcPr>
            <w:tcW w:w="1980" w:type="dxa"/>
            <w:vAlign w:val="bottom"/>
            <w:gridSpan w:val="4"/>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Comparable multiple</w:t>
            </w:r>
          </w:p>
        </w:tc>
        <w:tc>
          <w:tcPr>
            <w:tcW w:w="1840" w:type="dxa"/>
            <w:vAlign w:val="bottom"/>
            <w:shd w:val="clear" w:color="auto" w:fill="CFF0FC"/>
          </w:tcPr>
          <w:p>
            <w:pPr>
              <w:jc w:val="center"/>
              <w:ind w:right="41"/>
              <w:spacing w:after="0"/>
              <w:rPr>
                <w:sz w:val="20"/>
                <w:szCs w:val="20"/>
                <w:color w:val="auto"/>
              </w:rPr>
            </w:pPr>
            <w:r>
              <w:rPr>
                <w:rFonts w:ascii="Times New Roman" w:cs="Times New Roman" w:eastAsia="Times New Roman" w:hAnsi="Times New Roman"/>
                <w:sz w:val="16"/>
                <w:szCs w:val="16"/>
                <w:color w:val="auto"/>
              </w:rPr>
              <w:t>1.5x — 24.0x (11.9x)</w:t>
            </w: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Joint venture investments</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79,990</w:t>
            </w:r>
          </w:p>
        </w:tc>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Income approach</w:t>
            </w:r>
          </w:p>
        </w:tc>
        <w:tc>
          <w:tcPr>
            <w:tcW w:w="198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Discount rate</w:t>
            </w:r>
          </w:p>
        </w:tc>
        <w:tc>
          <w:tcPr>
            <w:tcW w:w="184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rPr>
              <w:t>13.0% — 13.0% (13.0%)</w:t>
            </w:r>
          </w:p>
        </w:tc>
        <w:tc>
          <w:tcPr>
            <w:tcW w:w="12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36"/>
        </w:trPr>
        <w:tc>
          <w:tcPr>
            <w:tcW w:w="23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3,282,614</w:t>
            </w:r>
          </w:p>
        </w:tc>
        <w:tc>
          <w:tcPr>
            <w:tcW w:w="240" w:type="dxa"/>
            <w:vAlign w:val="bottom"/>
            <w:tcBorders>
              <w:bottom w:val="single" w:sz="8" w:color="CFF0FC"/>
            </w:tcBorders>
            <w:shd w:val="clear" w:color="auto" w:fill="CFF0FC"/>
          </w:tcPr>
          <w:p>
            <w:pPr>
              <w:spacing w:after="0"/>
              <w:rPr>
                <w:sz w:val="20"/>
                <w:szCs w:val="20"/>
                <w:color w:val="auto"/>
              </w:rPr>
            </w:pPr>
          </w:p>
        </w:tc>
        <w:tc>
          <w:tcPr>
            <w:tcW w:w="17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-25400</wp:posOffset>
            </wp:positionV>
            <wp:extent cx="7683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-8255</wp:posOffset>
            </wp:positionV>
            <wp:extent cx="7683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18"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$92.4 million of debt investments which were valued using an asset valuation waterfall.</w:t>
      </w:r>
    </w:p>
    <w:p>
      <w:pPr>
        <w:spacing w:after="0" w:line="3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$0.1 million of debt investments which were valued using an asset valuation waterfall.</w:t>
      </w:r>
    </w:p>
    <w:p>
      <w:pPr>
        <w:spacing w:after="0" w:line="4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$35.3 million of equity investments which were valued using an asset valuation waterfall.</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00" w:type="dxa"/>
            <w:vAlign w:val="bottom"/>
          </w:tcPr>
          <w:p>
            <w:pPr>
              <w:spacing w:after="0"/>
              <w:rPr>
                <w:sz w:val="10"/>
                <w:szCs w:val="10"/>
                <w:color w:val="auto"/>
              </w:rPr>
            </w:pPr>
          </w:p>
        </w:tc>
        <w:tc>
          <w:tcPr>
            <w:tcW w:w="19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86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00" w:type="dxa"/>
            <w:vAlign w:val="bottom"/>
          </w:tcPr>
          <w:p>
            <w:pPr>
              <w:spacing w:after="0"/>
              <w:rPr>
                <w:sz w:val="10"/>
                <w:szCs w:val="10"/>
                <w:color w:val="auto"/>
              </w:rPr>
            </w:pPr>
          </w:p>
        </w:tc>
        <w:tc>
          <w:tcPr>
            <w:tcW w:w="1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0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19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2,956,297</w:t>
            </w:r>
          </w:p>
        </w:tc>
        <w:tc>
          <w:tcPr>
            <w:tcW w:w="1920" w:type="dxa"/>
            <w:vAlign w:val="bottom"/>
            <w:gridSpan w:val="2"/>
            <w:shd w:val="clear" w:color="auto" w:fill="CFF0FC"/>
          </w:tcPr>
          <w:p>
            <w:pPr>
              <w:ind w:left="240"/>
              <w:spacing w:after="0" w:line="196"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(1)</w:t>
            </w:r>
          </w:p>
        </w:tc>
        <w:tc>
          <w:tcPr>
            <w:tcW w:w="200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186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16"/>
                <w:szCs w:val="16"/>
                <w:color w:val="auto"/>
              </w:rPr>
              <w:t>6.6% — 17.5% (11.0%)</w:t>
            </w:r>
          </w:p>
        </w:tc>
        <w:tc>
          <w:tcPr>
            <w:tcW w:w="17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30,456</w:t>
            </w: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Income approach</w:t>
            </w:r>
          </w:p>
        </w:tc>
        <w:tc>
          <w:tcPr>
            <w:tcW w:w="20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186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rPr>
              <w:t>12.5% — 15.3% (14.2%)</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61,684</w:t>
            </w:r>
          </w:p>
        </w:tc>
        <w:tc>
          <w:tcPr>
            <w:tcW w:w="1920" w:type="dxa"/>
            <w:vAlign w:val="bottom"/>
            <w:gridSpan w:val="2"/>
            <w:shd w:val="clear" w:color="auto" w:fill="CFF0FC"/>
          </w:tcPr>
          <w:p>
            <w:pPr>
              <w:ind w:left="240"/>
              <w:spacing w:after="0" w:line="203" w:lineRule="exact"/>
              <w:rPr>
                <w:sz w:val="20"/>
                <w:szCs w:val="20"/>
                <w:color w:val="auto"/>
              </w:rPr>
            </w:pPr>
            <w:r>
              <w:rPr>
                <w:rFonts w:ascii="Times New Roman" w:cs="Times New Roman" w:eastAsia="Times New Roman" w:hAnsi="Times New Roman"/>
                <w:sz w:val="16"/>
                <w:szCs w:val="16"/>
                <w:color w:val="auto"/>
              </w:rPr>
              <w:t xml:space="preserve">Income approach </w:t>
            </w:r>
            <w:r>
              <w:rPr>
                <w:rFonts w:ascii="Times New Roman" w:cs="Times New Roman" w:eastAsia="Times New Roman" w:hAnsi="Times New Roman"/>
                <w:sz w:val="21"/>
                <w:szCs w:val="21"/>
                <w:color w:val="auto"/>
                <w:vertAlign w:val="superscript"/>
              </w:rPr>
              <w:t>(2)</w:t>
            </w:r>
          </w:p>
        </w:tc>
        <w:tc>
          <w:tcPr>
            <w:tcW w:w="200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Discount rate</w:t>
            </w:r>
          </w:p>
        </w:tc>
        <w:tc>
          <w:tcPr>
            <w:tcW w:w="1860" w:type="dxa"/>
            <w:vAlign w:val="bottom"/>
            <w:shd w:val="clear" w:color="auto" w:fill="CFF0FC"/>
          </w:tcPr>
          <w:p>
            <w:pPr>
              <w:jc w:val="center"/>
              <w:ind w:right="82"/>
              <w:spacing w:after="0"/>
              <w:rPr>
                <w:sz w:val="20"/>
                <w:szCs w:val="20"/>
                <w:color w:val="auto"/>
              </w:rPr>
            </w:pPr>
            <w:r>
              <w:rPr>
                <w:rFonts w:ascii="Times New Roman" w:cs="Times New Roman" w:eastAsia="Times New Roman" w:hAnsi="Times New Roman"/>
                <w:sz w:val="16"/>
                <w:szCs w:val="16"/>
                <w:color w:val="auto"/>
              </w:rPr>
              <w:t>10.8% — 20.0% (11.1%)</w:t>
            </w:r>
          </w:p>
        </w:tc>
        <w:tc>
          <w:tcPr>
            <w:tcW w:w="17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133,397</w:t>
            </w:r>
          </w:p>
        </w:tc>
        <w:tc>
          <w:tcPr>
            <w:tcW w:w="1920" w:type="dxa"/>
            <w:vAlign w:val="bottom"/>
            <w:gridSpan w:val="2"/>
          </w:tcPr>
          <w:p>
            <w:pPr>
              <w:ind w:left="240"/>
              <w:spacing w:after="0" w:line="203" w:lineRule="exact"/>
              <w:rPr>
                <w:sz w:val="20"/>
                <w:szCs w:val="20"/>
                <w:color w:val="auto"/>
              </w:rPr>
            </w:pPr>
            <w:r>
              <w:rPr>
                <w:rFonts w:ascii="Times New Roman" w:cs="Times New Roman" w:eastAsia="Times New Roman" w:hAnsi="Times New Roman"/>
                <w:sz w:val="16"/>
                <w:szCs w:val="16"/>
                <w:color w:val="auto"/>
              </w:rPr>
              <w:t xml:space="preserve">Market Multiple </w:t>
            </w:r>
            <w:r>
              <w:rPr>
                <w:rFonts w:ascii="Times New Roman" w:cs="Times New Roman" w:eastAsia="Times New Roman" w:hAnsi="Times New Roman"/>
                <w:sz w:val="21"/>
                <w:szCs w:val="21"/>
                <w:color w:val="auto"/>
                <w:vertAlign w:val="superscript"/>
              </w:rPr>
              <w:t>(3)</w:t>
            </w:r>
          </w:p>
        </w:tc>
        <w:tc>
          <w:tcPr>
            <w:tcW w:w="20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Comparable multiple</w:t>
            </w:r>
          </w:p>
        </w:tc>
        <w:tc>
          <w:tcPr>
            <w:tcW w:w="1860" w:type="dxa"/>
            <w:vAlign w:val="bottom"/>
          </w:tcPr>
          <w:p>
            <w:pPr>
              <w:jc w:val="center"/>
              <w:ind w:right="62"/>
              <w:spacing w:after="0"/>
              <w:rPr>
                <w:sz w:val="20"/>
                <w:szCs w:val="20"/>
                <w:color w:val="auto"/>
              </w:rPr>
            </w:pPr>
            <w:r>
              <w:rPr>
                <w:rFonts w:ascii="Times New Roman" w:cs="Times New Roman" w:eastAsia="Times New Roman" w:hAnsi="Times New Roman"/>
                <w:sz w:val="16"/>
                <w:szCs w:val="16"/>
                <w:color w:val="auto"/>
              </w:rPr>
              <w:t>1.8x — 25.0x (10.4x)</w:t>
            </w: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236"/>
        </w:trPr>
        <w:tc>
          <w:tcPr>
            <w:tcW w:w="27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3,181,834</w:t>
            </w:r>
          </w:p>
        </w:tc>
        <w:tc>
          <w:tcPr>
            <w:tcW w:w="24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CFF0FC"/>
            </w:tcBorders>
            <w:shd w:val="clear" w:color="auto" w:fill="CFF0FC"/>
          </w:tcPr>
          <w:p>
            <w:pPr>
              <w:spacing w:after="0"/>
              <w:rPr>
                <w:sz w:val="20"/>
                <w:szCs w:val="20"/>
                <w:color w:val="auto"/>
              </w:rPr>
            </w:pPr>
          </w:p>
        </w:tc>
        <w:tc>
          <w:tcPr>
            <w:tcW w:w="186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top w:val="single" w:sz="8" w:color="auto"/>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-25400</wp:posOffset>
            </wp:positionV>
            <wp:extent cx="7747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-7620</wp:posOffset>
            </wp:positionV>
            <wp:extent cx="7747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$105.9 million of debt investments which were valued using an asset valuation waterfall.</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$0.1 million of debt investments which were valued using an asset valuation waterfall.</w:t>
      </w:r>
    </w:p>
    <w:p>
      <w:pPr>
        <w:spacing w:after="0" w:line="9" w:lineRule="exact"/>
        <w:rPr>
          <w:rFonts w:ascii="Times New Roman" w:cs="Times New Roman" w:eastAsia="Times New Roman" w:hAnsi="Times New Roman"/>
          <w:sz w:val="18"/>
          <w:szCs w:val="18"/>
          <w:color w:val="auto"/>
        </w:rPr>
      </w:pPr>
    </w:p>
    <w:p>
      <w:pPr>
        <w:ind w:left="520" w:right="180" w:hanging="512"/>
        <w:spacing w:after="0" w:line="260"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$13.1 million of equity investments which were valued using an asset valuation waterfall and $20.1 million of equity investments using a discounted cash flow analysis.</w:t>
      </w:r>
    </w:p>
    <w:p>
      <w:pPr>
        <w:spacing w:after="0" w:line="181" w:lineRule="exact"/>
        <w:rPr>
          <w:sz w:val="20"/>
          <w:szCs w:val="20"/>
          <w:color w:val="auto"/>
        </w:rPr>
      </w:pPr>
    </w:p>
    <w:p>
      <w:pPr>
        <w:ind w:right="260" w:firstLine="255"/>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3" w:lineRule="exact"/>
        <w:rPr>
          <w:sz w:val="20"/>
          <w:szCs w:val="20"/>
          <w:color w:val="auto"/>
        </w:rPr>
      </w:pPr>
    </w:p>
    <w:p>
      <w:pPr>
        <w:ind w:right="220" w:firstLine="255"/>
        <w:spacing w:after="0" w:line="256" w:lineRule="auto"/>
        <w:rPr>
          <w:sz w:val="20"/>
          <w:szCs w:val="20"/>
          <w:color w:val="auto"/>
        </w:rPr>
      </w:pPr>
      <w:r>
        <w:rPr>
          <w:rFonts w:ascii="Times New Roman" w:cs="Times New Roman" w:eastAsia="Times New Roman" w:hAnsi="Times New Roman"/>
          <w:sz w:val="18"/>
          <w:szCs w:val="18"/>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Structured Credit Partners JV, LLC (“SCP”)</w:t>
      </w:r>
    </w:p>
    <w:p>
      <w:pPr>
        <w:spacing w:after="0" w:line="119" w:lineRule="exact"/>
        <w:rPr>
          <w:sz w:val="20"/>
          <w:szCs w:val="20"/>
          <w:color w:val="auto"/>
        </w:rPr>
      </w:pPr>
    </w:p>
    <w:p>
      <w:pPr>
        <w:jc w:val="both"/>
        <w:ind w:right="160" w:firstLine="255"/>
        <w:spacing w:after="0" w:line="266" w:lineRule="auto"/>
        <w:rPr>
          <w:sz w:val="20"/>
          <w:szCs w:val="20"/>
          <w:color w:val="auto"/>
        </w:rPr>
      </w:pPr>
      <w:r>
        <w:rPr>
          <w:rFonts w:ascii="Times New Roman" w:cs="Times New Roman" w:eastAsia="Times New Roman" w:hAnsi="Times New Roman"/>
          <w:sz w:val="18"/>
          <w:szCs w:val="18"/>
          <w:color w:val="auto"/>
        </w:rPr>
        <w:t>On December 23, 2025, affiliates of Sixth Street, including us, and affiliates of Carlyle entered into the Limited Liability Company Agreement to co-manage SCP, a joint venture focused on investing in broadly syndicated first lien senior secured loans, financed with long-term, non-mark-to-market, and predominantly investment grade rated CLO debt managed by affiliates of Sixth Street or Carlyle on a no-fee basis.</w:t>
      </w:r>
    </w:p>
    <w:p>
      <w:pPr>
        <w:spacing w:after="0" w:line="68"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Sixth Street affiliates own 50.0% of the equity interests in SCP and Carlyle affiliates own 50.0%, with investment decisions requiring approval by representatives of both the Sixth Street affiliates and the Carlyle affiliates. Equity contributions will be called from each member on a pro-rata basis, based on their equity commitments. Funding of such commitments requires the approval of SCP’s board of managers, including the board members appointed by the Company. SCP’s board of managers consists of an equal number of representatives appointed by the Sixth Street-affiliated members of SCP and the Carlyle-affiliated members of SCP. Portfolio construction and investment decisions must be unanimously approved by SCP’s investment committee, as delegated by the board of managers of SCP. Our investment in SCP is made with certain of our affiliates in accordance with the terms of the exemptive relief that we received from the SEC. Because the Company does not own more than 25% of the voting interests of SCP, the Company does not believe that it has control over SCP for accounting purposes under U.S. GAAP or for purposes of the 1940 Act and therefore, does not consolidate SCP.</w:t>
      </w:r>
    </w:p>
    <w:p>
      <w:pPr>
        <w:spacing w:after="0" w:line="84"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As of September 30, 2026, SCP had total capital commitments of $600.0 million comprised of $200.0 million of capital commitments from Sixth Street Specialty Lending, Inc., $100.0 million of capital commitments from Sixth Street Lending Partners, $150.0 million of capital commitments from Carlyle Secured Lending, Inc., and $150.0 million of capital commitments from Carlyle Credit Solutions, Inc., with all members of SCP having equal voting control.</w:t>
      </w:r>
    </w:p>
    <w:p>
      <w:pPr>
        <w:sectPr>
          <w:pgSz w:w="11900" w:h="16838" w:orient="portrait"/>
          <w:cols w:equalWidth="0" w:num="1">
            <w:col w:w="11240"/>
          </w:cols>
          <w:pgMar w:left="320" w:top="979" w:right="339" w:bottom="1440" w:gutter="0" w:footer="0" w:header="0"/>
        </w:sectPr>
      </w:pP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As of September 30, 2026, SCP had the following contributed capital and unfunded commitments from its members: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contributed capital by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contributed capital by Sixth Street Lending Partners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contributed capital by Carlyle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3716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Total contributed capital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unfunded commitments by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unfunded commitments by Sixth Street Lending Partners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unfunded commitments by Carlyle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3716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Total unfunded commitments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188"/>
        </w:trPr>
        <w:tc>
          <w:tcPr>
            <w:tcW w:w="20" w:type="dxa"/>
            <w:vAlign w:val="bottom"/>
          </w:tcPr>
          <w:p>
            <w:pPr>
              <w:spacing w:after="0"/>
              <w:rPr>
                <w:sz w:val="16"/>
                <w:szCs w:val="16"/>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75,641</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37,832</w:t>
            </w: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113,473</w:t>
            </w:r>
          </w:p>
        </w:tc>
      </w:tr>
      <w:tr>
        <w:trPr>
          <w:trHeight w:val="202"/>
        </w:trPr>
        <w:tc>
          <w:tcPr>
            <w:tcW w:w="20" w:type="dxa"/>
            <w:vAlign w:val="bottom"/>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226,946</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124,360</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62,169</w:t>
            </w: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186,529</w:t>
            </w:r>
          </w:p>
        </w:tc>
      </w:tr>
      <w:tr>
        <w:trPr>
          <w:trHeight w:val="202"/>
        </w:trPr>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373,058</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680" w:space="440"/>
            <w:col w:w="2120"/>
          </w:cols>
          <w:pgMar w:left="320" w:top="97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type w:val="continuous"/>
        </w:sectPr>
      </w:pPr>
    </w:p>
    <w:bookmarkStart w:id="43" w:name="page44"/>
    <w:bookmarkEnd w:id="43"/>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As of September 30, 2026, SCP had six subsidiaries. The wholly owned subsidiaries include; (i) Carlyle US CLO 2026-3, Ltd., a Cayman Islands corporation; (ii) Carlyle US CLO 2026-B, Ltd., a Cayman Islands corporation; (iii) Sixth Street CLO 32, Ltd., a Cayman Islands corporation; (iv) Sixth Street CLO 33, Ltd., a Cayman Islands corporation and (v) Carlyle CLO 2026-D, Ltd., a Cayman Islands corporation. Sixth Street SCP Warehouse 4, Ltd., a Cayman Islands corporation is a majority owned subsidiary. Each subsidiary primarily invests in broadly syndicated loans. As SCP has a controlling financial interest in all subsidiaries, they are consolidated in SCP’s unaudited consolidated financial statements commencing from the date of their respective formation.</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Below is selected consolidated balance sheet information for SCP as of September 30, 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15"/>
        </w:trPr>
        <w:tc>
          <w:tcPr>
            <w:tcW w:w="63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r>
      <w:tr>
        <w:trPr>
          <w:trHeight w:val="19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Selected Consolidated Balance Sheet Information:</w:t>
            </w:r>
          </w:p>
        </w:tc>
        <w:tc>
          <w:tcPr>
            <w:tcW w:w="27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Investments at fair value (amortized cost of $2,138,270)</w:t>
            </w:r>
          </w:p>
        </w:tc>
        <w:tc>
          <w:tcPr>
            <w:tcW w:w="29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2,135,823</w:t>
            </w:r>
          </w:p>
        </w:tc>
        <w:tc>
          <w:tcPr>
            <w:tcW w:w="100" w:type="dxa"/>
            <w:vAlign w:val="bottom"/>
            <w:shd w:val="clear" w:color="auto" w:fill="CFF0FC"/>
          </w:tcPr>
          <w:p>
            <w:pPr>
              <w:spacing w:after="0"/>
              <w:rPr>
                <w:sz w:val="17"/>
                <w:szCs w:val="17"/>
                <w:color w:val="auto"/>
              </w:rPr>
            </w:pPr>
          </w:p>
        </w:tc>
      </w:tr>
      <w:tr>
        <w:trPr>
          <w:trHeight w:val="203"/>
        </w:trPr>
        <w:tc>
          <w:tcPr>
            <w:tcW w:w="63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Cash and cash equivalents </w:t>
            </w:r>
            <w:r>
              <w:rPr>
                <w:rFonts w:ascii="Times New Roman" w:cs="Times New Roman" w:eastAsia="Times New Roman" w:hAnsi="Times New Roman"/>
                <w:sz w:val="21"/>
                <w:szCs w:val="21"/>
                <w:color w:val="auto"/>
                <w:vertAlign w:val="superscript"/>
              </w:rPr>
              <w:t>(1)</w:t>
            </w:r>
          </w:p>
        </w:tc>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460,529</w:t>
            </w:r>
          </w:p>
        </w:tc>
        <w:tc>
          <w:tcPr>
            <w:tcW w:w="100" w:type="dxa"/>
            <w:vAlign w:val="bottom"/>
          </w:tcPr>
          <w:p>
            <w:pPr>
              <w:spacing w:after="0"/>
              <w:rPr>
                <w:sz w:val="17"/>
                <w:szCs w:val="17"/>
                <w:color w:val="auto"/>
              </w:rPr>
            </w:pPr>
          </w:p>
        </w:tc>
      </w:tr>
      <w:tr>
        <w:trPr>
          <w:trHeight w:val="203"/>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7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2,628,248</w:t>
            </w:r>
          </w:p>
        </w:tc>
        <w:tc>
          <w:tcPr>
            <w:tcW w:w="100" w:type="dxa"/>
            <w:vAlign w:val="bottom"/>
          </w:tcPr>
          <w:p>
            <w:pPr>
              <w:spacing w:after="0"/>
              <w:rPr>
                <w:sz w:val="17"/>
                <w:szCs w:val="17"/>
                <w:color w:val="auto"/>
              </w:rPr>
            </w:pPr>
          </w:p>
        </w:tc>
      </w:tr>
      <w:tr>
        <w:trPr>
          <w:trHeight w:val="20"/>
        </w:trPr>
        <w:tc>
          <w:tcPr>
            <w:tcW w:w="6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2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Secured borrowings</w:t>
            </w:r>
          </w:p>
        </w:tc>
        <w:tc>
          <w:tcPr>
            <w:tcW w:w="2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1,991,070</w:t>
            </w:r>
          </w:p>
        </w:tc>
        <w:tc>
          <w:tcPr>
            <w:tcW w:w="100" w:type="dxa"/>
            <w:vAlign w:val="bottom"/>
          </w:tcPr>
          <w:p>
            <w:pPr>
              <w:spacing w:after="0"/>
              <w:rPr>
                <w:sz w:val="17"/>
                <w:szCs w:val="17"/>
                <w:color w:val="auto"/>
              </w:rPr>
            </w:pPr>
          </w:p>
        </w:tc>
      </w:tr>
      <w:tr>
        <w:trPr>
          <w:trHeight w:val="203"/>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 payable</w:t>
            </w:r>
          </w:p>
        </w:tc>
        <w:tc>
          <w:tcPr>
            <w:tcW w:w="2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14,850</w:t>
            </w:r>
          </w:p>
        </w:tc>
        <w:tc>
          <w:tcPr>
            <w:tcW w:w="100" w:type="dxa"/>
            <w:vAlign w:val="bottom"/>
            <w:shd w:val="clear" w:color="auto" w:fill="CFF0FC"/>
          </w:tcPr>
          <w:p>
            <w:pPr>
              <w:spacing w:after="0"/>
              <w:rPr>
                <w:sz w:val="17"/>
                <w:szCs w:val="17"/>
                <w:color w:val="auto"/>
              </w:rPr>
            </w:pPr>
          </w:p>
        </w:tc>
      </w:tr>
      <w:tr>
        <w:trPr>
          <w:trHeight w:val="203"/>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396,839</w:t>
            </w:r>
          </w:p>
        </w:tc>
        <w:tc>
          <w:tcPr>
            <w:tcW w:w="100" w:type="dxa"/>
            <w:vAlign w:val="bottom"/>
          </w:tcPr>
          <w:p>
            <w:pPr>
              <w:spacing w:after="0"/>
              <w:rPr>
                <w:sz w:val="17"/>
                <w:szCs w:val="17"/>
                <w:color w:val="auto"/>
              </w:rPr>
            </w:pPr>
          </w:p>
        </w:tc>
      </w:tr>
      <w:tr>
        <w:trPr>
          <w:trHeight w:val="203"/>
        </w:trPr>
        <w:tc>
          <w:tcPr>
            <w:tcW w:w="638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Members equity </w:t>
            </w:r>
            <w:r>
              <w:rPr>
                <w:rFonts w:ascii="Times New Roman" w:cs="Times New Roman" w:eastAsia="Times New Roman" w:hAnsi="Times New Roman"/>
                <w:sz w:val="21"/>
                <w:szCs w:val="21"/>
                <w:color w:val="auto"/>
                <w:vertAlign w:val="superscript"/>
              </w:rPr>
              <w:t>(2)</w:t>
            </w:r>
          </w:p>
        </w:tc>
        <w:tc>
          <w:tcPr>
            <w:tcW w:w="2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224,023</w:t>
            </w:r>
          </w:p>
        </w:tc>
        <w:tc>
          <w:tcPr>
            <w:tcW w:w="100" w:type="dxa"/>
            <w:vAlign w:val="bottom"/>
            <w:shd w:val="clear" w:color="auto" w:fill="CFF0FC"/>
          </w:tcPr>
          <w:p>
            <w:pPr>
              <w:spacing w:after="0"/>
              <w:rPr>
                <w:sz w:val="17"/>
                <w:szCs w:val="17"/>
                <w:color w:val="auto"/>
              </w:rPr>
            </w:pPr>
          </w:p>
        </w:tc>
      </w:tr>
      <w:tr>
        <w:trPr>
          <w:trHeight w:val="203"/>
        </w:trPr>
        <w:tc>
          <w:tcPr>
            <w:tcW w:w="63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Non-controlling interest </w:t>
            </w:r>
            <w:r>
              <w:rPr>
                <w:rFonts w:ascii="Times New Roman" w:cs="Times New Roman" w:eastAsia="Times New Roman" w:hAnsi="Times New Roman"/>
                <w:sz w:val="21"/>
                <w:szCs w:val="21"/>
                <w:color w:val="auto"/>
                <w:vertAlign w:val="superscript"/>
              </w:rPr>
              <w:t>(3)</w:t>
            </w:r>
          </w:p>
        </w:tc>
        <w:tc>
          <w:tcPr>
            <w:tcW w:w="2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17"/>
                <w:szCs w:val="17"/>
                <w:color w:val="auto"/>
              </w:rPr>
            </w:pPr>
          </w:p>
        </w:tc>
      </w:tr>
      <w:tr>
        <w:trPr>
          <w:trHeight w:val="236"/>
        </w:trPr>
        <w:tc>
          <w:tcPr>
            <w:tcW w:w="63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27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2,628,248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$39,609 of SCP’s cash and cash equivalents was restricted.</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the fair value of the Company’s ownership interest in the members’ equity was $79,990.</w:t>
      </w:r>
    </w:p>
    <w:p>
      <w:pPr>
        <w:spacing w:after="0" w:line="9" w:lineRule="exact"/>
        <w:rPr>
          <w:rFonts w:ascii="Times New Roman" w:cs="Times New Roman" w:eastAsia="Times New Roman" w:hAnsi="Times New Roman"/>
          <w:sz w:val="18"/>
          <w:szCs w:val="18"/>
          <w:color w:val="auto"/>
        </w:rPr>
      </w:pPr>
    </w:p>
    <w:p>
      <w:pPr>
        <w:ind w:left="520" w:right="280" w:hanging="512"/>
        <w:spacing w:after="0" w:line="260"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a third-party investor had a 5% economic interest in Sixth Street SCP Warehouse 4, Ltd., a consolidated subsidiary of SCP.</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Below is selected consolidated statement of operations information for SCP for the three and nine months ended September 30, 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3"/>
        </w:trPr>
        <w:tc>
          <w:tcPr>
            <w:tcW w:w="7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15"/>
        </w:trPr>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(unaudited)</w:t>
            </w:r>
          </w:p>
        </w:tc>
      </w:tr>
      <w:tr>
        <w:trPr>
          <w:trHeight w:val="19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Selected Consolidated Statement of Operations Information:</w:t>
            </w:r>
          </w:p>
        </w:tc>
        <w:tc>
          <w:tcPr>
            <w:tcW w:w="10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51,515</w:t>
            </w:r>
          </w:p>
        </w:tc>
        <w:tc>
          <w:tcPr>
            <w:tcW w:w="100" w:type="dxa"/>
            <w:vAlign w:val="bottom"/>
          </w:tcPr>
          <w:p>
            <w:pPr>
              <w:spacing w:after="0"/>
              <w:rPr>
                <w:sz w:val="17"/>
                <w:szCs w:val="17"/>
                <w:color w:val="auto"/>
              </w:rPr>
            </w:pPr>
          </w:p>
        </w:tc>
      </w:tr>
      <w:tr>
        <w:trPr>
          <w:trHeight w:val="20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35,142</w:t>
            </w:r>
          </w:p>
        </w:tc>
        <w:tc>
          <w:tcPr>
            <w:tcW w:w="100" w:type="dxa"/>
            <w:vAlign w:val="bottom"/>
          </w:tcPr>
          <w:p>
            <w:pPr>
              <w:spacing w:after="0"/>
              <w:rPr>
                <w:sz w:val="17"/>
                <w:szCs w:val="17"/>
                <w:color w:val="auto"/>
              </w:rPr>
            </w:pPr>
          </w:p>
        </w:tc>
      </w:tr>
      <w:tr>
        <w:trPr>
          <w:trHeight w:val="203"/>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expenses</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18,573</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36,714</w:t>
            </w:r>
          </w:p>
        </w:tc>
        <w:tc>
          <w:tcPr>
            <w:tcW w:w="100" w:type="dxa"/>
            <w:vAlign w:val="bottom"/>
          </w:tcPr>
          <w:p>
            <w:pPr>
              <w:spacing w:after="0"/>
              <w:rPr>
                <w:sz w:val="17"/>
                <w:szCs w:val="17"/>
                <w:color w:val="auto"/>
              </w:rPr>
            </w:pPr>
          </w:p>
        </w:tc>
      </w:tr>
      <w:tr>
        <w:trPr>
          <w:trHeight w:val="19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Investment Income</w:t>
            </w:r>
          </w:p>
        </w:tc>
        <w:tc>
          <w:tcPr>
            <w:tcW w:w="1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9,369</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14,801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unrealized gains (losses) on investments</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(2,447)</w:t>
            </w:r>
          </w:p>
        </w:tc>
      </w:tr>
      <w:tr>
        <w:trPr>
          <w:trHeight w:val="203"/>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realized gains (losses) on investments</w:t>
            </w:r>
          </w:p>
        </w:tc>
        <w:tc>
          <w:tcPr>
            <w:tcW w:w="1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Increase (Decrease) in Net Assets Resulting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12,620</w:t>
            </w:r>
          </w:p>
        </w:tc>
        <w:tc>
          <w:tcPr>
            <w:tcW w:w="100" w:type="dxa"/>
            <w:vAlign w:val="bottom"/>
          </w:tcPr>
          <w:p>
            <w:pPr>
              <w:spacing w:after="0"/>
              <w:rPr>
                <w:sz w:val="17"/>
                <w:szCs w:val="17"/>
                <w:color w:val="auto"/>
              </w:rPr>
            </w:pPr>
          </w:p>
        </w:tc>
      </w:tr>
      <w:tr>
        <w:trPr>
          <w:trHeight w:val="19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Increase (Decrease) in Net Assets Resulting from Operations Attributable to Members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12,597</w:t>
            </w:r>
          </w:p>
        </w:tc>
        <w:tc>
          <w:tcPr>
            <w:tcW w:w="1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-976630</wp:posOffset>
            </wp:positionV>
            <wp:extent cx="6858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-702310</wp:posOffset>
            </wp:positionV>
            <wp:extent cx="6858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-436880</wp:posOffset>
            </wp:positionV>
            <wp:extent cx="6858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6858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SCP declared $9.8 million and $15.5 million, respectively, in distributions, of which $3.3 million and $5.2 million, respectively, was recognized as dividend income in the Company’s Consolidated Statements of Operations. As of September 30, 2026, the daily weighted average yield on our investment in Structured Credit Partners JV, LLC was 20.3%.</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Below is a summary of SCP’s portfolio as of September 30, 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Pr>
          <w:p>
            <w:pPr>
              <w:spacing w:after="0"/>
              <w:rPr>
                <w:sz w:val="18"/>
                <w:szCs w:val="18"/>
                <w:color w:val="auto"/>
              </w:rPr>
            </w:pPr>
          </w:p>
        </w:tc>
      </w:tr>
      <w:tr>
        <w:trPr>
          <w:trHeight w:val="199"/>
        </w:trPr>
        <w:tc>
          <w:tcPr>
            <w:tcW w:w="6560" w:type="dxa"/>
            <w:vAlign w:val="bottom"/>
            <w:gridSpan w:val="2"/>
            <w:shd w:val="clear" w:color="auto" w:fill="CFF0FC"/>
          </w:tcPr>
          <w:p>
            <w:pPr>
              <w:spacing w:after="0" w:line="199" w:lineRule="exact"/>
              <w:rPr>
                <w:sz w:val="20"/>
                <w:szCs w:val="20"/>
                <w:color w:val="auto"/>
              </w:rPr>
            </w:pPr>
            <w:r>
              <w:rPr>
                <w:rFonts w:ascii="Times New Roman" w:cs="Times New Roman" w:eastAsia="Times New Roman" w:hAnsi="Times New Roman"/>
                <w:sz w:val="16"/>
                <w:szCs w:val="16"/>
                <w:color w:val="auto"/>
              </w:rPr>
              <w:t xml:space="preserve">Total investments </w:t>
            </w:r>
            <w:r>
              <w:rPr>
                <w:rFonts w:ascii="Times New Roman" w:cs="Times New Roman" w:eastAsia="Times New Roman" w:hAnsi="Times New Roman"/>
                <w:sz w:val="21"/>
                <w:szCs w:val="21"/>
                <w:color w:val="auto"/>
                <w:vertAlign w:val="superscript"/>
              </w:rPr>
              <w:t>(1)</w:t>
            </w:r>
          </w:p>
        </w:tc>
        <w:tc>
          <w:tcPr>
            <w:tcW w:w="2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2,157,543</w:t>
            </w:r>
          </w:p>
        </w:tc>
        <w:tc>
          <w:tcPr>
            <w:tcW w:w="140" w:type="dxa"/>
            <w:vAlign w:val="bottom"/>
            <w:shd w:val="clear" w:color="auto" w:fill="CFF0FC"/>
          </w:tcPr>
          <w:p>
            <w:pPr>
              <w:spacing w:after="0"/>
              <w:rPr>
                <w:sz w:val="17"/>
                <w:szCs w:val="17"/>
                <w:color w:val="auto"/>
              </w:rPr>
            </w:pPr>
          </w:p>
        </w:tc>
      </w:tr>
      <w:tr>
        <w:trPr>
          <w:trHeight w:val="203"/>
        </w:trPr>
        <w:tc>
          <w:tcPr>
            <w:tcW w:w="6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yield on total investments at amortized cost</w:t>
            </w: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6.95%</w:t>
            </w:r>
          </w:p>
        </w:tc>
      </w:tr>
      <w:tr>
        <w:trPr>
          <w:trHeight w:val="203"/>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yield on total investments at fair value</w:t>
            </w:r>
          </w:p>
        </w:tc>
        <w:tc>
          <w:tcPr>
            <w:tcW w:w="2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6.96%</w:t>
            </w:r>
          </w:p>
        </w:tc>
      </w:tr>
      <w:tr>
        <w:trPr>
          <w:trHeight w:val="203"/>
        </w:trPr>
        <w:tc>
          <w:tcPr>
            <w:tcW w:w="6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spread on investments</w:t>
            </w: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2.77%</w:t>
            </w:r>
          </w:p>
        </w:tc>
      </w:tr>
      <w:tr>
        <w:trPr>
          <w:trHeight w:val="203"/>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portfolio companies in SCP</w:t>
            </w:r>
          </w:p>
        </w:tc>
        <w:tc>
          <w:tcPr>
            <w:tcW w:w="2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40" w:type="dxa"/>
            <w:vAlign w:val="bottom"/>
            <w:shd w:val="clear" w:color="auto" w:fill="CFF0FC"/>
          </w:tcPr>
          <w:p>
            <w:pPr>
              <w:spacing w:after="0"/>
              <w:rPr>
                <w:sz w:val="17"/>
                <w:szCs w:val="17"/>
                <w:color w:val="auto"/>
              </w:rPr>
            </w:pPr>
          </w:p>
        </w:tc>
      </w:tr>
      <w:tr>
        <w:trPr>
          <w:trHeight w:val="210"/>
        </w:trPr>
        <w:tc>
          <w:tcPr>
            <w:tcW w:w="6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loans at floating interest rates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99.64%</w:t>
            </w:r>
          </w:p>
        </w:tc>
      </w:tr>
      <w:tr>
        <w:trPr>
          <w:trHeight w:val="42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par amount.</w:t>
            </w: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industry composition of SCP’s portfolio at fair value as of September 30, 2026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6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7"/>
                <w:szCs w:val="17"/>
                <w:color w:val="auto"/>
              </w:rPr>
            </w:pPr>
          </w:p>
        </w:tc>
        <w:tc>
          <w:tcPr>
            <w:tcW w:w="1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of Fair Value</w:t>
            </w:r>
          </w:p>
        </w:tc>
        <w:tc>
          <w:tcPr>
            <w:tcW w:w="140" w:type="dxa"/>
            <w:vAlign w:val="bottom"/>
          </w:tcPr>
          <w:p>
            <w:pPr>
              <w:spacing w:after="0"/>
              <w:rPr>
                <w:sz w:val="17"/>
                <w:szCs w:val="17"/>
                <w:color w:val="auto"/>
              </w:rPr>
            </w:pPr>
          </w:p>
        </w:tc>
      </w:tr>
      <w:tr>
        <w:trPr>
          <w:trHeight w:val="19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Aerospace &amp; Defense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82,517</w:t>
            </w:r>
          </w:p>
        </w:tc>
        <w:tc>
          <w:tcPr>
            <w:tcW w:w="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82,555</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Auto Aftermarket &amp; Services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66,097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66,009</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Beverage &amp; Food</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64,031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63,940</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Business Services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256,298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256,465</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12.0%</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Equipment</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117,964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118,019</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Chemicals, Plastics &amp; Rubber</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35,540</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Construction &amp; Building</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127,853</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127,274</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Consumer goods: Durable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39,997</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Consumer goods: Non-durable</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49,757</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49,781</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Consumer Services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138,343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138,534</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Containers, Packaging &amp; Glass</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57,202</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57,368</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Diversified Financial Services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252,087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249,538</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11.7%</w:t>
            </w:r>
          </w:p>
        </w:tc>
      </w:tr>
      <w:tr>
        <w:trPr>
          <w:trHeight w:val="202"/>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Energy: Electricity</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29,905</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29,850</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Energy: Oil &amp; Gas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33,774</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Environmental Industries</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36,189</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36,211</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Forest Products &amp; Paper</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8,620</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Healthcare &amp; Pharmaceuticals</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135,146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135,332</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High Tech Industries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144,844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145,952</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6.8%</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Leisure Products &amp; Services</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102,719</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101,895</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Media: Advertising, Printing &amp; Publishing</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16,917</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Media: Broadcasting &amp; Subscription</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22,134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22,163</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Media: Diversified &amp; Production</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33,946</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Metals &amp; Mining</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3,992</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41,108</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Sovereign &amp; Public Finance</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13,084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13,122</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0.6%</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Telecommunications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19,574</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0.9%</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Transportation: Cargo</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8,449</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Transportation: Consumer</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38,724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38,230</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Utilities: Electric</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11,191</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Utilities: Oil &amp; Gas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0.2%</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Wholesale</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145,836</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145,557</w:t>
            </w:r>
          </w:p>
        </w:tc>
        <w:tc>
          <w:tcPr>
            <w:tcW w:w="2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6.8%</w:t>
            </w:r>
          </w:p>
        </w:tc>
      </w:tr>
      <w:tr>
        <w:trPr>
          <w:trHeight w:val="20"/>
        </w:trPr>
        <w:tc>
          <w:tcPr>
            <w:tcW w:w="6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2,138,270</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2,135,823</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6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-161925</wp:posOffset>
            </wp:positionV>
            <wp:extent cx="6858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-161925</wp:posOffset>
            </wp:positionV>
            <wp:extent cx="6858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-161925</wp:posOffset>
            </wp:positionV>
            <wp:extent cx="939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left="260"/>
        <w:spacing w:after="0"/>
        <w:rPr>
          <w:sz w:val="20"/>
          <w:szCs w:val="20"/>
          <w:color w:val="auto"/>
        </w:rPr>
      </w:pPr>
      <w:r>
        <w:rPr>
          <w:rFonts w:ascii="Times New Roman" w:cs="Times New Roman" w:eastAsia="Times New Roman" w:hAnsi="Times New Roman"/>
          <w:sz w:val="18"/>
          <w:szCs w:val="18"/>
          <w:color w:val="auto"/>
        </w:rPr>
        <w:t>The geographic composition of SCP’s portfolio at fair value as of September 30, 2026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6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7"/>
                <w:szCs w:val="17"/>
                <w:color w:val="auto"/>
              </w:rPr>
            </w:pPr>
          </w:p>
        </w:tc>
        <w:tc>
          <w:tcPr>
            <w:tcW w:w="14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 of Fair Value</w:t>
            </w:r>
          </w:p>
        </w:tc>
        <w:tc>
          <w:tcPr>
            <w:tcW w:w="140" w:type="dxa"/>
            <w:vAlign w:val="bottom"/>
          </w:tcPr>
          <w:p>
            <w:pPr>
              <w:spacing w:after="0"/>
              <w:rPr>
                <w:sz w:val="17"/>
                <w:szCs w:val="17"/>
                <w:color w:val="auto"/>
              </w:rPr>
            </w:pPr>
          </w:p>
        </w:tc>
      </w:tr>
      <w:tr>
        <w:trPr>
          <w:trHeight w:val="196"/>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Australia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26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22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Austria</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Canada</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21,171</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France</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10,609</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10,619</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Germany</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13,518</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0.6%</w:t>
            </w:r>
          </w:p>
        </w:tc>
      </w:tr>
      <w:tr>
        <w:trPr>
          <w:trHeight w:val="203"/>
        </w:trPr>
        <w:tc>
          <w:tcPr>
            <w:tcW w:w="62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Ireland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Luxembourg</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24,686</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Netherlands</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23,521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23,636</w:t>
            </w:r>
          </w:p>
        </w:tc>
        <w:tc>
          <w:tcPr>
            <w:tcW w:w="1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United Kingdom</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30,834</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2,008,590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2,006,466</w:t>
            </w:r>
          </w:p>
        </w:tc>
        <w:tc>
          <w:tcPr>
            <w:tcW w:w="2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93.9%</w:t>
            </w:r>
          </w:p>
        </w:tc>
      </w:tr>
      <w:tr>
        <w:trPr>
          <w:trHeight w:val="20"/>
        </w:trPr>
        <w:tc>
          <w:tcPr>
            <w:tcW w:w="6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62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2,138,270</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2,135,823</w:t>
            </w: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6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-161925</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-161925</wp:posOffset>
            </wp:positionV>
            <wp:extent cx="6858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-161925</wp:posOffset>
            </wp:positionV>
            <wp:extent cx="939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sums to less than 0.1%.</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The fair value of the Company’s Revolving Credit Facility, which is categorized as Level 3 within the fair value hierarchy, as of September 30, 2026 and December 31, 2025, approximates its carrying value as the outstanding balance is callable at carrying value.</w:t>
      </w:r>
    </w:p>
    <w:p>
      <w:pPr>
        <w:spacing w:after="0" w:line="54"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2026 Notes, 2028 Notes, 2029 Notes, 2030 Notes and 2031 Notes as of September 30, 2026 and December 31, 2025.</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2"/>
                <w:szCs w:val="12"/>
                <w:color w:val="auto"/>
              </w:rPr>
            </w:pPr>
          </w:p>
        </w:tc>
      </w:tr>
      <w:tr>
        <w:trPr>
          <w:trHeight w:val="175"/>
        </w:trPr>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5"/>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5"/>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9"/>
                <w:szCs w:val="19"/>
                <w:b w:val="1"/>
                <w:bCs w:val="1"/>
                <w:color w:val="auto"/>
                <w:vertAlign w:val="superscript"/>
              </w:rPr>
              <w:t>(1)</w:t>
            </w:r>
          </w:p>
        </w:tc>
        <w:tc>
          <w:tcPr>
            <w:tcW w:w="80" w:type="dxa"/>
            <w:vAlign w:val="bottom"/>
          </w:tcPr>
          <w:p>
            <w:pPr>
              <w:spacing w:after="0"/>
              <w:rPr>
                <w:sz w:val="15"/>
                <w:szCs w:val="15"/>
                <w:color w:val="auto"/>
              </w:rPr>
            </w:pPr>
          </w:p>
        </w:tc>
      </w:tr>
      <w:tr>
        <w:trPr>
          <w:trHeight w:val="21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Notes</w:t>
            </w: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296,659</w:t>
            </w:r>
          </w:p>
        </w:tc>
        <w:tc>
          <w:tcPr>
            <w:tcW w:w="8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2028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314,473</w:t>
            </w:r>
          </w:p>
        </w:tc>
        <w:tc>
          <w:tcPr>
            <w:tcW w:w="80" w:type="dxa"/>
            <w:vAlign w:val="bottom"/>
          </w:tcPr>
          <w:p>
            <w:pPr>
              <w:spacing w:after="0"/>
              <w:rPr>
                <w:sz w:val="18"/>
                <w:szCs w:val="18"/>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348,327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361,359</w:t>
            </w:r>
          </w:p>
        </w:tc>
        <w:tc>
          <w:tcPr>
            <w:tcW w:w="8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2030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303,186</w:t>
            </w:r>
          </w:p>
        </w:tc>
        <w:tc>
          <w:tcPr>
            <w:tcW w:w="80" w:type="dxa"/>
            <w:vAlign w:val="bottom"/>
          </w:tcPr>
          <w:p>
            <w:pPr>
              <w:spacing w:after="0"/>
              <w:rPr>
                <w:sz w:val="18"/>
                <w:szCs w:val="18"/>
                <w:color w:val="auto"/>
              </w:rPr>
            </w:pPr>
          </w:p>
        </w:tc>
      </w:tr>
      <w:tr>
        <w:trPr>
          <w:trHeight w:val="216"/>
        </w:trPr>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 Notes</w:t>
            </w: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283,761</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3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1,226,254</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1,275,677</w:t>
            </w:r>
          </w:p>
        </w:tc>
        <w:tc>
          <w:tcPr>
            <w:tcW w:w="8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-170815</wp:posOffset>
            </wp:positionV>
            <wp:extent cx="5143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5143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5143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The fair value is based on broker quotes received by the Company and is categorized as Level 2 within the fair value hierarchy.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Assets and Liabilities</w:t>
      </w:r>
    </w:p>
    <w:p>
      <w:pPr>
        <w:spacing w:after="0" w:line="11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assets and liabilities, other than investments at fair value and the 2026 Notes, 2028 Notes, 2029 Notes, 2030 Notes and 2031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right="320" w:firstLine="255"/>
        <w:spacing w:after="0" w:line="266" w:lineRule="auto"/>
        <w:rPr>
          <w:sz w:val="20"/>
          <w:szCs w:val="20"/>
          <w:color w:val="auto"/>
        </w:rPr>
      </w:pPr>
      <w:r>
        <w:rPr>
          <w:rFonts w:ascii="Times New Roman" w:cs="Times New Roman" w:eastAsia="Times New Roman" w:hAnsi="Times New Roman"/>
          <w:sz w:val="18"/>
          <w:szCs w:val="18"/>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the “Revolving Credit Facility”).</w:t>
      </w:r>
    </w:p>
    <w:p>
      <w:pPr>
        <w:spacing w:after="0" w:line="176" w:lineRule="exact"/>
        <w:rPr>
          <w:sz w:val="20"/>
          <w:szCs w:val="20"/>
          <w:color w:val="auto"/>
        </w:rPr>
      </w:pPr>
    </w:p>
    <w:p>
      <w:pPr>
        <w:ind w:right="120" w:firstLine="255"/>
        <w:spacing w:after="0" w:line="257" w:lineRule="auto"/>
        <w:rPr>
          <w:sz w:val="20"/>
          <w:szCs w:val="20"/>
          <w:color w:val="auto"/>
        </w:rPr>
      </w:pPr>
      <w:r>
        <w:rPr>
          <w:rFonts w:ascii="Times New Roman" w:cs="Times New Roman" w:eastAsia="Times New Roman" w:hAnsi="Times New Roman"/>
          <w:sz w:val="18"/>
          <w:szCs w:val="18"/>
          <w:color w:val="auto"/>
        </w:rPr>
        <w:t>As of September 30, 2026, aggregate commitments under the Revolving Credit Facility were $1.525 billion. The Revolving Credit Facility includes an uncommitted accordion feature that allows the Company, under certain circumstances, to increase the size of the Revolving Credit Facility to up to $2.5 billion.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Pursuant to the Seventeenth Amendment dated May 1, 2026, the revolving period, during which period we, subject to certain conditions, may make borrowings under the Revolving Credit Facility, was extended to May 1, 2030 and the stated maturity date was extended to May 1, 2031.</w:t>
      </w:r>
    </w:p>
    <w:p>
      <w:pPr>
        <w:spacing w:after="0" w:line="162"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September 30, 2026, the Company had outstanding debt denominated in Australian dollars (AUD) of 3.0 million, British pounds (GBP) of 48.1 million, Canadian dollars (CAD) of 5.0 million, Swedish Krona (SEK) of 411.2 million and Euro (EUR) of 287.7 million on its Revolving Credit Facility, included in the Outstanding Principal amount in the table below. As of December 31, 2025, the Company had outstanding debt denominated in Australian dollars (AUD) of 3.0 million, British pounds (GBP) of 48.5 million, Canadian dollars (CAD) of 5.0 million, Swedish Krona (SEK) of 218.0 million and Euro (EUR) of 245.9 million on its Revolving Credit Facility, included in the Outstanding Principal amount in the table below.</w:t>
      </w:r>
    </w:p>
    <w:p>
      <w:pPr>
        <w:spacing w:after="0" w:line="18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$75 million. As of September 30, 2026 and December 31, 2025, the Company had $22.8 million and $21.7 million, respectively, in outstanding letters of credit issued through the Revolving Credit Facility. The amount available for borrowing under the Revolving Credit Facility is reduced by any letters of credit issued through the Revolving Credit Facility.</w:t>
      </w:r>
    </w:p>
    <w:p>
      <w:pPr>
        <w:spacing w:after="0" w:line="180" w:lineRule="exact"/>
        <w:rPr>
          <w:sz w:val="20"/>
          <w:szCs w:val="20"/>
          <w:color w:val="auto"/>
        </w:rPr>
      </w:pPr>
    </w:p>
    <w:p>
      <w:pPr>
        <w:ind w:right="580" w:firstLine="255"/>
        <w:spacing w:after="0" w:line="276" w:lineRule="auto"/>
        <w:rPr>
          <w:sz w:val="20"/>
          <w:szCs w:val="20"/>
          <w:color w:val="auto"/>
        </w:rPr>
      </w:pPr>
      <w:r>
        <w:rPr>
          <w:rFonts w:ascii="Times New Roman" w:cs="Times New Roman" w:eastAsia="Times New Roman" w:hAnsi="Times New Roman"/>
          <w:sz w:val="17"/>
          <w:szCs w:val="17"/>
          <w:color w:val="auto"/>
        </w:rPr>
        <w:t>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0.525%, 0.65% or 0.775%,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0.325% per annum on the unused commitments and, in respect of each undrawn letter of credit, a fee and interest rate equal to the then applicable margin while the letter of credit is outstanding.</w:t>
      </w:r>
    </w:p>
    <w:p>
      <w:pPr>
        <w:spacing w:after="0" w:line="187"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76"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54" w:lineRule="exact"/>
        <w:rPr>
          <w:sz w:val="20"/>
          <w:szCs w:val="20"/>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$650 million plus 25% of the net proceeds of the sale of equity interests after April 24, 2024; and</w:t>
      </w:r>
    </w:p>
    <w:p>
      <w:pPr>
        <w:spacing w:after="0" w:line="117" w:lineRule="exact"/>
        <w:rPr>
          <w:rFonts w:ascii="Times New Roman" w:cs="Times New Roman" w:eastAsia="Times New Roman" w:hAnsi="Times New Roman"/>
          <w:sz w:val="18"/>
          <w:szCs w:val="18"/>
          <w:color w:val="auto"/>
        </w:rPr>
      </w:pPr>
    </w:p>
    <w:p>
      <w:pPr>
        <w:ind w:left="520" w:right="320" w:hanging="257"/>
        <w:spacing w:after="0" w:line="261"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asset coverage ratio of no less than 1.5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180"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also contains certain additional concentration limits in connection with the calculation of the borrowing base, based on the Obligor Asset Coverage Ratio.</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2026 and December 31, 2025, the Company was in compliance with the terms of the Revolving Credit Facility.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119"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In February 2021, the Company issued $300.0 million aggregate principal amount of unsecured notes that matured on August 1, 2026 (the “2026 Notes”). The principal amount of the 2026 Notes was payable at maturity. The 2026 Notes bore interest at a rate of 2.50% per year, payable semi-annually commencing on August 1, 2021, and were able to be redeemed in whole or in part at the Company’s option at any time at par plus a “make whole” premium. Total proceeds from the issuance of the 2026 Notes, net of underwriting discounts and estimated offering costs, were $293.7 million. The Company used the net proceeds of the 2026 Notes to repay outstanding indebtedness under the Revolving Credit Facility.</w:t>
      </w:r>
    </w:p>
    <w:p>
      <w:pPr>
        <w:spacing w:after="0" w:line="183"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The Company's 2026 Notes matured on August 1, 2026 and were fully repaid. The corresponding swap transaction associated with the issuance of the 2026 Notes also matured on August 1, 2026.</w:t>
      </w: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2028 Notes</w:t>
      </w:r>
    </w:p>
    <w:p>
      <w:pPr>
        <w:spacing w:after="0" w:line="11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In August 2023, the Company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 underwriting discounts, offering costs and original issue discount, were $293.9 million. The Company used the net proceeds of the 2028 Notes to repay outstanding indebtedness under the Revolving Credit Facility.</w:t>
      </w:r>
    </w:p>
    <w:p>
      <w:pPr>
        <w:spacing w:after="0" w:line="75"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 million, which matures on August 14, 2028, matching the maturity date of the 2028 Notes. As a result of the swap, the Company’s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September 30, 2026 and December 31, 2025, the effective hedge interest rate swaps had a fair value of $(4.3) million and $4.5 million, respectively, which is offset within interest expense by an equal, but opposite, fair value change for the hedged risk on the 2028 Notes.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119"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In January 2024, the Company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$341.6 million. The Company used the net proceeds of the 2029 Notes to repay outstanding indebtedness under the Revolving Credit Facility.</w:t>
      </w:r>
    </w:p>
    <w:p>
      <w:pPr>
        <w:spacing w:after="0" w:line="75"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2029 Notes, the Company entered into an interest rate swap to align the interest rates of its liabilities with the Company’s investment portfolio, which consists of predominately floating rate loans. The notional amount of the interest rate swap is $350.0 million, which matures on March 1, 2029, matching the maturity date of the 2029 Notes. As a result of the swap, the Company’s effective interest rate on the 2029 Notes is SOFR plus 2.44%. The interest expense related to the 2029 Notes is offset by proceeds received from the interest rate swaps designated as a hedge. The swap adjusted interest expense is included as a component of interest expense on the Company’s Consolidated Statements of Operations. As of September 30, 2026 and December 31, 2025, the effective hedge interest rate swaps had a fair value of $(8.7) million and $3.3 million, respectively, which is offset within interest expense by an equal, but opposite, fair value change for the hedged risk on the 2029 Notes.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11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In February 2025, the Company issued $300.0 million aggregate principal amount of unsecured notes that mature on August 15, 2030 (the “2030 Notes”). The principal amount of the 2030 Notes is payable at maturity. The 2030 Notes bear interest at a rate of 5.625% per year, payable semi-annually commencing on August 15, 2025, and may be redeemed in whole or in part at our option at any time at par plus a “make whole” premium. Total proceeds from the issuance of the 2030 Notes, net of underwriting discounts, offering costs and original issue discount, were $293.4 million. The Company used the net proceeds of the 2030 Notes to repay outstanding indebtedness under the Revolving Credit Facility.</w:t>
      </w:r>
    </w:p>
    <w:p>
      <w:pPr>
        <w:spacing w:after="0" w:line="75"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2030 Notes, the Company entered into an interest rate swap to align the interest rates of its liabilities with the Company’s investment portfolio, which consists of predominately floating rate loans. The notional amount of the interest rate swap is $300.0 million, which matures on August 15, 2030, matching the maturity date of the 2030 Notes. As a result of the swap, the Company's effective interest rate on the 2030 Notes is SOFR plus 1.53%. The interest expense related to the 2030 Notes is offset by proceeds received from the interest rate swaps designated as a hedge. The swap adjusted interest expense is included as a component of interest expense on the Company’s Consolidated Statements of Operations. As of September 30, 2026 and December 31, 2025, the effective hedge interest rate swaps had a fair value of $(7.4) million and $8.3 million, respectively, which is offset within interest expense by an equal, but opposite, fair value change for the hedged risk on the 2030 Notes.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2031 Notes</w:t>
      </w:r>
    </w:p>
    <w:p>
      <w:pPr>
        <w:spacing w:after="0" w:line="119" w:lineRule="exact"/>
        <w:rPr>
          <w:sz w:val="20"/>
          <w:szCs w:val="20"/>
          <w:color w:val="auto"/>
        </w:rPr>
      </w:pPr>
    </w:p>
    <w:p>
      <w:pPr>
        <w:ind w:right="20" w:firstLine="255"/>
        <w:spacing w:after="0" w:line="269" w:lineRule="auto"/>
        <w:rPr>
          <w:sz w:val="20"/>
          <w:szCs w:val="20"/>
          <w:color w:val="auto"/>
        </w:rPr>
      </w:pPr>
      <w:r>
        <w:rPr>
          <w:rFonts w:ascii="Times New Roman" w:cs="Times New Roman" w:eastAsia="Times New Roman" w:hAnsi="Times New Roman"/>
          <w:sz w:val="17"/>
          <w:szCs w:val="17"/>
          <w:color w:val="auto"/>
        </w:rPr>
        <w:t>In May 2026, the Company issued $300.0 million aggregate principal amount of unsecured notes that mature on August 15, 2031 (the “2031 Notes”). The principal amount of the 2031 Notes is payable at maturity. The 2031 Notes bear interest at a rate of 5.65% per year, payable semi-annually commencing on February 15, 2027, and may be redeemed in whole or in part at our option at any time at par plus a “make whole” premium. Total proceeds from the issuance of the 2031 Notes, net of underwriting discounts, offering costs and original issue discount, were $294.3 million. The Company used the net proceeds of the 2031 Notes to repay a portion of the outstanding indebtedness under the Revolving Credit Facility and for general corporate purposes.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48" w:name="page49"/>
    <w:bookmarkEnd w:id="48"/>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2031 Notes, the Company entered into an interest rate swap to align the interest rates of its liabilities with the Company’s investment portfolio, which consists of predominately floating rate loans. The notional amount of the interest rate swap is $300.0 million, which matures on August 15, 2031, matching the maturity date of the 2031 Notes. As a result of the swap, the Company’s effective interest rate on the 2031 Notes is SOFR plus 1.85%. The interest expense related to the 2031 Notes is offset by proceeds received from the interest rate swaps designated as a hedge. The swap adjusted interest expense is included as a component of interest expense on the Company’s Consolidated Statements of Operations. As of September 30, 2026, the effective hedge interest rate swaps had a fair value of $(13.3) million, which is offset within interest expense by an equal, but opposite, fair value change for the hedged risk on the 2031 Notes.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three and nine months ended September 30, 2026 and 2025, the components of interest expense related to the 2026 Notes, 2028 Notes, 2029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2030 Notes and 2031 Notes were as follows:</w:t>
      </w:r>
    </w:p>
    <w:p>
      <w:pPr>
        <w:spacing w:after="0" w:line="146"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2"/>
                <w:szCs w:val="12"/>
                <w:color w:val="auto"/>
              </w:rPr>
            </w:pPr>
          </w:p>
        </w:tc>
        <w:tc>
          <w:tcPr>
            <w:tcW w:w="13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2"/>
                <w:szCs w:val="12"/>
                <w:color w:val="auto"/>
              </w:rPr>
            </w:pPr>
          </w:p>
        </w:tc>
        <w:tc>
          <w:tcPr>
            <w:tcW w:w="12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2"/>
                <w:szCs w:val="12"/>
                <w:color w:val="auto"/>
              </w:rPr>
            </w:pPr>
          </w:p>
        </w:tc>
      </w:tr>
      <w:tr>
        <w:trPr>
          <w:trHeight w:val="20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19,653</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16,666</w:t>
            </w:r>
          </w:p>
        </w:tc>
        <w:tc>
          <w:tcPr>
            <w:tcW w:w="58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55,197</w:t>
            </w:r>
          </w:p>
        </w:tc>
        <w:tc>
          <w:tcPr>
            <w:tcW w:w="80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47,466</w:t>
            </w:r>
          </w:p>
        </w:tc>
        <w:tc>
          <w:tcPr>
            <w:tcW w:w="100" w:type="dxa"/>
            <w:vAlign w:val="bottom"/>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18"/>
                <w:szCs w:val="18"/>
                <w:color w:val="auto"/>
              </w:rPr>
            </w:pPr>
          </w:p>
        </w:tc>
      </w:tr>
      <w:tr>
        <w:trPr>
          <w:trHeight w:val="216"/>
        </w:trPr>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6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w:t>
            </w:r>
          </w:p>
        </w:tc>
        <w:tc>
          <w:tcPr>
            <w:tcW w:w="58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59,505</w:t>
            </w:r>
          </w:p>
        </w:tc>
        <w:tc>
          <w:tcPr>
            <w:tcW w:w="8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51,212</w:t>
            </w:r>
          </w:p>
        </w:tc>
        <w:tc>
          <w:tcPr>
            <w:tcW w:w="100" w:type="dxa"/>
            <w:vAlign w:val="bottom"/>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-170815</wp:posOffset>
            </wp:positionV>
            <wp:extent cx="596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032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-170815</wp:posOffset>
            </wp:positionV>
            <wp:extent cx="596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related to the 2026 Notes, 2028 Notes, 2029 Notes, 2030 Notes and 2031 Notes. During the three and nine months ended September 30, 2026, the Company received $19.8 million and $55.0 million, respectively, and paid $20.7 million and $59.8 million respectively, related to the settlements of its interest rate swaps related to the 2026 Notes, 2028 Notes, 2029 Notes, 2030 Notes and 2031 Notes. During the three and nine months ended September 30, 2025, the Company received $16.7 million and $47.1 million, respectively, and paid $21.3 million and $59.9 million, respectively, related to the settlements of its interest rate swaps related to the 2026 Notes, 2028 Notes, 2029 Notes and 2030 Notes. These net amounts are included in interest expense in the Company’s Consolidated Statements of Operations. Please see Note 5 for further information about the Company’s interest rate swaps.</w:t>
      </w:r>
    </w:p>
    <w:p>
      <w:pPr>
        <w:spacing w:after="0" w:line="189"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8"/>
          <w:szCs w:val="18"/>
          <w:color w:val="auto"/>
        </w:rPr>
        <w:t>As of September 30, 2026, the components of the carrying value of the 2028 Notes, 2029 Notes, 2030 Notes and 2031 Notes and the stated interest rates were as follows:</w:t>
      </w:r>
    </w:p>
    <w:p>
      <w:pPr>
        <w:ind w:left="7100"/>
        <w:spacing w:after="0"/>
        <w:rPr>
          <w:sz w:val="20"/>
          <w:szCs w:val="20"/>
          <w:color w:val="auto"/>
        </w:rPr>
      </w:pPr>
      <w:r>
        <w:rPr>
          <w:rFonts w:ascii="Times New Roman" w:cs="Times New Roman" w:eastAsia="Times New Roman" w:hAnsi="Times New Roman"/>
          <w:sz w:val="14"/>
          <w:szCs w:val="14"/>
          <w:b w:val="1"/>
          <w:bCs w:val="1"/>
          <w:color w:val="auto"/>
        </w:rPr>
        <w:t>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-3175</wp:posOffset>
            </wp:positionV>
            <wp:extent cx="31115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2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Principal amount of debt</w:t>
      </w:r>
    </w:p>
    <w:p>
      <w:pPr>
        <w:spacing w:after="0" w:line="27" w:lineRule="exact"/>
        <w:rPr>
          <w:sz w:val="20"/>
          <w:szCs w:val="20"/>
          <w:color w:val="auto"/>
        </w:rPr>
      </w:pPr>
    </w:p>
    <w:p>
      <w:pPr>
        <w:ind w:left="920" w:right="760"/>
        <w:spacing w:after="0" w:line="250" w:lineRule="auto"/>
        <w:rPr>
          <w:sz w:val="20"/>
          <w:szCs w:val="20"/>
          <w:color w:val="auto"/>
        </w:rPr>
      </w:pPr>
      <w:r>
        <w:rPr>
          <w:rFonts w:ascii="Times New Roman" w:cs="Times New Roman" w:eastAsia="Times New Roman" w:hAnsi="Times New Roman"/>
          <w:sz w:val="18"/>
          <w:szCs w:val="18"/>
          <w:color w:val="auto"/>
        </w:rPr>
        <w:t>Original issue discount, net of accretion Deferred financing costs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Fair value of an effective hedge</w:t>
      </w:r>
    </w:p>
    <w:p>
      <w:pPr>
        <w:spacing w:after="0" w:line="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Carrying value of debt</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Stated interest rate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2028 Notes</w:t>
            </w:r>
          </w:p>
        </w:tc>
        <w:tc>
          <w:tcPr>
            <w:tcW w:w="16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2030 Notes</w:t>
            </w:r>
          </w:p>
        </w:tc>
        <w:tc>
          <w:tcPr>
            <w:tcW w:w="12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2031 Notes</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350,000</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300,000</w:t>
            </w:r>
          </w:p>
        </w:tc>
        <w:tc>
          <w:tcPr>
            <w:tcW w:w="26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300,000</w:t>
            </w:r>
          </w:p>
        </w:tc>
        <w:tc>
          <w:tcPr>
            <w:tcW w:w="1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(743)</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(2,651)</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(2,544)</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(1,618)</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(2,901)</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(3,934)</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(4,267)</w:t>
            </w:r>
          </w:p>
        </w:tc>
        <w:tc>
          <w:tcPr>
            <w:tcW w:w="16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(8,728)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(7,444)</w:t>
            </w: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(13,253)</w:t>
            </w:r>
          </w:p>
        </w:tc>
      </w:tr>
      <w:tr>
        <w:trPr>
          <w:trHeight w:val="210"/>
        </w:trPr>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293,372</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337,167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287,004</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280,269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-868045</wp:posOffset>
            </wp:positionV>
            <wp:extent cx="5983605" cy="13716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983605" cy="137160"/>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-593725</wp:posOffset>
            </wp:positionV>
            <wp:extent cx="5983605" cy="13716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983605" cy="137160"/>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-311150</wp:posOffset>
            </wp:positionV>
            <wp:extent cx="5983605" cy="16256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983605" cy="16256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4540" w:space="720"/>
            <w:col w:w="5980"/>
          </w:cols>
          <w:pgMar w:left="320" w:top="1093" w:right="339" w:bottom="1440" w:gutter="0" w:footer="0" w:header="0"/>
          <w:type w:val="continuous"/>
        </w:sectPr>
      </w:pPr>
    </w:p>
    <w:p>
      <w:pPr>
        <w:ind w:right="40" w:firstLine="255"/>
        <w:spacing w:after="0" w:line="257" w:lineRule="auto"/>
        <w:rPr>
          <w:sz w:val="20"/>
          <w:szCs w:val="20"/>
          <w:color w:val="auto"/>
        </w:rPr>
      </w:pPr>
      <w:r>
        <w:rPr>
          <w:rFonts w:ascii="Times New Roman" w:cs="Times New Roman" w:eastAsia="Times New Roman" w:hAnsi="Times New Roman"/>
          <w:sz w:val="18"/>
          <w:szCs w:val="18"/>
          <w:color w:val="auto"/>
        </w:rPr>
        <w:t>As of December 31, 2025, the components of the carrying value of the 2026 Notes, 2028 Notes, 2029 Notes and 2030 Notes and the stated interest rates were as follows:</w:t>
      </w:r>
    </w:p>
    <w:p>
      <w:pPr>
        <w:ind w:left="720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-3175</wp:posOffset>
            </wp:positionV>
            <wp:extent cx="300863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p>
      <w:pPr>
        <w:spacing w:after="0" w:line="2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Principal amount of debt</w:t>
      </w:r>
    </w:p>
    <w:p>
      <w:pPr>
        <w:spacing w:after="0" w:line="27" w:lineRule="exact"/>
        <w:rPr>
          <w:sz w:val="20"/>
          <w:szCs w:val="20"/>
          <w:color w:val="auto"/>
        </w:rPr>
      </w:pPr>
    </w:p>
    <w:p>
      <w:pPr>
        <w:ind w:left="920" w:right="920"/>
        <w:spacing w:after="0" w:line="250" w:lineRule="auto"/>
        <w:rPr>
          <w:sz w:val="20"/>
          <w:szCs w:val="20"/>
          <w:color w:val="auto"/>
        </w:rPr>
      </w:pPr>
      <w:r>
        <w:rPr>
          <w:rFonts w:ascii="Times New Roman" w:cs="Times New Roman" w:eastAsia="Times New Roman" w:hAnsi="Times New Roman"/>
          <w:sz w:val="18"/>
          <w:szCs w:val="18"/>
          <w:color w:val="auto"/>
        </w:rPr>
        <w:t>Original issue discount, net of accretion Deferred financing costs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Fair value of an effective hedge</w:t>
      </w:r>
    </w:p>
    <w:p>
      <w:pPr>
        <w:spacing w:after="0" w:line="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Carrying value of debt</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Stated interest rate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2026 Notes</w:t>
            </w:r>
          </w:p>
        </w:tc>
        <w:tc>
          <w:tcPr>
            <w:tcW w:w="16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2028 Notes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12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2030 Notes</w:t>
            </w:r>
          </w:p>
        </w:tc>
      </w:tr>
      <w:tr>
        <w:trPr>
          <w:trHeight w:val="191"/>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300,000</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350,000</w:t>
            </w:r>
          </w:p>
        </w:tc>
        <w:tc>
          <w:tcPr>
            <w:tcW w:w="26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300,000</w:t>
            </w:r>
          </w:p>
        </w:tc>
        <w:tc>
          <w:tcPr>
            <w:tcW w:w="1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(3,099)</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(3,115)</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(3,461)</w:t>
            </w: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(5,785)</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293,530</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301,216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347,985</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301,724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-868045</wp:posOffset>
            </wp:positionV>
            <wp:extent cx="5983605" cy="13716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983605" cy="137160"/>
                    </a:xfrm>
                    <a:prstGeom prst="rect">
                      <a:avLst/>
                    </a:prstGeom>
                    <a:noFill/>
                  </pic:spPr>
                </pic:pic>
              </a:graphicData>
            </a:graphic>
          </wp:anchor>
        </w:drawing>
        <w:drawing>
          <wp:anchor simplePos="0" relativeHeight="251657728" behindDoc="1" locked="0" layoutInCell="0" allowOverlap="1">
            <wp:simplePos x="0" y="0"/>
            <wp:positionH relativeFrom="column">
              <wp:posOffset>-2861945</wp:posOffset>
            </wp:positionH>
            <wp:positionV relativeFrom="paragraph">
              <wp:posOffset>-593725</wp:posOffset>
            </wp:positionV>
            <wp:extent cx="5983605" cy="13716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983605" cy="137160"/>
                    </a:xfrm>
                    <a:prstGeom prst="rect">
                      <a:avLst/>
                    </a:prstGeom>
                    <a:noFill/>
                  </pic:spPr>
                </pic:pic>
              </a:graphicData>
            </a:graphic>
          </wp:anchor>
        </w:drawing>
        <w:drawing>
          <wp:anchor simplePos="0" relativeHeight="251657728" behindDoc="1" locked="0" layoutInCell="0" allowOverlap="1">
            <wp:simplePos x="0" y="0"/>
            <wp:positionH relativeFrom="column">
              <wp:posOffset>-2861945</wp:posOffset>
            </wp:positionH>
            <wp:positionV relativeFrom="paragraph">
              <wp:posOffset>-311150</wp:posOffset>
            </wp:positionV>
            <wp:extent cx="5983605" cy="16256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983605" cy="16256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4700" w:space="720"/>
            <w:col w:w="5820"/>
          </w:cols>
          <w:pgMar w:left="320" w:top="1093" w:right="339" w:bottom="1440" w:gutter="0" w:footer="0" w:header="0"/>
          <w:type w:val="continuous"/>
        </w:sect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As of September 30, 2026, the Company's swap-adjusted interest rate on the 2028 Notes, 2029 Notes, 2030 Notes and 2031 Notes was SOFR plus 2.99%, 2.44%, 1.53% and 1.85%, respectively. As of December 31, 2025, the Company's swap-adjusted interest rate on the 2026 Notes, 2028 Notes, 2029 Notes and 2030 Notes was SOFR plus 2.17%, 2.99%, 2.44% and 1.53%, respectively.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9" w:name="page50"/>
    <w:bookmarkEnd w:id="49"/>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was in compliance with the terms of the indentures governing the 2026 Notes, 2028 Notes, 2029 Notes, 2030 Notes and 2031 Notes.</w:t>
      </w:r>
    </w:p>
    <w:p>
      <w:pPr>
        <w:spacing w:after="0" w:line="162" w:lineRule="exact"/>
        <w:rPr>
          <w:sz w:val="20"/>
          <w:szCs w:val="20"/>
          <w:color w:val="auto"/>
        </w:rPr>
      </w:pPr>
    </w:p>
    <w:p>
      <w:pPr>
        <w:ind w:right="300" w:firstLine="255"/>
        <w:spacing w:after="0" w:line="266" w:lineRule="auto"/>
        <w:rPr>
          <w:sz w:val="20"/>
          <w:szCs w:val="20"/>
          <w:color w:val="auto"/>
        </w:rPr>
      </w:pPr>
      <w:r>
        <w:rPr>
          <w:rFonts w:ascii="Times New Roman" w:cs="Times New Roman" w:eastAsia="Times New Roman" w:hAnsi="Times New Roman"/>
          <w:sz w:val="18"/>
          <w:szCs w:val="18"/>
          <w:color w:val="auto"/>
        </w:rPr>
        <w:t>In accordance with the 1940 Act, with certain limitations, the Company is allowed to borrow amounts such that its asset coverage, as defined in the 1940 Act, is at least 150% after such borrowing. As of September 30, 2026 and December 31, 2025, the Company’s asset coverage was 180.2% and 191.5%, respectively.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September 30, 2026 and December 31, 2025:</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8"/>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1,525,000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690,467</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811,760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674,065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2028 Notes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2030 Notes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 Notes</w:t>
            </w: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2,775,000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1,940,467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811,760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-153670</wp:posOffset>
            </wp:positionV>
            <wp:extent cx="685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-153670</wp:posOffset>
            </wp:positionV>
            <wp:extent cx="6032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-153670</wp:posOffset>
            </wp:positionV>
            <wp:extent cx="596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-153670</wp:posOffset>
            </wp:positionV>
            <wp:extent cx="6032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right="120" w:hanging="512"/>
        <w:spacing w:after="0" w:line="26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outstanding letters of credit, reserve for near term Notes maturity and asset coverage requirements.</w:t>
      </w:r>
    </w:p>
    <w:p>
      <w:pPr>
        <w:jc w:val="both"/>
        <w:ind w:left="520" w:right="100" w:hanging="512"/>
        <w:spacing w:after="0" w:line="250"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2028 Notes, 2029 Notes, 2030 Notes and 2031 Notes are presented net of the combination of deferred financing costs and original issue discounts totaling $16.4 million, $2.4 million, $4.1 million, $5.6 million and $6.5 million, respectively.</w:t>
      </w:r>
    </w:p>
    <w:p>
      <w:pPr>
        <w:ind w:left="520" w:hanging="512"/>
        <w:spacing w:after="0" w:line="255"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2028 Notes, 2029 Notes, 2030 Notes and 2031 Notes are presented inclusive of an incremental $(4.3) million, $(8.7) million, $(7.4) million and $(13.3) million, respectively, which represents an adjustment in the carrying values of the 2028 Notes, 2029 Notes, 2030 Notes and 2031 Notes, each resulting from a hedge accounting relationship.</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8"/>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8"/>
                <w:szCs w:val="8"/>
                <w:b w:val="1"/>
                <w:bCs w:val="1"/>
                <w:color w:val="auto"/>
              </w:rPr>
              <w:t xml:space="preserve"> (2)(3)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1,675,000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513,915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1,139,337</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2026 Notes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 Notes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2029 Notes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 Notes</w:t>
            </w: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301,724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2,925,000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1,763,915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1,139,337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-170815</wp:posOffset>
            </wp:positionV>
            <wp:extent cx="6858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-170815</wp:posOffset>
            </wp:positionV>
            <wp:extent cx="6032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596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right="160" w:hanging="512"/>
        <w:spacing w:after="0" w:line="261"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outstanding letters of credit and asset coverage requirements.</w:t>
      </w:r>
    </w:p>
    <w:p>
      <w:pPr>
        <w:jc w:val="both"/>
        <w:ind w:left="520" w:right="100" w:hanging="512"/>
        <w:spacing w:after="0" w:line="250"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2026 Notes, 2028 Notes, 2029 Notes and 2030 Notes are presented net of the combination of deferred financing costs and original issue discounts totaling $15.1 million, $0.7 million, $3.3 million, $5.3 million and $6.6 million, respectively.</w:t>
      </w: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2026 Notes, 2028 Notes, 2029 Notes and 2030 Notes are presented inclusive of an incremental $(5.8) million, $4.5</w:t>
      </w:r>
    </w:p>
    <w:p>
      <w:pPr>
        <w:spacing w:after="0" w:line="9" w:lineRule="exact"/>
        <w:rPr>
          <w:sz w:val="20"/>
          <w:szCs w:val="20"/>
          <w:color w:val="auto"/>
        </w:rPr>
      </w:pPr>
    </w:p>
    <w:p>
      <w:pPr>
        <w:ind w:left="520" w:right="340"/>
        <w:spacing w:after="0" w:line="250" w:lineRule="auto"/>
        <w:rPr>
          <w:sz w:val="20"/>
          <w:szCs w:val="20"/>
          <w:color w:val="auto"/>
        </w:rPr>
      </w:pPr>
      <w:r>
        <w:rPr>
          <w:rFonts w:ascii="Times New Roman" w:cs="Times New Roman" w:eastAsia="Times New Roman" w:hAnsi="Times New Roman"/>
          <w:sz w:val="18"/>
          <w:szCs w:val="18"/>
          <w:color w:val="auto"/>
        </w:rPr>
        <w:t>million, $3.3 million and $8.3 million, respectively, which represents an adjustment in the carrying values of the 2026 Notes, 2028 Notes, 2029 Notes and 2030 Notes, each resulting from a hedge accounting relationship.</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0" w:name="page51"/>
    <w:bookmarkEnd w:id="50"/>
    <w:p>
      <w:pPr>
        <w:ind w:left="260"/>
        <w:spacing w:after="0"/>
        <w:rPr>
          <w:sz w:val="20"/>
          <w:szCs w:val="20"/>
          <w:color w:val="auto"/>
        </w:rPr>
      </w:pPr>
      <w:r>
        <w:rPr>
          <w:rFonts w:ascii="Times New Roman" w:cs="Times New Roman" w:eastAsia="Times New Roman" w:hAnsi="Times New Roman"/>
          <w:sz w:val="18"/>
          <w:szCs w:val="18"/>
          <w:color w:val="auto"/>
        </w:rPr>
        <w:t>For the three and nine months ended September 30, 2026 and 2025, the components of interest expense were as follows:</w:t>
      </w:r>
    </w:p>
    <w:p>
      <w:pPr>
        <w:spacing w:after="0" w:line="219"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2"/>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2"/>
                <w:szCs w:val="12"/>
                <w:color w:val="auto"/>
              </w:rPr>
            </w:pPr>
          </w:p>
        </w:tc>
      </w:tr>
      <w:tr>
        <w:trPr>
          <w:trHeight w:val="21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74,312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76,205</w:t>
            </w:r>
          </w:p>
        </w:tc>
        <w:tc>
          <w:tcPr>
            <w:tcW w:w="180" w:type="dxa"/>
            <w:vAlign w:val="bottom"/>
            <w:shd w:val="clear" w:color="auto" w:fill="CFF0FC"/>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80" w:type="dxa"/>
            <w:vAlign w:val="bottom"/>
          </w:tcPr>
          <w:p>
            <w:pPr>
              <w:spacing w:after="0"/>
              <w:rPr>
                <w:sz w:val="18"/>
                <w:szCs w:val="18"/>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80" w:type="dxa"/>
            <w:vAlign w:val="bottom"/>
            <w:shd w:val="clear" w:color="auto" w:fill="CFF0FC"/>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80" w:type="dxa"/>
            <w:vAlign w:val="bottom"/>
          </w:tcPr>
          <w:p>
            <w:pPr>
              <w:spacing w:after="0"/>
              <w:rPr>
                <w:sz w:val="18"/>
                <w:szCs w:val="18"/>
                <w:color w:val="auto"/>
              </w:rPr>
            </w:pPr>
          </w:p>
        </w:tc>
      </w:tr>
      <w:tr>
        <w:trPr>
          <w:trHeight w:val="216"/>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Swap settlement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12,772</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31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98,003</w:t>
            </w:r>
          </w:p>
        </w:tc>
        <w:tc>
          <w:tcPr>
            <w:tcW w:w="18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31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Average debt outstanding (in millions)</w:t>
            </w:r>
          </w:p>
        </w:tc>
        <w:tc>
          <w:tcPr>
            <w:tcW w:w="26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1,922.3</w:t>
            </w:r>
          </w:p>
        </w:tc>
        <w:tc>
          <w:tcPr>
            <w:tcW w:w="3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1,784.5</w:t>
            </w:r>
          </w:p>
        </w:tc>
        <w:tc>
          <w:tcPr>
            <w:tcW w:w="3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1,890.1</w:t>
            </w:r>
          </w:p>
        </w:tc>
        <w:tc>
          <w:tcPr>
            <w:tcW w:w="3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1,873.4</w:t>
            </w:r>
          </w:p>
        </w:tc>
        <w:tc>
          <w:tcPr>
            <w:tcW w:w="1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-307975</wp:posOffset>
            </wp:positionV>
            <wp:extent cx="11112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-307975</wp:posOffset>
            </wp:positionV>
            <wp:extent cx="11112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-307975</wp:posOffset>
            </wp:positionV>
            <wp:extent cx="11112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-307975</wp:posOffset>
            </wp:positionV>
            <wp:extent cx="11176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5.7%</w:t>
            </w:r>
          </w:p>
        </w:tc>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6.3%</w:t>
            </w:r>
          </w:p>
        </w:tc>
        <w:tc>
          <w:tcPr>
            <w:tcW w:w="16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As of September 30, 2026 and December 31, 2025, the Company had the following commitments to fund investments in current portfolio companies: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40" w:type="dxa"/>
            <w:vAlign w:val="bottom"/>
            <w:gridSpan w:val="2"/>
          </w:tcPr>
          <w:p>
            <w:pPr>
              <w:spacing w:after="0"/>
              <w:rPr>
                <w:sz w:val="15"/>
                <w:szCs w:val="15"/>
                <w:color w:val="auto"/>
              </w:rPr>
            </w:pPr>
          </w:p>
        </w:tc>
      </w:tr>
      <w:tr>
        <w:trPr>
          <w:trHeight w:val="210"/>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Alaska Bidco Oy - Delayed Draw &amp; Revolver</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Aledade, Inc. -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American Achievement, Corp. -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Arcwood Environmental, Inc. -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Arrowhead Pharmaceuticals, Inc. - Delayed Draw</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24,585</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27,643</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Artisan Bidco, Inc. -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AVSC Holding Corp. -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Azurite Intermediate Holdings, Inc. - Revolver &amp; Equity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Bayshore Intermediate #2, L.P. -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BCTO Ace Purchaser, Inc. - Delayed Draw &amp;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Cascade Parent Limited -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Cirrus (BidCo) Ltd - Delayed Draw</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Cordance Operations, LLC - Delayed Draw &amp;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Coupa Holdings, LLC - Delayed Draw &amp;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Crewline Buyer, Inc. - Revolver &amp; Equity</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Crucible Buyer, Inc. - Delayed Draw &amp;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EC Homecare Holdings Buyer Inc. - Delayed Draw &amp;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EDB Parent, LLC - Delayed Draw</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Elysian Finco Ltd. -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EMS Linq, Inc. -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Erling Lux Bidco SARL - Delayed Draw &amp;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Eventus Buyer, LLC - Delayed Draw &amp;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ExtraHop Networks, Inc. -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Flight Intermediate HoldCo, Inc. - Delayed Draw</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Galileo Parent, Inc. -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GreenShoot BidCo B.V. -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Hippo XPA Bidco AB - Delayed Draw &amp;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HireVue, Inc. - Delayed Draw</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HMP Omnimedia, LLC - Delayed Draw &amp;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Ingenovis Health Finance, LLC -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IRGSE Holding Corp. -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Kahua, Inc. - Delayed Draw</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Kangaroo Bidco AS - Delayed Draw</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Kaseware Intermediate Holding Company - Delayed Draw &amp;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Kryptona BidCo US, LLC -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LeanTaaS Holdings, Inc. - Delayed Draw</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LIHA Holdco B.V. - Delayed Draw &amp;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Lynx BidCo - Delayed Draw &amp;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Marcura Equities LTD -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Mindbody, Inc. -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Neuintel, LLC - Delayed Draw</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Omnigo Software, LLC - Delayed Draw &amp;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PDI TA Holdings, Inc. -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Rail Acquisitions LLC - Delayed Draw &amp;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RainFocus, LLC - Delayed Draw</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Rapid Data GmbH Unternehmensberatung - Delayed Draw &amp;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Raptor US Buyer II Corp. -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Sapphire Software Buyer, Inc. -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Scorpio Bidco - Delayed Draw</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Sediver S.p.A. - Delayed Draw</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Severin Acquisition, LLC - Delayed Draw &amp;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Shiftmove GmbH - Delayed Draw</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SMA Technologies Holdings, LLC - Revolver</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Sport Alliance GmbH - Revolver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Credit Partners JV, LLC - Equity</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124,360</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r>
      <w:tr>
        <w:trPr>
          <w:trHeight w:val="198"/>
        </w:trPr>
        <w:tc>
          <w:tcPr>
            <w:tcW w:w="760" w:type="dxa"/>
            <w:vAlign w:val="bottom"/>
          </w:tcPr>
          <w:p>
            <w:pPr>
              <w:spacing w:after="0"/>
              <w:rPr>
                <w:sz w:val="17"/>
                <w:szCs w:val="17"/>
                <w:color w:val="auto"/>
              </w:rPr>
            </w:pPr>
          </w:p>
        </w:tc>
        <w:tc>
          <w:tcPr>
            <w:tcW w:w="5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Tango Management Consulting, LLC - Delayed Draw &amp; Revolver</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18,825</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23,799</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4"/>
        </w:trPr>
        <w:tc>
          <w:tcPr>
            <w:tcW w:w="64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52</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2" w:name="page53"/>
    <w:bookmarkEnd w:id="52"/>
    <w:tbl>
      <w:tblPr>
        <w:tblLayout w:type="fixed"/>
        <w:tblInd w:w="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TRP Assets, LLC - Delayed Draw</w:t>
            </w: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TS Imagine, Inc. - Revolver</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USA DeBusk, LLC - Delayed Draw &amp; Revolver</w:t>
            </w: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Varinem German Bidco GmbH - Delayed Draw</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Velocity Clinical Research, Inc. - Delayed Draw &amp; Revolver</w:t>
            </w: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Women's Care Holdings, Inc. - Revolver</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Wrangler TopCo, LLC - Delayed Draw &amp; Revolver</w:t>
            </w:r>
          </w:p>
        </w:tc>
        <w:tc>
          <w:tcPr>
            <w:tcW w:w="5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3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40" w:type="dxa"/>
            <w:vAlign w:val="bottom"/>
          </w:tcPr>
          <w:p>
            <w:pPr>
              <w:ind w:left="4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Total Portfolio Company Commitments </w:t>
            </w:r>
            <w:r>
              <w:rPr>
                <w:rFonts w:ascii="Times New Roman" w:cs="Times New Roman" w:eastAsia="Times New Roman" w:hAnsi="Times New Roman"/>
                <w:sz w:val="24"/>
                <w:szCs w:val="24"/>
                <w:b w:val="1"/>
                <w:bCs w:val="1"/>
                <w:color w:val="auto"/>
                <w:vertAlign w:val="superscript"/>
              </w:rPr>
              <w:t>(1)(2)</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376,509</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338,507</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6032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-170815</wp:posOffset>
            </wp:positionV>
            <wp:extent cx="6858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left="380" w:right="460" w:hanging="372"/>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ind w:left="380" w:right="68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 of the fair value of the current investments in these portfolio companies includes an analysis of the fair value of any unfunded commitments.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did not have any unfunded commitments to fund investments to new borrowers that were not current portfolio companies as of such date.</w:t>
      </w:r>
    </w:p>
    <w:p>
      <w:pPr>
        <w:spacing w:after="0" w:line="162"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September 30, 2026 and December 31, 2025, management is not aware of any material pending or threatened litigation that would require accounting recognition or financial statement disclosure.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229"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8" w:lineRule="exact"/>
        <w:rPr>
          <w:sz w:val="20"/>
          <w:szCs w:val="20"/>
          <w:color w:val="auto"/>
        </w:rPr>
      </w:pPr>
    </w:p>
    <w:p>
      <w:pPr>
        <w:jc w:val="both"/>
        <w:ind w:right="80" w:firstLine="255"/>
        <w:spacing w:after="0" w:line="266" w:lineRule="auto"/>
        <w:rPr>
          <w:sz w:val="20"/>
          <w:szCs w:val="20"/>
          <w:color w:val="auto"/>
        </w:rPr>
      </w:pPr>
      <w:r>
        <w:rPr>
          <w:rFonts w:ascii="Times New Roman" w:cs="Times New Roman" w:eastAsia="Times New Roman" w:hAnsi="Times New Roman"/>
          <w:sz w:val="18"/>
          <w:szCs w:val="18"/>
          <w:color w:val="auto"/>
        </w:rPr>
        <w:t>Pursuant to the Company’s dividend reinvestment plan, the following tables summarize the shares issued to stockholders who have not opted out of the Company’s dividend reinvestment plan during the nine months ended September 30, 2026 and 2025. All shares issued to stockholders in the tables below are newly issued shares.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60" w:type="dxa"/>
            <w:vAlign w:val="bottom"/>
            <w:gridSpan w:val="3"/>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gridSpan w:val="3"/>
          </w:tcPr>
          <w:p>
            <w:pPr>
              <w:jc w:val="right"/>
              <w:ind w:right="121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2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20" w:type="dxa"/>
            <w:vAlign w:val="bottom"/>
            <w:vMerge w:val="restart"/>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Dividend </w:t>
            </w:r>
            <w:r>
              <w:rPr>
                <w:rFonts w:ascii="Times New Roman" w:cs="Times New Roman" w:eastAsia="Times New Roman" w:hAnsi="Times New Roman"/>
                <w:sz w:val="19"/>
                <w:szCs w:val="19"/>
                <w:b w:val="1"/>
                <w:bCs w:val="1"/>
                <w:color w:val="auto"/>
                <w:w w:val="96"/>
                <w:vertAlign w:val="superscript"/>
              </w:rPr>
              <w:t>(1)</w:t>
            </w:r>
          </w:p>
        </w:tc>
        <w:tc>
          <w:tcPr>
            <w:tcW w:w="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right"/>
              <w:ind w:right="776"/>
              <w:spacing w:after="0" w:line="145" w:lineRule="exact"/>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3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40" w:type="dxa"/>
            <w:vAlign w:val="bottom"/>
          </w:tcPr>
          <w:p>
            <w:pPr>
              <w:spacing w:after="0"/>
              <w:rPr>
                <w:sz w:val="15"/>
                <w:szCs w:val="15"/>
                <w:color w:val="auto"/>
              </w:rPr>
            </w:pPr>
          </w:p>
        </w:tc>
        <w:tc>
          <w:tcPr>
            <w:tcW w:w="17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6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12, 2026</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140" w:type="dxa"/>
            <w:vAlign w:val="bottom"/>
            <w:shd w:val="clear" w:color="auto" w:fill="CFF0FC"/>
          </w:tcPr>
          <w:p>
            <w:pPr>
              <w:spacing w:after="0"/>
              <w:rPr>
                <w:sz w:val="18"/>
                <w:szCs w:val="18"/>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27, 2026</w:t>
            </w: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20, 2026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12, 2026</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Base</w:t>
            </w:r>
          </w:p>
        </w:tc>
        <w:tc>
          <w:tcPr>
            <w:tcW w:w="1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16, 2026</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308,209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5, 2026</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Base</w:t>
            </w:r>
          </w:p>
        </w:tc>
        <w:tc>
          <w:tcPr>
            <w:tcW w:w="140" w:type="dxa"/>
            <w:vAlign w:val="bottom"/>
            <w:shd w:val="clear" w:color="auto" w:fill="CFF0FC"/>
          </w:tcPr>
          <w:p>
            <w:pPr>
              <w:spacing w:after="0"/>
              <w:rPr>
                <w:sz w:val="18"/>
                <w:szCs w:val="18"/>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15, 2026</w:t>
            </w: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30, 2026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354,477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4, 2026</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Base</w:t>
            </w:r>
          </w:p>
        </w:tc>
        <w:tc>
          <w:tcPr>
            <w:tcW w:w="1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15, 2026</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370,020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2480" w:type="dxa"/>
            <w:vAlign w:val="bottom"/>
            <w:tcBorders>
              <w:top w:val="single" w:sz="8" w:color="CFF0FC"/>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16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222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0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1,038,947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60" w:type="dxa"/>
            <w:vAlign w:val="bottom"/>
            <w:gridSpan w:val="2"/>
          </w:tcPr>
          <w:p>
            <w:pPr>
              <w:jc w:val="right"/>
              <w:ind w:right="778"/>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-796290</wp:posOffset>
            </wp:positionV>
            <wp:extent cx="6032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-779145</wp:posOffset>
            </wp:positionV>
            <wp:extent cx="6032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-942340</wp:posOffset>
            </wp:positionV>
            <wp:extent cx="6032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53" w:name="page54"/>
    <w:bookmarkEnd w:id="53"/>
    <w:tbl>
      <w:tblPr>
        <w:tblLayout w:type="fixed"/>
        <w:tblInd w:w="58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60" w:type="dxa"/>
            <w:vAlign w:val="bottom"/>
            <w:gridSpan w:val="3"/>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gridSpan w:val="3"/>
          </w:tcPr>
          <w:p>
            <w:pPr>
              <w:jc w:val="right"/>
              <w:ind w:right="121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20" w:type="dxa"/>
            <w:vAlign w:val="bottom"/>
            <w:vMerge w:val="restart"/>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Dividend </w:t>
            </w:r>
            <w:r>
              <w:rPr>
                <w:rFonts w:ascii="Times New Roman" w:cs="Times New Roman" w:eastAsia="Times New Roman" w:hAnsi="Times New Roman"/>
                <w:sz w:val="19"/>
                <w:szCs w:val="19"/>
                <w:b w:val="1"/>
                <w:bCs w:val="1"/>
                <w:color w:val="auto"/>
                <w:w w:val="96"/>
                <w:vertAlign w:val="superscript"/>
              </w:rPr>
              <w:t>(1)</w:t>
            </w:r>
          </w:p>
        </w:tc>
        <w:tc>
          <w:tcPr>
            <w:tcW w:w="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right"/>
              <w:ind w:right="775"/>
              <w:spacing w:after="0" w:line="145" w:lineRule="exact"/>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40" w:type="dxa"/>
            <w:vAlign w:val="bottom"/>
          </w:tcPr>
          <w:p>
            <w:pPr>
              <w:spacing w:after="0"/>
              <w:rPr>
                <w:sz w:val="15"/>
                <w:szCs w:val="15"/>
                <w:color w:val="auto"/>
              </w:rPr>
            </w:pPr>
          </w:p>
        </w:tc>
        <w:tc>
          <w:tcPr>
            <w:tcW w:w="17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13, 2025</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140" w:type="dxa"/>
            <w:vAlign w:val="bottom"/>
            <w:shd w:val="clear" w:color="auto" w:fill="CFF0FC"/>
          </w:tcPr>
          <w:p>
            <w:pPr>
              <w:spacing w:after="0"/>
              <w:rPr>
                <w:sz w:val="18"/>
                <w:szCs w:val="18"/>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28, 2025</w:t>
            </w: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20, 2025</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13, 2025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Base</w:t>
            </w:r>
          </w:p>
        </w:tc>
        <w:tc>
          <w:tcPr>
            <w:tcW w:w="1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14, 2025</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30, 2025</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140" w:type="dxa"/>
            <w:vAlign w:val="bottom"/>
            <w:shd w:val="clear" w:color="auto" w:fill="CFF0FC"/>
          </w:tcPr>
          <w:p>
            <w:pPr>
              <w:spacing w:after="0"/>
              <w:rPr>
                <w:sz w:val="18"/>
                <w:szCs w:val="18"/>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30, 2025</w:t>
            </w: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20, 2025</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30, 2025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Base</w:t>
            </w:r>
          </w:p>
        </w:tc>
        <w:tc>
          <w:tcPr>
            <w:tcW w:w="1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16, 2025</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30, 2025</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140" w:type="dxa"/>
            <w:vAlign w:val="bottom"/>
            <w:shd w:val="clear" w:color="auto" w:fill="CFF0FC"/>
          </w:tcPr>
          <w:p>
            <w:pPr>
              <w:spacing w:after="0"/>
              <w:rPr>
                <w:sz w:val="18"/>
                <w:szCs w:val="18"/>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August 29, 2025</w:t>
            </w: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19, 2025</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30, 2025</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Base</w:t>
            </w:r>
          </w:p>
        </w:tc>
        <w:tc>
          <w:tcPr>
            <w:tcW w:w="14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15, 2025</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480" w:type="dxa"/>
            <w:vAlign w:val="bottom"/>
            <w:tcBorders>
              <w:top w:val="single" w:sz="8" w:color="CFF0FC"/>
              <w:bottom w:val="single" w:sz="8" w:color="CFF0FC"/>
            </w:tcBorders>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16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222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0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832,489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for further information on base, supplemental and special dividends.</w:t>
      </w:r>
    </w:p>
    <w:p>
      <w:pPr>
        <w:spacing w:after="0" w:line="117"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May 5, 2026 (expiring November 30, 2026). Under the program, we may repurchase up to $50 million in the aggregate of our outstanding common stock in the open market, from time to time, at certain thresholds below our net asset value per share, in accordance with the guidelines specified in Rule 10b-18 of the Exchange Act. The amount and timing of stock repurchases under the program may vary depending on market conditions, and no assurance can be given that any particular amount of common stock will be repurchased.</w:t>
      </w:r>
    </w:p>
    <w:p>
      <w:pPr>
        <w:spacing w:after="0" w:line="189"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 shares were repurchased. During the nine months ended September 30, 2026, the Company repurchased 30,938 shares at a weighted average price per share of $16.17 inclusive of commission, for a total cost of $0.5 million. During the three and nine months ended September 30, 2025, no shares were repurchased.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Offerings</w:t>
      </w:r>
    </w:p>
    <w:p>
      <w:pPr>
        <w:spacing w:after="0" w:line="227"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is a party to equity distribution agreements with several banks (the “Equity Distribution Agreements”). The Equity Distribution Agreements provide that the Company may from time to time issue and sell, by means of “at the market” offerings, up to $100 million of the Company's common stock. Subject to the terms and conditions of the Equity Distribution Agreements, sales of common stock, if any, may be made in transactions that are deemed to be “at the market” offerings as defined in Rule 415(a)(4) under the Securities Act of 1933, as amended. Under the currently effective Equity Distribution Agreements, common stock with an aggregate offering amount of $100 million remained available for issuance as of September 30,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 for the three and nine months ended September 30, 2026 and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(losses) per common share — basic and diluted</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net assets resulting from operations</w:t>
            </w:r>
          </w:p>
        </w:tc>
        <w:tc>
          <w:tcPr>
            <w:tcW w:w="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34,445</w:t>
            </w:r>
          </w:p>
        </w:tc>
        <w:tc>
          <w:tcPr>
            <w:tcW w:w="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44,600</w:t>
            </w:r>
          </w:p>
        </w:tc>
        <w:tc>
          <w:tcPr>
            <w:tcW w:w="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48,928</w:t>
            </w:r>
          </w:p>
        </w:tc>
        <w:tc>
          <w:tcPr>
            <w:tcW w:w="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outstanding—basic and diluted</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95,347,161</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94,245,993</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95,028,344</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93,964,387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w:t>
            </w:r>
          </w:p>
        </w:tc>
        <w:tc>
          <w:tcPr>
            <w:tcW w:w="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tcPr>
          <w:p>
            <w:pPr>
              <w:spacing w:after="0"/>
              <w:rPr>
                <w:sz w:val="24"/>
                <w:szCs w:val="24"/>
                <w:color w:val="auto"/>
              </w:rPr>
            </w:pP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54</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-796290</wp:posOffset>
            </wp:positionV>
            <wp:extent cx="6858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-779780</wp:posOffset>
            </wp:positionV>
            <wp:extent cx="6858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-796290</wp:posOffset>
            </wp:positionV>
            <wp:extent cx="6858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-779780</wp:posOffset>
            </wp:positionV>
            <wp:extent cx="6858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-796290</wp:posOffset>
            </wp:positionV>
            <wp:extent cx="6858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-779780</wp:posOffset>
            </wp:positionV>
            <wp:extent cx="6858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54" w:name="page55"/>
    <w:bookmarkEnd w:id="54"/>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Dividends</w:t>
      </w:r>
    </w:p>
    <w:p>
      <w:pPr>
        <w:spacing w:after="0" w:line="121"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nine months ended September 30, 2026 and 2025:</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gridSpan w:val="3"/>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gridSpan w:val="3"/>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gridSpan w:val="2"/>
            <w:vMerge w:val="continue"/>
          </w:tcPr>
          <w:p>
            <w:pPr>
              <w:spacing w:after="0"/>
              <w:rPr>
                <w:sz w:val="12"/>
                <w:szCs w:val="12"/>
                <w:color w:val="auto"/>
              </w:rPr>
            </w:pPr>
          </w:p>
        </w:tc>
        <w:tc>
          <w:tcPr>
            <w:tcW w:w="12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Pr>
          <w:p>
            <w:pPr>
              <w:spacing w:after="0"/>
              <w:rPr>
                <w:sz w:val="12"/>
                <w:szCs w:val="12"/>
                <w:color w:val="auto"/>
              </w:rPr>
            </w:pPr>
          </w:p>
        </w:tc>
        <w:tc>
          <w:tcPr>
            <w:tcW w:w="1880" w:type="dxa"/>
            <w:vAlign w:val="bottom"/>
            <w:tcBorders>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Pr>
          <w:p>
            <w:pPr>
              <w:spacing w:after="0"/>
              <w:rPr>
                <w:sz w:val="12"/>
                <w:szCs w:val="12"/>
                <w:color w:val="auto"/>
              </w:rPr>
            </w:pPr>
          </w:p>
        </w:tc>
        <w:tc>
          <w:tcPr>
            <w:tcW w:w="21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400" w:type="dxa"/>
            <w:vAlign w:val="bottom"/>
          </w:tcPr>
          <w:p>
            <w:pPr>
              <w:spacing w:after="0"/>
              <w:rPr>
                <w:sz w:val="12"/>
                <w:szCs w:val="12"/>
                <w:color w:val="auto"/>
              </w:rPr>
            </w:pPr>
          </w:p>
        </w:tc>
        <w:tc>
          <w:tcPr>
            <w:tcW w:w="136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12, 2026</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27, 2026</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20, 2026</w:t>
            </w:r>
          </w:p>
        </w:tc>
        <w:tc>
          <w:tcPr>
            <w:tcW w:w="940" w:type="dxa"/>
            <w:vAlign w:val="bottom"/>
            <w:gridSpan w:val="2"/>
            <w:shd w:val="clear" w:color="auto" w:fill="CFF0FC"/>
          </w:tcPr>
          <w:p>
            <w:pPr>
              <w:jc w:val="right"/>
              <w:ind w:right="38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February 12, 2026</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16, 2026</w:t>
            </w: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5, 2026</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15, 2026</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30, 2026</w:t>
            </w:r>
          </w:p>
        </w:tc>
        <w:tc>
          <w:tcPr>
            <w:tcW w:w="4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August 4, 2026</w:t>
            </w:r>
          </w:p>
        </w:tc>
        <w:tc>
          <w:tcPr>
            <w:tcW w:w="120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Borders>
              <w:bottom w:val="single" w:sz="8" w:color="CFF0FC"/>
            </w:tcBorders>
          </w:tcPr>
          <w:p>
            <w:pPr>
              <w:spacing w:after="0"/>
              <w:rPr>
                <w:sz w:val="18"/>
                <w:szCs w:val="18"/>
                <w:color w:val="auto"/>
              </w:rPr>
            </w:pPr>
          </w:p>
        </w:tc>
        <w:tc>
          <w:tcPr>
            <w:tcW w:w="1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September 15, 2026</w:t>
            </w:r>
          </w:p>
        </w:tc>
        <w:tc>
          <w:tcPr>
            <w:tcW w:w="120" w:type="dxa"/>
            <w:vAlign w:val="bottom"/>
            <w:tcBorders>
              <w:bottom w:val="single" w:sz="8" w:color="CFF0FC"/>
            </w:tcBorders>
          </w:tcPr>
          <w:p>
            <w:pPr>
              <w:spacing w:after="0"/>
              <w:rPr>
                <w:sz w:val="18"/>
                <w:szCs w:val="18"/>
                <w:color w:val="auto"/>
              </w:rPr>
            </w:pPr>
          </w:p>
        </w:tc>
        <w:tc>
          <w:tcPr>
            <w:tcW w:w="2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September 30, 2026</w:t>
            </w:r>
          </w:p>
        </w:tc>
        <w:tc>
          <w:tcPr>
            <w:tcW w:w="40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8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gridSpan w:val="3"/>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gridSpan w:val="3"/>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gridSpan w:val="2"/>
            <w:vMerge w:val="continue"/>
          </w:tcPr>
          <w:p>
            <w:pPr>
              <w:spacing w:after="0"/>
              <w:rPr>
                <w:sz w:val="12"/>
                <w:szCs w:val="12"/>
                <w:color w:val="auto"/>
              </w:rPr>
            </w:pPr>
          </w:p>
        </w:tc>
        <w:tc>
          <w:tcPr>
            <w:tcW w:w="12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Pr>
          <w:p>
            <w:pPr>
              <w:spacing w:after="0"/>
              <w:rPr>
                <w:sz w:val="12"/>
                <w:szCs w:val="12"/>
                <w:color w:val="auto"/>
              </w:rPr>
            </w:pPr>
          </w:p>
        </w:tc>
        <w:tc>
          <w:tcPr>
            <w:tcW w:w="1880" w:type="dxa"/>
            <w:vAlign w:val="bottom"/>
            <w:tcBorders>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Pr>
          <w:p>
            <w:pPr>
              <w:spacing w:after="0"/>
              <w:rPr>
                <w:sz w:val="12"/>
                <w:szCs w:val="12"/>
                <w:color w:val="auto"/>
              </w:rPr>
            </w:pPr>
          </w:p>
        </w:tc>
        <w:tc>
          <w:tcPr>
            <w:tcW w:w="21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400" w:type="dxa"/>
            <w:vAlign w:val="bottom"/>
          </w:tcPr>
          <w:p>
            <w:pPr>
              <w:spacing w:after="0"/>
              <w:rPr>
                <w:sz w:val="12"/>
                <w:szCs w:val="12"/>
                <w:color w:val="auto"/>
              </w:rPr>
            </w:pPr>
          </w:p>
        </w:tc>
        <w:tc>
          <w:tcPr>
            <w:tcW w:w="136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13, 2025</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28, 2025</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20, 2025</w:t>
            </w:r>
          </w:p>
        </w:tc>
        <w:tc>
          <w:tcPr>
            <w:tcW w:w="940" w:type="dxa"/>
            <w:vAlign w:val="bottom"/>
            <w:gridSpan w:val="2"/>
            <w:shd w:val="clear" w:color="auto" w:fill="CFF0FC"/>
          </w:tcPr>
          <w:p>
            <w:pPr>
              <w:jc w:val="right"/>
              <w:ind w:right="38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February 13, 2025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14, 2025</w:t>
            </w: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30, 2025</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30, 2025</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20, 2025</w:t>
            </w:r>
          </w:p>
        </w:tc>
        <w:tc>
          <w:tcPr>
            <w:tcW w:w="4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April 30, 2025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16, 2025</w:t>
            </w: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30, 2025</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August 29, 2025</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19, 2025</w:t>
            </w:r>
          </w:p>
        </w:tc>
        <w:tc>
          <w:tcPr>
            <w:tcW w:w="4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July 30, 2025</w:t>
            </w:r>
          </w:p>
        </w:tc>
        <w:tc>
          <w:tcPr>
            <w:tcW w:w="120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Borders>
              <w:bottom w:val="single" w:sz="8" w:color="CFF0FC"/>
            </w:tcBorders>
          </w:tcPr>
          <w:p>
            <w:pPr>
              <w:spacing w:after="0"/>
              <w:rPr>
                <w:sz w:val="18"/>
                <w:szCs w:val="18"/>
                <w:color w:val="auto"/>
              </w:rPr>
            </w:pPr>
          </w:p>
        </w:tc>
        <w:tc>
          <w:tcPr>
            <w:tcW w:w="1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September 15, 2025</w:t>
            </w:r>
          </w:p>
        </w:tc>
        <w:tc>
          <w:tcPr>
            <w:tcW w:w="120" w:type="dxa"/>
            <w:vAlign w:val="bottom"/>
            <w:tcBorders>
              <w:bottom w:val="single" w:sz="8" w:color="CFF0FC"/>
            </w:tcBorders>
          </w:tcPr>
          <w:p>
            <w:pPr>
              <w:spacing w:after="0"/>
              <w:rPr>
                <w:sz w:val="18"/>
                <w:szCs w:val="18"/>
                <w:color w:val="auto"/>
              </w:rPr>
            </w:pPr>
          </w:p>
        </w:tc>
        <w:tc>
          <w:tcPr>
            <w:tcW w:w="2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c>
          <w:tcPr>
            <w:tcW w:w="40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1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8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-1473835</wp:posOffset>
            </wp:positionV>
            <wp:extent cx="5969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-1456690</wp:posOffset>
            </wp:positionV>
            <wp:extent cx="596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-1619250</wp:posOffset>
            </wp:positionV>
            <wp:extent cx="596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-24765</wp:posOffset>
            </wp:positionV>
            <wp:extent cx="596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-7620</wp:posOffset>
            </wp:positionV>
            <wp:extent cx="596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-170815</wp:posOffset>
            </wp:positionV>
            <wp:extent cx="596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dividends declared during the nine months ended September 30, 2026 and 2025 were derived from net investment income, determined on a tax basis.</w:t>
      </w:r>
    </w:p>
    <w:p>
      <w:pPr>
        <w:jc w:val="center"/>
        <w:ind w:right="-3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12. Financial Highlights</w:t>
      </w:r>
    </w:p>
    <w:p>
      <w:pPr>
        <w:spacing w:after="0" w:line="121"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one share of common stock outstanding during the nine months ended September 30, 2026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5"/>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80" w:type="dxa"/>
            <w:vAlign w:val="bottom"/>
          </w:tcPr>
          <w:p>
            <w:pPr>
              <w:spacing w:after="0"/>
              <w:rPr>
                <w:sz w:val="15"/>
                <w:szCs w:val="15"/>
                <w:color w:val="auto"/>
              </w:rPr>
            </w:pPr>
          </w:p>
        </w:tc>
      </w:tr>
      <w:tr>
        <w:trPr>
          <w:trHeight w:val="209"/>
        </w:trPr>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23"/>
        </w:trPr>
        <w:tc>
          <w:tcPr>
            <w:tcW w:w="7300" w:type="dxa"/>
            <w:vAlign w:val="bottom"/>
            <w:shd w:val="clear" w:color="auto" w:fill="CFF0FC"/>
          </w:tcPr>
          <w:p>
            <w:pPr>
              <w:spacing w:after="0" w:line="222" w:lineRule="exact"/>
              <w:rPr>
                <w:sz w:val="20"/>
                <w:szCs w:val="20"/>
                <w:color w:val="auto"/>
              </w:rPr>
            </w:pPr>
            <w:r>
              <w:rPr>
                <w:rFonts w:ascii="Times New Roman" w:cs="Times New Roman" w:eastAsia="Times New Roman" w:hAnsi="Times New Roman"/>
                <w:sz w:val="18"/>
                <w:szCs w:val="18"/>
                <w:b w:val="1"/>
                <w:bCs w:val="1"/>
                <w:color w:val="auto"/>
              </w:rPr>
              <w:t xml:space="preserve">Per Share Data </w:t>
            </w:r>
            <w:r>
              <w:rPr>
                <w:rFonts w:ascii="Times New Roman" w:cs="Times New Roman" w:eastAsia="Times New Roman" w:hAnsi="Times New Roman"/>
                <w:sz w:val="24"/>
                <w:szCs w:val="24"/>
                <w:b w:val="1"/>
                <w:bCs w:val="1"/>
                <w:color w:val="auto"/>
                <w:vertAlign w:val="superscript"/>
              </w:rPr>
              <w:t>(8)</w:t>
            </w:r>
          </w:p>
        </w:tc>
        <w:tc>
          <w:tcPr>
            <w:tcW w:w="16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32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80" w:type="dxa"/>
            <w:vAlign w:val="bottom"/>
          </w:tcPr>
          <w:p>
            <w:pPr>
              <w:spacing w:after="0"/>
              <w:rPr>
                <w:sz w:val="19"/>
                <w:szCs w:val="19"/>
                <w:color w:val="auto"/>
              </w:rPr>
            </w:pPr>
          </w:p>
        </w:tc>
      </w:tr>
      <w:tr>
        <w:trPr>
          <w:trHeight w:val="229"/>
        </w:trPr>
        <w:tc>
          <w:tcPr>
            <w:tcW w:w="7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730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Pr>
          <w:p>
            <w:pPr>
              <w:spacing w:after="0"/>
              <w:rPr>
                <w:sz w:val="19"/>
                <w:szCs w:val="19"/>
                <w:color w:val="auto"/>
              </w:rPr>
            </w:pPr>
          </w:p>
        </w:tc>
      </w:tr>
      <w:tr>
        <w:trPr>
          <w:trHeight w:val="216"/>
        </w:trPr>
        <w:tc>
          <w:tcPr>
            <w:tcW w:w="73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and unrealized gains (losses)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r>
      <w:tr>
        <w:trPr>
          <w:trHeight w:val="223"/>
        </w:trPr>
        <w:tc>
          <w:tcPr>
            <w:tcW w:w="7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from operations</w:t>
            </w: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Borders>
              <w:top w:val="single" w:sz="8" w:color="CFF0FC"/>
            </w:tcBorders>
          </w:tcPr>
          <w:p>
            <w:pPr>
              <w:spacing w:after="0"/>
              <w:rPr>
                <w:sz w:val="19"/>
                <w:szCs w:val="19"/>
                <w:color w:val="auto"/>
              </w:rPr>
            </w:pPr>
          </w:p>
        </w:tc>
      </w:tr>
      <w:tr>
        <w:trPr>
          <w:trHeight w:val="229"/>
        </w:trPr>
        <w:tc>
          <w:tcPr>
            <w:tcW w:w="7300" w:type="dxa"/>
            <w:vAlign w:val="bottom"/>
            <w:shd w:val="clear" w:color="auto" w:fill="CFF0FC"/>
          </w:tcPr>
          <w:p>
            <w:pPr>
              <w:spacing w:after="0" w:line="229" w:lineRule="exact"/>
              <w:rPr>
                <w:sz w:val="20"/>
                <w:szCs w:val="20"/>
                <w:color w:val="auto"/>
              </w:rPr>
            </w:pPr>
            <w:r>
              <w:rPr>
                <w:rFonts w:ascii="Times New Roman" w:cs="Times New Roman" w:eastAsia="Times New Roman" w:hAnsi="Times New Roman"/>
                <w:sz w:val="18"/>
                <w:szCs w:val="18"/>
                <w:color w:val="auto"/>
              </w:rPr>
              <w:t xml:space="preserve">Issuance of common stock, net of offering costs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shd w:val="clear" w:color="auto" w:fill="CFF0FC"/>
          </w:tcPr>
          <w:p>
            <w:pPr>
              <w:spacing w:after="0"/>
              <w:rPr>
                <w:sz w:val="19"/>
                <w:szCs w:val="19"/>
                <w:color w:val="auto"/>
              </w:rPr>
            </w:pPr>
          </w:p>
        </w:tc>
      </w:tr>
      <w:tr>
        <w:trPr>
          <w:trHeight w:val="216"/>
        </w:trPr>
        <w:tc>
          <w:tcPr>
            <w:tcW w:w="7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Dividends declared </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7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increase/(decrease) in net assets</w:t>
            </w: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7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3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8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 share market value at end of period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3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80" w:type="dxa"/>
            <w:vAlign w:val="bottom"/>
            <w:shd w:val="clear" w:color="auto" w:fill="CFF0FC"/>
          </w:tcPr>
          <w:p>
            <w:pPr>
              <w:spacing w:after="0"/>
              <w:rPr>
                <w:sz w:val="18"/>
                <w:szCs w:val="18"/>
                <w:color w:val="auto"/>
              </w:rPr>
            </w:pPr>
          </w:p>
        </w:tc>
      </w:tr>
      <w:tr>
        <w:trPr>
          <w:trHeight w:val="229"/>
        </w:trPr>
        <w:tc>
          <w:tcPr>
            <w:tcW w:w="730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 xml:space="preserve">Total return based on market value with reinvestment of dividends </w:t>
            </w:r>
            <w:r>
              <w:rPr>
                <w:rFonts w:ascii="Times New Roman" w:cs="Times New Roman" w:eastAsia="Times New Roman" w:hAnsi="Times New Roman"/>
                <w:sz w:val="24"/>
                <w:szCs w:val="24"/>
                <w:color w:val="auto"/>
                <w:vertAlign w:val="superscript"/>
              </w:rPr>
              <w:t>(3)</w:t>
            </w:r>
          </w:p>
        </w:tc>
        <w:tc>
          <w:tcPr>
            <w:tcW w:w="16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15.19%</w:t>
            </w:r>
          </w:p>
        </w:tc>
      </w:tr>
      <w:tr>
        <w:trPr>
          <w:trHeight w:val="230"/>
        </w:trPr>
        <w:tc>
          <w:tcPr>
            <w:tcW w:w="7300" w:type="dxa"/>
            <w:vAlign w:val="bottom"/>
            <w:shd w:val="clear" w:color="auto" w:fill="CFF0FC"/>
          </w:tcPr>
          <w:p>
            <w:pPr>
              <w:spacing w:after="0" w:line="229" w:lineRule="exact"/>
              <w:rPr>
                <w:sz w:val="20"/>
                <w:szCs w:val="20"/>
                <w:color w:val="auto"/>
              </w:rPr>
            </w:pPr>
            <w:r>
              <w:rPr>
                <w:rFonts w:ascii="Times New Roman" w:cs="Times New Roman" w:eastAsia="Times New Roman" w:hAnsi="Times New Roman"/>
                <w:sz w:val="18"/>
                <w:szCs w:val="18"/>
                <w:color w:val="auto"/>
              </w:rPr>
              <w:t xml:space="preserve">Total return based on market value </w:t>
            </w:r>
            <w:r>
              <w:rPr>
                <w:rFonts w:ascii="Times New Roman" w:cs="Times New Roman" w:eastAsia="Times New Roman" w:hAnsi="Times New Roman"/>
                <w:sz w:val="24"/>
                <w:szCs w:val="24"/>
                <w:color w:val="auto"/>
                <w:vertAlign w:val="superscript"/>
              </w:rPr>
              <w:t>(4)</w:t>
            </w:r>
          </w:p>
        </w:tc>
        <w:tc>
          <w:tcPr>
            <w:tcW w:w="1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14.65%</w:t>
            </w:r>
          </w:p>
        </w:tc>
      </w:tr>
      <w:tr>
        <w:trPr>
          <w:trHeight w:val="229"/>
        </w:trPr>
        <w:tc>
          <w:tcPr>
            <w:tcW w:w="730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 xml:space="preserve">Total return based on net asset value </w:t>
            </w:r>
            <w:r>
              <w:rPr>
                <w:rFonts w:ascii="Times New Roman" w:cs="Times New Roman" w:eastAsia="Times New Roman" w:hAnsi="Times New Roman"/>
                <w:sz w:val="24"/>
                <w:szCs w:val="24"/>
                <w:color w:val="auto"/>
                <w:vertAlign w:val="superscript"/>
              </w:rPr>
              <w:t>(5)</w:t>
            </w:r>
          </w:p>
        </w:tc>
        <w:tc>
          <w:tcPr>
            <w:tcW w:w="16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8.97%</w:t>
            </w:r>
          </w:p>
        </w:tc>
      </w:tr>
      <w:tr>
        <w:trPr>
          <w:trHeight w:val="22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Outstanding, End of Period</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95,713,159</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94,493,925</w:t>
            </w:r>
          </w:p>
        </w:tc>
        <w:tc>
          <w:tcPr>
            <w:tcW w:w="180" w:type="dxa"/>
            <w:vAlign w:val="bottom"/>
            <w:shd w:val="clear" w:color="auto" w:fill="CFF0FC"/>
          </w:tcPr>
          <w:p>
            <w:pPr>
              <w:spacing w:after="0"/>
              <w:rPr>
                <w:sz w:val="19"/>
                <w:szCs w:val="19"/>
                <w:color w:val="auto"/>
              </w:rPr>
            </w:pPr>
          </w:p>
        </w:tc>
      </w:tr>
      <w:tr>
        <w:trPr>
          <w:trHeight w:val="230"/>
        </w:trPr>
        <w:tc>
          <w:tcPr>
            <w:tcW w:w="7300" w:type="dxa"/>
            <w:vAlign w:val="bottom"/>
          </w:tcPr>
          <w:p>
            <w:pPr>
              <w:spacing w:after="0" w:line="229" w:lineRule="exact"/>
              <w:rPr>
                <w:sz w:val="20"/>
                <w:szCs w:val="20"/>
                <w:color w:val="auto"/>
              </w:rPr>
            </w:pPr>
            <w:r>
              <w:rPr>
                <w:rFonts w:ascii="Times New Roman" w:cs="Times New Roman" w:eastAsia="Times New Roman" w:hAnsi="Times New Roman"/>
                <w:sz w:val="18"/>
                <w:szCs w:val="18"/>
                <w:b w:val="1"/>
                <w:bCs w:val="1"/>
                <w:color w:val="auto"/>
              </w:rPr>
              <w:t xml:space="preserve">Ratios / Supplemental Data </w:t>
            </w:r>
            <w:r>
              <w:rPr>
                <w:rFonts w:ascii="Times New Roman" w:cs="Times New Roman" w:eastAsia="Times New Roman" w:hAnsi="Times New Roman"/>
                <w:sz w:val="24"/>
                <w:szCs w:val="24"/>
                <w:b w:val="1"/>
                <w:bCs w:val="1"/>
                <w:color w:val="auto"/>
                <w:vertAlign w:val="superscript"/>
              </w:rPr>
              <w:t>(6)</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300" w:type="dxa"/>
            <w:vAlign w:val="bottom"/>
            <w:shd w:val="clear" w:color="auto" w:fill="CFF0FC"/>
          </w:tcPr>
          <w:p>
            <w:pPr>
              <w:spacing w:after="0" w:line="229" w:lineRule="exact"/>
              <w:rPr>
                <w:sz w:val="20"/>
                <w:szCs w:val="20"/>
                <w:color w:val="auto"/>
              </w:rPr>
            </w:pPr>
            <w:r>
              <w:rPr>
                <w:rFonts w:ascii="Times New Roman" w:cs="Times New Roman" w:eastAsia="Times New Roman" w:hAnsi="Times New Roman"/>
                <w:sz w:val="18"/>
                <w:szCs w:val="18"/>
                <w:color w:val="auto"/>
              </w:rPr>
              <w:t xml:space="preserve">Ratio of net expenses to average net assets </w:t>
            </w:r>
            <w:r>
              <w:rPr>
                <w:rFonts w:ascii="Times New Roman" w:cs="Times New Roman" w:eastAsia="Times New Roman" w:hAnsi="Times New Roman"/>
                <w:sz w:val="24"/>
                <w:szCs w:val="24"/>
                <w:color w:val="auto"/>
                <w:vertAlign w:val="superscript"/>
              </w:rPr>
              <w:t>(7)</w:t>
            </w:r>
          </w:p>
        </w:tc>
        <w:tc>
          <w:tcPr>
            <w:tcW w:w="1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Ratio of net investment income to average net assets</w:t>
            </w:r>
          </w:p>
        </w:tc>
        <w:tc>
          <w:tcPr>
            <w:tcW w:w="16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13.20%</w:t>
            </w: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Portfolio turnover</w:t>
            </w: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33.27%</w:t>
            </w:r>
          </w:p>
        </w:tc>
      </w:tr>
      <w:tr>
        <w:trPr>
          <w:trHeight w:val="20"/>
        </w:trPr>
        <w:tc>
          <w:tcPr>
            <w:tcW w:w="7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1,549,290</w:t>
            </w:r>
          </w:p>
        </w:tc>
        <w:tc>
          <w:tcPr>
            <w:tcW w:w="3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1,619,707</w:t>
            </w:r>
          </w:p>
        </w:tc>
        <w:tc>
          <w:tcPr>
            <w:tcW w:w="18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-2228215</wp:posOffset>
            </wp:positionV>
            <wp:extent cx="14605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-2228215</wp:posOffset>
            </wp:positionV>
            <wp:extent cx="11176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-1645285</wp:posOffset>
            </wp:positionV>
            <wp:extent cx="14605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-1645285</wp:posOffset>
            </wp:positionV>
            <wp:extent cx="11176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14605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shares outstanding during the period.</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9" w:lineRule="exact"/>
        <w:rPr>
          <w:rFonts w:ascii="Times New Roman" w:cs="Times New Roman" w:eastAsia="Times New Roman" w:hAnsi="Times New Roman"/>
          <w:sz w:val="18"/>
          <w:szCs w:val="18"/>
          <w:color w:val="auto"/>
        </w:rPr>
      </w:pPr>
    </w:p>
    <w:p>
      <w:pPr>
        <w:ind w:left="520" w:right="220" w:hanging="512"/>
        <w:spacing w:after="0" w:line="250"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with dividends reinvested is calculated as the change in market value per share during the period plus declared dividends per share, assuming reinvestment of dividends, divided by the beginning market value per share.</w:t>
      </w:r>
    </w:p>
    <w:p>
      <w:pPr>
        <w:ind w:left="520" w:right="40" w:hanging="512"/>
        <w:spacing w:after="0" w:line="250"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calculated as the change in market value per share during the period plus declared dividends per share, divided by the beginning market value per share.</w:t>
      </w:r>
    </w:p>
    <w:p>
      <w:pPr>
        <w:ind w:left="520" w:right="400" w:hanging="512"/>
        <w:spacing w:after="0" w:line="250"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per share, divided by the beginning net asset value per share.</w:t>
      </w: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ratios reflect an annualized amount.</w:t>
      </w:r>
    </w:p>
    <w:p>
      <w:pPr>
        <w:spacing w:after="0" w:line="9" w:lineRule="exact"/>
        <w:rPr>
          <w:rFonts w:ascii="Times New Roman" w:cs="Times New Roman" w:eastAsia="Times New Roman" w:hAnsi="Times New Roman"/>
          <w:sz w:val="18"/>
          <w:szCs w:val="18"/>
          <w:color w:val="auto"/>
        </w:rPr>
      </w:pPr>
    </w:p>
    <w:p>
      <w:pPr>
        <w:ind w:left="520" w:right="120" w:hanging="512"/>
        <w:spacing w:after="0" w:line="250"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net expenses to average net assets in the table above reflects the Adviser’s waivers of its right to receive a portion of the Management Fee pursuant to the Leverage Waiver for the nine months ended September 30, 2026 and 2025. Excluding the effects of the waivers, the ratio of net expenses to average net assets would have been 14.44% and 15.08%, respectively, for the nine months ended September 30, 2026 and 2025.</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jc w:val="both"/>
        <w:ind w:right="320" w:firstLine="255"/>
        <w:spacing w:after="0" w:line="257" w:lineRule="auto"/>
        <w:rPr>
          <w:sz w:val="20"/>
          <w:szCs w:val="20"/>
          <w:color w:val="auto"/>
        </w:rPr>
      </w:pPr>
      <w:r>
        <w:rPr>
          <w:rFonts w:ascii="Times New Roman" w:cs="Times New Roman" w:eastAsia="Times New Roman" w:hAnsi="Times New Roman"/>
          <w:sz w:val="18"/>
          <w:szCs w:val="18"/>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September 30, 2026.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80"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in this report.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Sixth Street SL Holding, LLC, a Delaware limited liability company, and Sixth Street Specialty Lending Sub, LLC, a Cayman Islands limited liability company.</w:t>
      </w:r>
    </w:p>
    <w:p>
      <w:pPr>
        <w:spacing w:after="0" w:line="180"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4" w:lineRule="exact"/>
        <w:rPr>
          <w:sz w:val="20"/>
          <w:szCs w:val="20"/>
          <w:color w:val="auto"/>
        </w:rPr>
      </w:pPr>
    </w:p>
    <w:p>
      <w:pPr>
        <w:ind w:left="520" w:hanging="257"/>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invest at least 70% of our assets in “qualifying assets”;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income limitations;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diversification requirements; and</w:t>
      </w:r>
    </w:p>
    <w:p>
      <w:pPr>
        <w:spacing w:after="0" w:line="117" w:lineRule="exact"/>
        <w:rPr>
          <w:rFonts w:ascii="Times New Roman" w:cs="Times New Roman" w:eastAsia="Times New Roman" w:hAnsi="Times New Roman"/>
          <w:sz w:val="18"/>
          <w:szCs w:val="18"/>
          <w:color w:val="auto"/>
        </w:rPr>
      </w:pPr>
    </w:p>
    <w:p>
      <w:pPr>
        <w:ind w:left="520" w:right="340" w:hanging="257"/>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distribute (or be treated as distributing) in each taxable year at least 90% of our investment company taxable income and tax-exempt interest for that taxable year.</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shares are listed on the NYSE under the symbol “TSLX.”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Framework</w:t>
      </w:r>
    </w:p>
    <w:p>
      <w:pPr>
        <w:spacing w:after="0" w:line="121"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September 30, 2026, we have originated approximately $57.2 billion aggregate principal amount of investments and retained approximately $12.3 billion aggregate principal amount of these investments on our balance sheet prior to any subsequent exits and repayments. We seek to generate current income primarily in U.S.-domiciled middle-market companies through direct investment originations of senior secured loans and, to a lesser extent, originations of mezzanine and unsecured loans and investments in corporate bonds, equity securities, and other instruments.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By “middle-market companies,” we mean companies that have annual EBITDA, which we believe is a useful proxy for cash flow, of $10 million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million, although we may invest in larger or smaller companies on occasion. As of September 30, 2026, our core portfolio companies, which exclude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investments that fall outside of our typical borrower profile and represent 88.1% of our total investments based on fair value, had weighted average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revenue of $479.2 million and weighted average annual EBITDA of $136.2 million. As of September 30, 2026, our core portfolio companies had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 annual revenue of $181.0 million and a median annual EBITDA of $55.3 million.</w:t>
      </w:r>
    </w:p>
    <w:p>
      <w:pPr>
        <w:spacing w:after="0" w:line="20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76"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As of September 30, 2026, the largest single investment based on fair value represented 2.4% of our total investment portfolio.</w:t>
      </w:r>
    </w:p>
    <w:p>
      <w:pPr>
        <w:spacing w:after="0" w:line="162" w:lineRule="exact"/>
        <w:rPr>
          <w:sz w:val="20"/>
          <w:szCs w:val="20"/>
          <w:color w:val="auto"/>
        </w:rPr>
      </w:pPr>
    </w:p>
    <w:p>
      <w:pPr>
        <w:ind w:right="600" w:firstLine="255"/>
        <w:spacing w:after="0" w:line="261" w:lineRule="auto"/>
        <w:rPr>
          <w:sz w:val="20"/>
          <w:szCs w:val="20"/>
          <w:color w:val="auto"/>
        </w:rPr>
      </w:pPr>
      <w:r>
        <w:rPr>
          <w:rFonts w:ascii="Times New Roman" w:cs="Times New Roman" w:eastAsia="Times New Roman" w:hAnsi="Times New Roman"/>
          <w:sz w:val="18"/>
          <w:szCs w:val="18"/>
          <w:color w:val="auto"/>
        </w:rPr>
        <w:t>As of September 30, 2026, the average investment size in each of our portfolio companies was approximately $25.5 million based on fair value. Portfolio companies includes investments in structured credit investments, which include each series of collateralized</w:t>
      </w: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7" w:name="page58"/>
    <w:bookmarkEnd w:id="57"/>
    <w:p>
      <w:pPr>
        <w:ind w:right="120"/>
        <w:spacing w:after="0" w:line="282" w:lineRule="auto"/>
        <w:rPr>
          <w:sz w:val="20"/>
          <w:szCs w:val="20"/>
          <w:color w:val="auto"/>
        </w:rPr>
      </w:pPr>
      <w:r>
        <w:rPr>
          <w:rFonts w:ascii="Times New Roman" w:cs="Times New Roman" w:eastAsia="Times New Roman" w:hAnsi="Times New Roman"/>
          <w:sz w:val="18"/>
          <w:szCs w:val="18"/>
          <w:color w:val="auto"/>
        </w:rPr>
        <w:t>loan obligation as a portfolio company investment. When excluding investments in structured credit investments, the average investment in our remaining portfolio companies was approximately $32.2 million based on fair value as of September 30, 2026.</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Through our Adviser, we consider potential investments utilizing a four-tiered investment framework and against our existing portfolio as a whole:</w:t>
      </w:r>
    </w:p>
    <w:p>
      <w:pPr>
        <w:spacing w:after="0" w:line="22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and sector selection. </w:t>
      </w:r>
      <w:r>
        <w:rPr>
          <w:rFonts w:ascii="Times New Roman" w:cs="Times New Roman" w:eastAsia="Times New Roman" w:hAnsi="Times New Roman"/>
          <w:sz w:val="18"/>
          <w:szCs w:val="18"/>
          <w:color w:val="auto"/>
        </w:rPr>
        <w:t>We focus on companies with enterprise value between $50 million and $1 billion. When reviewing potential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2"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2026, the largest industry represented 17.9% of our total investment portfolio based on fair value.</w:t>
      </w:r>
    </w:p>
    <w:p>
      <w:pPr>
        <w:spacing w:after="0" w:line="223"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Structuring. </w:t>
      </w:r>
      <w:r>
        <w:rPr>
          <w:rFonts w:ascii="Times New Roman" w:cs="Times New Roman" w:eastAsia="Times New Roman" w:hAnsi="Times New Roman"/>
          <w:sz w:val="18"/>
          <w:szCs w:val="18"/>
          <w:color w:val="auto"/>
        </w:rPr>
        <w:t>We focus on investing at the top of the capital structure and protecting that position. As of September 30, 2026,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87.7% of our portfolio was invested in secured debt, including 86.9%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three months ended September 30, 2026, the weighted average term on new debt investment commitments in new portfolio companies was 5.5 years.</w:t>
      </w:r>
    </w:p>
    <w:p>
      <w:pPr>
        <w:spacing w:after="0" w:line="183" w:lineRule="exact"/>
        <w:rPr>
          <w:sz w:val="20"/>
          <w:szCs w:val="20"/>
          <w:color w:val="auto"/>
        </w:rPr>
      </w:pPr>
    </w:p>
    <w:p>
      <w:pPr>
        <w:ind w:right="140" w:firstLine="25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Deal Dynamics. </w:t>
      </w:r>
      <w:r>
        <w:rPr>
          <w:rFonts w:ascii="Times New Roman" w:cs="Times New Roman" w:eastAsia="Times New Roman" w:hAnsi="Times New Roman"/>
          <w:sz w:val="18"/>
          <w:szCs w:val="18"/>
          <w:color w:val="auto"/>
        </w:rPr>
        <w:t>We focus on, among other deal dynamics, direct origination of investments, where we identify and lead the investment transaction.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majority of our portfolio investments are sourced through our direct or proprietary relationships.</w:t>
      </w:r>
    </w:p>
    <w:p>
      <w:pPr>
        <w:spacing w:after="0" w:line="158"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Risk Mitigation. </w:t>
      </w:r>
      <w:r>
        <w:rPr>
          <w:rFonts w:ascii="Times New Roman" w:cs="Times New Roman" w:eastAsia="Times New Roman" w:hAnsi="Times New Roman"/>
          <w:sz w:val="18"/>
          <w:szCs w:val="18"/>
          <w:color w:val="auto"/>
        </w:rPr>
        <w:t>We seek to mitigate non-credit-related risk on our returns in several ways, including call protection provisions to protect future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As of September 30, 2026, we had call protection on 66.7% of our debt investments based on fair value, with weighted average call prices of</w:t>
      </w: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108.4% for the first year, 104.5% for the second year and 101.8% for the third year, in each case from the date of the initial investment. As of September 30, 2026, 97.6% of our debt investments based on fair value bore interest at floating rates, with 100.0% of these subject to interest rate floors, which we believe helps act as a portfolio-wide hedge against inflation.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our Adviser and Sixth Street</w:t>
      </w:r>
    </w:p>
    <w:p>
      <w:pPr>
        <w:spacing w:after="0" w:line="121" w:lineRule="exact"/>
        <w:rPr>
          <w:sz w:val="20"/>
          <w:szCs w:val="20"/>
          <w:color w:val="auto"/>
        </w:rPr>
      </w:pPr>
    </w:p>
    <w:p>
      <w:pPr>
        <w:ind w:right="220" w:firstLine="255"/>
        <w:spacing w:after="0" w:line="255"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Adviser’s Co-Chief Investment Officer, Co-Head of Sixth Street Direct Lending and Co-Head of Growth Robert “Bo” Stanley, Co-Head of Direct Lending Michael Griffin, and our Adviser’s Co-Founding Partner, Chief Executive Officer, and Co-Chief Investment Officer Alan Waxman, all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9"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Sixth Street is a global investment business with over $140 billion of assets under management as of September 30, 2026. Sixth Street’s direct lending platforms include Sixth Street Specialty Lending and Sixth Street Lending Partners, which are aimed at U.S. middle-market loan originations and upper middle-market loan originations, respectively, and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750 investment and operating professionals. As of September 30, 2026, eighty-one (81) of these personnel are dedicated to direct lending, including sixty-seven (67) investment professionals.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8" w:name="page59"/>
    <w:bookmarkEnd w:id="58"/>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The Adviser will determine whether it would be permissible, advisable or otherwise appropriate for us to pursue a particular investment opportunity allocated to us.</w:t>
      </w:r>
    </w:p>
    <w:p>
      <w:pPr>
        <w:spacing w:after="0" w:line="183"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76"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w:t>
      </w:r>
    </w:p>
    <w:p>
      <w:pPr>
        <w:spacing w:after="0" w:line="176" w:lineRule="exact"/>
        <w:rPr>
          <w:sz w:val="20"/>
          <w:szCs w:val="20"/>
          <w:color w:val="auto"/>
        </w:rPr>
      </w:pPr>
    </w:p>
    <w:p>
      <w:pPr>
        <w:ind w:right="320" w:firstLine="255"/>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Economic Conditions</w:t>
      </w:r>
    </w:p>
    <w:p>
      <w:pPr>
        <w:spacing w:after="0" w:line="175"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To date, 2026 has been marked by continued uncertainty in global markets, driven by investor concerns over inflation, elevated interest rates, ongoing political and regulatory uncertainty, including potential shifts in U.S. trade policy and the imposition of new tariffs, as well as geopolitical instability stemming from the conflicts in Iran and elsewhere in the Middle East and Ukraine.</w:t>
      </w:r>
    </w:p>
    <w:p>
      <w:pPr>
        <w:spacing w:after="0" w:line="176" w:lineRule="exact"/>
        <w:rPr>
          <w:sz w:val="20"/>
          <w:szCs w:val="20"/>
          <w:color w:val="auto"/>
        </w:rPr>
      </w:pPr>
    </w:p>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Further contributing to economic uncertainty, the current U.S. presidential administration has implemented and may continue to implement, significant changes to U.S. trade policy, tax policy and the enforcement of various regulations and a reduction of the size of the federal government (and government spending). These policy shifts could introduce additional market instability and reduce investor confidence. For example, the U.S. government has introduced tariffs on goods imported from various countries to the United States and countries subject to such tariffs have imposed, or may in the future, impose reciprocal or retaliatory tariffs and other trade measures. We are actively monitoring macroeconomic developments and analyzing the potential impacts on our business, the businesses of our portfolio companies and the broader economic environment. In light of these developments, there can be no assurances that political and regulatory conditions will not worsen and/or adversely affect the Company, its portfolio companies or their respective financial performance.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76" w:lineRule="exact"/>
        <w:rPr>
          <w:sz w:val="20"/>
          <w:szCs w:val="20"/>
          <w:color w:val="auto"/>
        </w:rPr>
      </w:pPr>
    </w:p>
    <w:p>
      <w:pPr>
        <w:ind w:right="280" w:firstLine="255"/>
        <w:spacing w:after="0" w:line="261" w:lineRule="auto"/>
        <w:rPr>
          <w:sz w:val="20"/>
          <w:szCs w:val="20"/>
          <w:color w:val="auto"/>
        </w:rPr>
      </w:pPr>
      <w:r>
        <w:rPr>
          <w:rFonts w:ascii="Times New Roman" w:cs="Times New Roman" w:eastAsia="Times New Roman" w:hAnsi="Times New Roman"/>
          <w:sz w:val="18"/>
          <w:szCs w:val="18"/>
          <w:color w:val="auto"/>
        </w:rPr>
        <w:t>In addition, as part of our risk strategy on investments, we may reduce certain levels of investments through partial sales or syndication to additional investors.</w:t>
      </w: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September 30, 2026, 97.6% of these investments based on fair value bore interest at a floating rate, with 100.0% of these subject to interest rate floors. Interest on debt investments is generally payable monthly or quarterly. Some of our investments provide for deferred interest payments or PIK interest. For the three and nine months ended September 30, 2026, 6.4% and 6.9%, respectively, of our total investment income was comprised of PIK interest. For the three and nine months ended September 30, 2025, 6.3% and 5.3%, respectively, of our total investment income was comprised of PIK interest.</w:t>
      </w:r>
    </w:p>
    <w:p>
      <w:pPr>
        <w:spacing w:after="0" w:line="189"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Revolving Credit Facility, 2028 Notes, 2029 Notes, 2030 Notes and 2031 Notes after taking into account the 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9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8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83"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Dividend income on common equity investments is recorded on the record date for private portfolio companies or on the ex-dividend date for publicly traded portfolio companies.</w:t>
      </w:r>
    </w:p>
    <w:p>
      <w:pPr>
        <w:spacing w:after="0" w:line="162" w:lineRule="exact"/>
        <w:rPr>
          <w:sz w:val="20"/>
          <w:szCs w:val="20"/>
          <w:color w:val="auto"/>
        </w:rPr>
      </w:pPr>
    </w:p>
    <w:p>
      <w:pPr>
        <w:ind w:right="260" w:firstLine="255"/>
        <w:spacing w:after="0" w:line="261" w:lineRule="auto"/>
        <w:rPr>
          <w:sz w:val="20"/>
          <w:szCs w:val="20"/>
          <w:color w:val="auto"/>
        </w:rPr>
      </w:pPr>
      <w:r>
        <w:rPr>
          <w:rFonts w:ascii="Times New Roman" w:cs="Times New Roman" w:eastAsia="Times New Roman" w:hAnsi="Times New Roman"/>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520" w:hanging="257"/>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17" w:lineRule="exact"/>
        <w:rPr>
          <w:rFonts w:ascii="Times New Roman" w:cs="Times New Roman" w:eastAsia="Times New Roman" w:hAnsi="Times New Roman"/>
          <w:sz w:val="18"/>
          <w:szCs w:val="18"/>
          <w:color w:val="auto"/>
        </w:rPr>
      </w:pPr>
    </w:p>
    <w:p>
      <w:pPr>
        <w:ind w:left="520" w:right="280" w:hanging="257"/>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6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0" w:name="page61"/>
    <w:bookmarkEnd w:id="60"/>
    <w:p>
      <w:pPr>
        <w:ind w:left="520" w:hanging="257"/>
        <w:spacing w:after="0" w:line="26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71"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17" w:lineRule="exact"/>
        <w:rPr>
          <w:rFonts w:ascii="Times New Roman" w:cs="Times New Roman" w:eastAsia="Times New Roman" w:hAnsi="Times New Roman"/>
          <w:sz w:val="18"/>
          <w:szCs w:val="18"/>
          <w:color w:val="auto"/>
        </w:rPr>
      </w:pPr>
    </w:p>
    <w:p>
      <w:pPr>
        <w:ind w:left="520" w:right="140" w:hanging="257"/>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21"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76"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have created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0" w:lineRule="exact"/>
        <w:rPr>
          <w:sz w:val="20"/>
          <w:szCs w:val="20"/>
          <w:color w:val="auto"/>
        </w:rPr>
      </w:pPr>
    </w:p>
    <w:p>
      <w:pPr>
        <w:ind w:right="180" w:firstLine="255"/>
        <w:spacing w:after="0" w:line="255" w:lineRule="auto"/>
        <w:rPr>
          <w:sz w:val="20"/>
          <w:szCs w:val="20"/>
          <w:color w:val="auto"/>
        </w:rPr>
      </w:pPr>
      <w:r>
        <w:rPr>
          <w:rFonts w:ascii="Times New Roman" w:cs="Times New Roman" w:eastAsia="Times New Roman" w:hAnsi="Times New Roman"/>
          <w:sz w:val="18"/>
          <w:szCs w:val="18"/>
          <w:color w:val="auto"/>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have continued to expand.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1" w:name="page62"/>
    <w:bookmarkEnd w:id="61"/>
    <w:p>
      <w:pPr>
        <w:ind w:firstLine="255"/>
        <w:spacing w:after="0" w:line="261" w:lineRule="auto"/>
        <w:rPr>
          <w:sz w:val="20"/>
          <w:szCs w:val="20"/>
          <w:color w:val="auto"/>
        </w:rPr>
      </w:pPr>
      <w:r>
        <w:rPr>
          <w:rFonts w:ascii="Times New Roman" w:cs="Times New Roman" w:eastAsia="Times New Roman" w:hAnsi="Times New Roman"/>
          <w:sz w:val="18"/>
          <w:szCs w:val="18"/>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21"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As of September 30, 2026, our portfolio based on fair value consisted of 86.9% first-lien debt investments, 0.7% second-lien debt investments, 1.9% mezzanine debt investments, 5.7% equity investments, 2.4% structured credit investments and 2.4% joint venture investments. As of December 31, 2025, our portfolio based on fair value consisted of 89.2% first-lien debt investments, 0.9% second-lien debt investments, 1.8% mezzanine debt investments, 5.2% equity investments and 2.9% structured credit investments.</w:t>
      </w:r>
    </w:p>
    <w:p>
      <w:pPr>
        <w:spacing w:after="0" w:line="180"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our weighted average total yield of debt and income producing securities at fair value (which includes interest income and amortization of fees and discounts) was 11.4% and 11.1%, respectively, and our weighted average total yield of debt and income-producing securities at amortized cost (which includes interest income and amortization of fees and discounts) was 11.4% and 11.3%, respectively.</w:t>
      </w:r>
    </w:p>
    <w:p>
      <w:pPr>
        <w:spacing w:after="0" w:line="176"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As of September 30, 2026, we had investments in 133 portfolio companies (including 30 structured credit investments, which include each series of collateralized loan obligation as a separate portfolio company investment) with an aggregate fair value of $3,393.0 million. As of December 31, 2025, we had investments in 143 portfolio companies (including 36 structured credit investments, which include each series of collateralized loan obligation as a separate portfolio company investment) with an aggregate fair value of $3,347.3 million.</w:t>
      </w:r>
    </w:p>
    <w:p>
      <w:pPr>
        <w:spacing w:after="0" w:line="180"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the principal amount of new investments funded was $246.5 million in four new portfolio companies and six existing portfolio companies. For this period, we had $159.6 million aggregate principal amount in exits and repayments.</w:t>
      </w:r>
    </w:p>
    <w:p>
      <w:pPr>
        <w:spacing w:after="0" w:line="162" w:lineRule="exact"/>
        <w:rPr>
          <w:sz w:val="20"/>
          <w:szCs w:val="20"/>
          <w:color w:val="auto"/>
        </w:rPr>
      </w:pPr>
    </w:p>
    <w:p>
      <w:pPr>
        <w:ind w:right="560" w:firstLine="255"/>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the principal amount of new investments funded was $351.8 million in forty-one new portfolio companies and five existing portfolio companies. For this period, we had $302.8 million aggregate principal amount in exits and repayments.</w:t>
      </w:r>
    </w:p>
    <w:p>
      <w:pPr>
        <w:spacing w:after="0" w:line="162" w:lineRule="exact"/>
        <w:rPr>
          <w:sz w:val="20"/>
          <w:szCs w:val="20"/>
          <w:color w:val="auto"/>
        </w:rPr>
      </w:pPr>
    </w:p>
    <w:p>
      <w:pPr>
        <w:ind w:right="440" w:firstLine="255"/>
        <w:spacing w:after="0" w:line="261" w:lineRule="auto"/>
        <w:rPr>
          <w:sz w:val="20"/>
          <w:szCs w:val="20"/>
          <w:color w:val="auto"/>
        </w:rPr>
      </w:pPr>
      <w:r>
        <w:rPr>
          <w:rFonts w:ascii="Times New Roman" w:cs="Times New Roman" w:eastAsia="Times New Roman" w:hAnsi="Times New Roman"/>
          <w:sz w:val="18"/>
          <w:szCs w:val="18"/>
          <w:color w:val="auto"/>
        </w:rPr>
        <w:t>Our investment activity for the three months ended September 30, 2026 and 2025 is presented below (information presented herein is at par value unless otherwise indicated).</w:t>
      </w: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2" w:name="page63"/>
    <w:bookmarkEnd w:id="62"/>
    <w:tbl>
      <w:tblPr>
        <w:tblLayout w:type="fixed"/>
        <w:tblInd w:w="580" w:type="dxa"/>
        <w:tblCellMar>
          <w:top w:w="0" w:type="dxa"/>
          <w:left w:w="0" w:type="dxa"/>
          <w:bottom w:w="0" w:type="dxa"/>
          <w:right w:w="0" w:type="dxa"/>
        </w:tblCellMar>
      </w:tblPr>
      <w:tr>
        <w:trPr>
          <w:trHeight w:val="173"/>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Pr>
          <w:p>
            <w:pPr>
              <w:spacing w:after="0"/>
              <w:rPr>
                <w:sz w:val="15"/>
                <w:szCs w:val="15"/>
                <w:color w:val="auto"/>
              </w:rPr>
            </w:pPr>
          </w:p>
        </w:tc>
        <w:tc>
          <w:tcPr>
            <w:tcW w:w="3500" w:type="dxa"/>
            <w:vAlign w:val="bottom"/>
            <w:gridSpan w:val="6"/>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48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Gross originations </w:t>
            </w:r>
            <w:r>
              <w:rPr>
                <w:rFonts w:ascii="Times New Roman" w:cs="Times New Roman" w:eastAsia="Times New Roman" w:hAnsi="Times New Roman"/>
                <w:sz w:val="24"/>
                <w:szCs w:val="24"/>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2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Less: Syndications/sell downs </w:t>
            </w:r>
            <w:r>
              <w:rPr>
                <w:rFonts w:ascii="Times New Roman" w:cs="Times New Roman" w:eastAsia="Times New Roman" w:hAnsi="Times New Roman"/>
                <w:sz w:val="24"/>
                <w:szCs w:val="24"/>
                <w:color w:val="auto"/>
                <w:vertAlign w:val="superscript"/>
              </w:rPr>
              <w:t>(1)</w:t>
            </w: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3,347.3</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First-lien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Second-lien</w:t>
            </w:r>
          </w:p>
        </w:tc>
        <w:tc>
          <w:tcPr>
            <w:tcW w:w="1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Mezzanine</w:t>
            </w:r>
          </w:p>
        </w:tc>
        <w:tc>
          <w:tcPr>
            <w:tcW w:w="1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Structured Credit</w:t>
            </w:r>
          </w:p>
        </w:tc>
        <w:tc>
          <w:tcPr>
            <w:tcW w:w="1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Joint Venture</w:t>
            </w: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First-lien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Second-lien</w:t>
            </w:r>
          </w:p>
        </w:tc>
        <w:tc>
          <w:tcPr>
            <w:tcW w:w="1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Mezzanine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Structured Credit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Joint Venture</w:t>
            </w: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48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120" w:type="dxa"/>
            <w:vAlign w:val="bottom"/>
            <w:tcBorders>
              <w:top w:val="single" w:sz="8" w:color="auto"/>
            </w:tcBorders>
            <w:shd w:val="clear" w:color="auto" w:fill="CFF0FC"/>
          </w:tcPr>
          <w:p>
            <w:pPr>
              <w:spacing w:after="0"/>
              <w:rPr>
                <w:sz w:val="14"/>
                <w:szCs w:val="14"/>
                <w:color w:val="auto"/>
              </w:rPr>
            </w:pPr>
          </w:p>
        </w:tc>
        <w:tc>
          <w:tcPr>
            <w:tcW w:w="142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6480" w:type="dxa"/>
            <w:vAlign w:val="bottom"/>
            <w:shd w:val="clear" w:color="auto" w:fill="CFF0FC"/>
          </w:tcPr>
          <w:p>
            <w:pPr>
              <w:ind w:left="14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new portfolio companies </w:t>
            </w:r>
            <w:r>
              <w:rPr>
                <w:rFonts w:ascii="Times New Roman" w:cs="Times New Roman" w:eastAsia="Times New Roman" w:hAnsi="Times New Roman"/>
                <w:sz w:val="24"/>
                <w:szCs w:val="24"/>
                <w:b w:val="1"/>
                <w:bCs w:val="1"/>
                <w:color w:val="auto"/>
                <w:vertAlign w:val="superscript"/>
              </w:rPr>
              <w:t>(2)</w:t>
            </w:r>
          </w:p>
        </w:tc>
        <w:tc>
          <w:tcPr>
            <w:tcW w:w="12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64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480" w:type="dxa"/>
            <w:vAlign w:val="bottom"/>
          </w:tcPr>
          <w:p>
            <w:pPr>
              <w:ind w:left="14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new portfolio companies </w:t>
            </w:r>
            <w:r>
              <w:rPr>
                <w:rFonts w:ascii="Times New Roman" w:cs="Times New Roman" w:eastAsia="Times New Roman" w:hAnsi="Times New Roman"/>
                <w:sz w:val="24"/>
                <w:szCs w:val="24"/>
                <w:b w:val="1"/>
                <w:bCs w:val="1"/>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tcPr>
          <w:p>
            <w:pPr>
              <w:spacing w:after="0"/>
              <w:rPr>
                <w:sz w:val="22"/>
                <w:szCs w:val="22"/>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4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term for new debt investment</w:t>
            </w: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480" w:type="dxa"/>
            <w:vAlign w:val="bottom"/>
            <w:shd w:val="clear" w:color="auto" w:fill="CFF0FC"/>
          </w:tcPr>
          <w:p>
            <w:pPr>
              <w:ind w:left="14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(in years) </w:t>
            </w:r>
            <w:r>
              <w:rPr>
                <w:rFonts w:ascii="Times New Roman" w:cs="Times New Roman" w:eastAsia="Times New Roman" w:hAnsi="Times New Roman"/>
                <w:sz w:val="24"/>
                <w:szCs w:val="24"/>
                <w:b w:val="1"/>
                <w:bCs w:val="1"/>
                <w:color w:val="auto"/>
                <w:vertAlign w:val="superscript"/>
              </w:rPr>
              <w:t>(2)</w:t>
            </w:r>
          </w:p>
        </w:tc>
        <w:tc>
          <w:tcPr>
            <w:tcW w:w="12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4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12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4"/>
        </w:trPr>
        <w:tc>
          <w:tcPr>
            <w:tcW w:w="64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1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64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12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4"/>
        </w:trPr>
        <w:tc>
          <w:tcPr>
            <w:tcW w:w="64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spread over reference rate of new</w:t>
            </w: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1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4"/>
        </w:trPr>
        <w:tc>
          <w:tcPr>
            <w:tcW w:w="64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fully sold or paid down</w:t>
            </w:r>
          </w:p>
        </w:tc>
        <w:tc>
          <w:tcPr>
            <w:tcW w:w="120" w:type="dxa"/>
            <w:vAlign w:val="bottom"/>
          </w:tcPr>
          <w:p>
            <w:pPr>
              <w:spacing w:after="0"/>
              <w:rPr>
                <w:sz w:val="20"/>
                <w:szCs w:val="20"/>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-4705350</wp:posOffset>
            </wp:positionV>
            <wp:extent cx="11176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-4705350</wp:posOffset>
            </wp:positionV>
            <wp:extent cx="11176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-3599815</wp:posOffset>
            </wp:positionV>
            <wp:extent cx="11176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-3599815</wp:posOffset>
            </wp:positionV>
            <wp:extent cx="11176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-2485390</wp:posOffset>
            </wp:positionV>
            <wp:extent cx="11176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-2485390</wp:posOffset>
            </wp:positionV>
            <wp:extent cx="11176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affiliates of Sixth Street.</w:t>
      </w:r>
    </w:p>
    <w:p>
      <w:pPr>
        <w:spacing w:after="0" w:line="27" w:lineRule="exact"/>
        <w:rPr>
          <w:rFonts w:ascii="Times New Roman" w:cs="Times New Roman" w:eastAsia="Times New Roman" w:hAnsi="Times New Roman"/>
          <w:sz w:val="18"/>
          <w:szCs w:val="18"/>
          <w:color w:val="auto"/>
        </w:rPr>
      </w:pPr>
    </w:p>
    <w:p>
      <w:pPr>
        <w:ind w:left="520" w:right="460" w:hanging="512"/>
        <w:spacing w:after="0" w:line="260"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September 30, 2025, includes 37 structured credit investments with a total principal amount of $98.7 million and a weighted average term of 12.2 years.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2026 and December 31, 2025, our investments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08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2,976.8</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2,934.2</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2,984.4</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credit investments</w:t>
            </w: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investments</w:t>
            </w:r>
          </w:p>
        </w:tc>
        <w:tc>
          <w:tcPr>
            <w:tcW w:w="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3,407.6</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3,323.3</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3,347.3</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308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-796290</wp:posOffset>
            </wp:positionV>
            <wp:extent cx="6032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-779145</wp:posOffset>
            </wp:positionV>
            <wp:extent cx="6032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-796290</wp:posOffset>
            </wp:positionV>
            <wp:extent cx="6032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-779145</wp:posOffset>
            </wp:positionV>
            <wp:extent cx="6032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-796290</wp:posOffset>
            </wp:positionV>
            <wp:extent cx="6032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-779145</wp:posOffset>
            </wp:positionV>
            <wp:extent cx="60325"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-796290</wp:posOffset>
            </wp:positionV>
            <wp:extent cx="6858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-779145</wp:posOffset>
            </wp:positionV>
            <wp:extent cx="6858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63" w:name="page64"/>
    <w:bookmarkEnd w:id="63"/>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tables show the fair value and amortized cost of our performing and non-accrual investments as of September 30, 2026 and December 31, 2025:</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78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5"/>
                <w:szCs w:val="15"/>
                <w:color w:val="auto"/>
              </w:rPr>
            </w:pPr>
          </w:p>
        </w:tc>
        <w:tc>
          <w:tcPr>
            <w:tcW w:w="280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4040" w:type="dxa"/>
            <w:vAlign w:val="bottom"/>
            <w:vMerge w:val="continue"/>
          </w:tcPr>
          <w:p>
            <w:pPr>
              <w:spacing w:after="0"/>
              <w:rPr>
                <w:sz w:val="12"/>
                <w:szCs w:val="12"/>
                <w:color w:val="auto"/>
              </w:rPr>
            </w:pPr>
          </w:p>
        </w:tc>
        <w:tc>
          <w:tcPr>
            <w:tcW w:w="136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2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300" w:type="dxa"/>
            <w:vAlign w:val="bottom"/>
          </w:tcPr>
          <w:p>
            <w:pPr>
              <w:spacing w:after="0"/>
              <w:rPr>
                <w:sz w:val="12"/>
                <w:szCs w:val="12"/>
                <w:color w:val="auto"/>
              </w:rPr>
            </w:pPr>
          </w:p>
        </w:tc>
        <w:tc>
          <w:tcPr>
            <w:tcW w:w="138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2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580" w:type="dxa"/>
        <w:tblCellMar>
          <w:top w:w="0" w:type="dxa"/>
          <w:left w:w="0" w:type="dxa"/>
          <w:bottom w:w="0" w:type="dxa"/>
          <w:right w:w="0" w:type="dxa"/>
        </w:tblCellMar>
      </w:tblPr>
      <w:tr>
        <w:trPr>
          <w:trHeight w:val="20"/>
        </w:trPr>
        <w:tc>
          <w:tcPr>
            <w:tcW w:w="2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Performing</w:t>
            </w:r>
          </w:p>
        </w:tc>
        <w:tc>
          <w:tcPr>
            <w:tcW w:w="158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3,354.9</w:t>
            </w:r>
          </w:p>
        </w:tc>
        <w:tc>
          <w:tcPr>
            <w:tcW w:w="1820" w:type="dxa"/>
            <w:vAlign w:val="bottom"/>
            <w:gridSpan w:val="3"/>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98.9%</w:t>
            </w: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3,327.3</w:t>
            </w:r>
          </w:p>
        </w:tc>
        <w:tc>
          <w:tcPr>
            <w:tcW w:w="1700" w:type="dxa"/>
            <w:vAlign w:val="bottom"/>
            <w:gridSpan w:val="3"/>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6"/>
        </w:trPr>
        <w:tc>
          <w:tcPr>
            <w:tcW w:w="2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Non-accrual </w:t>
            </w:r>
            <w:r>
              <w:rPr>
                <w:rFonts w:ascii="Times New Roman" w:cs="Times New Roman" w:eastAsia="Times New Roman" w:hAnsi="Times New Roman"/>
                <w:sz w:val="24"/>
                <w:szCs w:val="24"/>
                <w:color w:val="auto"/>
                <w:vertAlign w:val="superscript"/>
              </w:rPr>
              <w:t>(1)</w:t>
            </w: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1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3,347.3</w:t>
            </w:r>
          </w:p>
        </w:tc>
        <w:tc>
          <w:tcPr>
            <w:tcW w:w="1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 w:type="dxa"/>
            <w:vAlign w:val="bottom"/>
          </w:tcPr>
          <w:p>
            <w:pPr>
              <w:spacing w:after="0"/>
              <w:rPr>
                <w:sz w:val="24"/>
                <w:szCs w:val="24"/>
                <w:color w:val="auto"/>
              </w:rPr>
            </w:pPr>
          </w:p>
        </w:tc>
        <w:tc>
          <w:tcPr>
            <w:tcW w:w="286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256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3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Performing</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1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3,254.5</w:t>
            </w:r>
          </w:p>
        </w:tc>
        <w:tc>
          <w:tcPr>
            <w:tcW w:w="1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6"/>
        </w:trPr>
        <w:tc>
          <w:tcPr>
            <w:tcW w:w="25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Non-accrual </w:t>
            </w:r>
            <w:r>
              <w:rPr>
                <w:rFonts w:ascii="Times New Roman" w:cs="Times New Roman" w:eastAsia="Times New Roman" w:hAnsi="Times New Roman"/>
                <w:sz w:val="24"/>
                <w:szCs w:val="24"/>
                <w:color w:val="auto"/>
                <w:vertAlign w:val="superscript"/>
              </w:rPr>
              <w:t>(1)</w:t>
            </w: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3,407.6</w:t>
            </w:r>
          </w:p>
        </w:tc>
        <w:tc>
          <w:tcPr>
            <w:tcW w:w="1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3,323.3</w:t>
            </w:r>
          </w:p>
        </w:tc>
        <w:tc>
          <w:tcPr>
            <w:tcW w:w="1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-814070</wp:posOffset>
            </wp:positionV>
            <wp:extent cx="6032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-796290</wp:posOffset>
            </wp:positionV>
            <wp:extent cx="6032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-814070</wp:posOffset>
            </wp:positionV>
            <wp:extent cx="11112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-796290</wp:posOffset>
            </wp:positionV>
            <wp:extent cx="11112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-814070</wp:posOffset>
            </wp:positionV>
            <wp:extent cx="6032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-796290</wp:posOffset>
            </wp:positionV>
            <wp:extent cx="6032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-814070</wp:posOffset>
            </wp:positionV>
            <wp:extent cx="11176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-796290</wp:posOffset>
            </wp:positionV>
            <wp:extent cx="11176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-25400</wp:posOffset>
            </wp:positionV>
            <wp:extent cx="6032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6032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11112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11112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0325"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-25400</wp:posOffset>
            </wp:positionV>
            <wp:extent cx="11176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-7620</wp:posOffset>
            </wp:positionV>
            <wp:extent cx="11176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left="520" w:right="140" w:hanging="512"/>
        <w:spacing w:after="0" w:line="25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 - Interest and Dividend Recognition.”</w:t>
      </w:r>
    </w:p>
    <w:p>
      <w:pPr>
        <w:spacing w:after="0" w:line="187" w:lineRule="exact"/>
        <w:rPr>
          <w:sz w:val="20"/>
          <w:szCs w:val="20"/>
          <w:color w:val="auto"/>
        </w:rPr>
      </w:pPr>
    </w:p>
    <w:p>
      <w:pPr>
        <w:ind w:right="80" w:firstLine="255"/>
        <w:spacing w:after="0" w:line="257" w:lineRule="auto"/>
        <w:rPr>
          <w:sz w:val="20"/>
          <w:szCs w:val="20"/>
          <w:color w:val="auto"/>
        </w:rPr>
      </w:pPr>
      <w:r>
        <w:rPr>
          <w:rFonts w:ascii="Times New Roman" w:cs="Times New Roman" w:eastAsia="Times New Roman" w:hAnsi="Times New Roman"/>
          <w:sz w:val="18"/>
          <w:szCs w:val="18"/>
          <w:color w:val="auto"/>
        </w:rPr>
        <w:t>The weighted average yields and interest rates of our performing debt investments at fair value as of September 30, 2026 and December 31, 2025 were as follows:</w:t>
      </w:r>
    </w:p>
    <w:tbl>
      <w:tblPr>
        <w:tblLayout w:type="fixed"/>
        <w:tblInd w:w="1140" w:type="dxa"/>
        <w:tblCellMar>
          <w:top w:w="0" w:type="dxa"/>
          <w:left w:w="0" w:type="dxa"/>
          <w:bottom w:w="0" w:type="dxa"/>
          <w:right w:w="0" w:type="dxa"/>
        </w:tblCellMar>
      </w:tblPr>
      <w:tr>
        <w:trPr>
          <w:trHeight w:val="156"/>
        </w:trPr>
        <w:tc>
          <w:tcPr>
            <w:tcW w:w="5240" w:type="dxa"/>
            <w:vAlign w:val="bottom"/>
          </w:tcPr>
          <w:p>
            <w:pPr>
              <w:spacing w:after="0"/>
              <w:rPr>
                <w:sz w:val="13"/>
                <w:szCs w:val="13"/>
                <w:color w:val="auto"/>
              </w:rPr>
            </w:pPr>
          </w:p>
        </w:tc>
        <w:tc>
          <w:tcPr>
            <w:tcW w:w="194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80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1"/>
        </w:trPr>
        <w:tc>
          <w:tcPr>
            <w:tcW w:w="524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8"/>
                <w:szCs w:val="18"/>
                <w:color w:val="auto"/>
              </w:rPr>
              <w:t>Weighted average total yield of debt and income</w:t>
            </w:r>
          </w:p>
        </w:tc>
        <w:tc>
          <w:tcPr>
            <w:tcW w:w="1640" w:type="dxa"/>
            <w:vAlign w:val="bottom"/>
            <w:tcBorders>
              <w:top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r>
        <w:trPr>
          <w:trHeight w:val="254"/>
        </w:trPr>
        <w:tc>
          <w:tcPr>
            <w:tcW w:w="5240" w:type="dxa"/>
            <w:vAlign w:val="bottom"/>
            <w:shd w:val="clear" w:color="auto" w:fill="CFF0FC"/>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producing securities </w:t>
            </w:r>
            <w:r>
              <w:rPr>
                <w:rFonts w:ascii="Times New Roman" w:cs="Times New Roman" w:eastAsia="Times New Roman" w:hAnsi="Times New Roman"/>
                <w:sz w:val="24"/>
                <w:szCs w:val="24"/>
                <w:color w:val="auto"/>
                <w:vertAlign w:val="superscript"/>
              </w:rPr>
              <w:t>(1)</w:t>
            </w: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r>
      <w:tr>
        <w:trPr>
          <w:trHeight w:val="198"/>
        </w:trPr>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interest rate of debt and income</w:t>
            </w: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producing securities</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r>
      <w:tr>
        <w:trPr>
          <w:trHeight w:val="198"/>
        </w:trPr>
        <w:tc>
          <w:tcPr>
            <w:tcW w:w="52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spread over reference rate of all floating</w:t>
            </w:r>
          </w:p>
        </w:tc>
        <w:tc>
          <w:tcPr>
            <w:tcW w:w="1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5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rate investments</w:t>
            </w: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bl>
    <w:p>
      <w:pPr>
        <w:spacing w:after="0" w:line="198"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total portfolio yield at fair value was 10.8% at September 30, 2026 and 10.5% at December 31, 2025.</w:t>
      </w:r>
    </w:p>
    <w:p>
      <w:pPr>
        <w:spacing w:after="0" w:line="293" w:lineRule="exact"/>
        <w:rPr>
          <w:sz w:val="20"/>
          <w:szCs w:val="20"/>
          <w:color w:val="auto"/>
        </w:rPr>
      </w:pPr>
    </w:p>
    <w:p>
      <w:pPr>
        <w:jc w:val="both"/>
        <w:ind w:right="80" w:firstLine="255"/>
        <w:spacing w:after="0" w:line="266"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68" w:lineRule="exact"/>
        <w:rPr>
          <w:sz w:val="20"/>
          <w:szCs w:val="20"/>
          <w:color w:val="auto"/>
        </w:rPr>
      </w:pPr>
    </w:p>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17" w:lineRule="exact"/>
        <w:rPr>
          <w:rFonts w:ascii="Times New Roman" w:cs="Times New Roman" w:eastAsia="Times New Roman" w:hAnsi="Times New Roman"/>
          <w:sz w:val="18"/>
          <w:szCs w:val="18"/>
          <w:color w:val="auto"/>
        </w:rPr>
      </w:pPr>
    </w:p>
    <w:p>
      <w:pPr>
        <w:ind w:left="520" w:right="20" w:hanging="257"/>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jc w:val="both"/>
        <w:ind w:left="520" w:right="580" w:hanging="257"/>
        <w:spacing w:after="0" w:line="257"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64" w:name="page65"/>
    <w:bookmarkEnd w:id="64"/>
    <w:p>
      <w:pPr>
        <w:ind w:left="520" w:right="60" w:hanging="257"/>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20" w:right="140" w:hanging="257"/>
        <w:spacing w:after="0" w:line="26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20" w:right="40" w:hanging="257"/>
        <w:spacing w:after="0" w:line="256"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79" w:lineRule="exact"/>
        <w:rPr>
          <w:rFonts w:ascii="Times New Roman" w:cs="Times New Roman" w:eastAsia="Times New Roman" w:hAnsi="Times New Roman"/>
          <w:sz w:val="18"/>
          <w:szCs w:val="18"/>
          <w:color w:val="auto"/>
        </w:rPr>
      </w:pPr>
    </w:p>
    <w:p>
      <w:pPr>
        <w:ind w:left="520" w:right="60" w:hanging="257"/>
        <w:spacing w:after="0" w:line="277" w:lineRule="auto"/>
        <w:tabs>
          <w:tab w:leader="none" w:pos="5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Investments that carry a rating of 5 would typically indicate the position has been placed on non-accrual status (for investments that otherwise would be income producing).</w:t>
      </w:r>
    </w:p>
    <w:p>
      <w:pPr>
        <w:spacing w:after="0" w:line="168"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September 30, 2026 and December 31, 2025. Investment performance ratings are accurate only as of those dates and may change due to subsequent developments relating to a portfolio company’s business or financial condition, market conditions or developments, and other factors.</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5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3"/>
          </w:tcPr>
          <w:p>
            <w:pPr>
              <w:jc w:val="right"/>
              <w:ind w:right="125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00" w:type="dxa"/>
            <w:vAlign w:val="bottom"/>
            <w:gridSpan w:val="2"/>
            <w:vMerge w:val="continue"/>
          </w:tcPr>
          <w:p>
            <w:pPr>
              <w:spacing w:after="0"/>
              <w:rPr>
                <w:sz w:val="11"/>
                <w:szCs w:val="11"/>
                <w:color w:val="auto"/>
              </w:rPr>
            </w:pPr>
          </w:p>
        </w:tc>
        <w:tc>
          <w:tcPr>
            <w:tcW w:w="1720" w:type="dxa"/>
            <w:vAlign w:val="bottom"/>
            <w:gridSpan w:val="2"/>
          </w:tcPr>
          <w:p>
            <w:pPr>
              <w:jc w:val="right"/>
              <w:ind w:right="335"/>
              <w:spacing w:after="0" w:line="131"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240" w:type="dxa"/>
            <w:vAlign w:val="bottom"/>
          </w:tcPr>
          <w:p>
            <w:pPr>
              <w:spacing w:after="0"/>
              <w:rPr>
                <w:sz w:val="11"/>
                <w:szCs w:val="11"/>
                <w:color w:val="auto"/>
              </w:rPr>
            </w:pPr>
          </w:p>
        </w:tc>
        <w:tc>
          <w:tcPr>
            <w:tcW w:w="134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2"/>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240" w:type="dxa"/>
            <w:vAlign w:val="bottom"/>
          </w:tcPr>
          <w:p>
            <w:pPr>
              <w:spacing w:after="0"/>
              <w:rPr>
                <w:sz w:val="11"/>
                <w:szCs w:val="11"/>
                <w:color w:val="auto"/>
              </w:rPr>
            </w:pPr>
          </w:p>
        </w:tc>
        <w:tc>
          <w:tcPr>
            <w:tcW w:w="196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2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720" w:type="dxa"/>
            <w:vAlign w:val="bottom"/>
            <w:gridSpan w:val="2"/>
          </w:tcPr>
          <w:p>
            <w:pPr>
              <w:jc w:val="right"/>
              <w:ind w:right="455"/>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right"/>
              <w:ind w:right="495"/>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20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134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1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83.1%</w:t>
            </w:r>
          </w:p>
        </w:tc>
        <w:tc>
          <w:tcPr>
            <w:tcW w:w="720" w:type="dxa"/>
            <w:vAlign w:val="bottom"/>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3,002.3</w:t>
            </w:r>
          </w:p>
        </w:tc>
        <w:tc>
          <w:tcPr>
            <w:tcW w:w="2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560" w:type="dxa"/>
            <w:vAlign w:val="bottom"/>
          </w:tcPr>
          <w:p>
            <w:pPr>
              <w:jc w:val="right"/>
              <w:ind w:right="40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w:t>
            </w:r>
          </w:p>
        </w:tc>
        <w:tc>
          <w:tcPr>
            <w:tcW w:w="72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3,347.3</w:t>
            </w:r>
          </w:p>
        </w:tc>
        <w:tc>
          <w:tcPr>
            <w:tcW w:w="2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-170815</wp:posOffset>
            </wp:positionV>
            <wp:extent cx="6032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-170815</wp:posOffset>
            </wp:positionV>
            <wp:extent cx="11176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032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-170815</wp:posOffset>
            </wp:positionV>
            <wp:extent cx="11176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Structured Credit Partners JV, LLC (“SCP”)</w:t>
      </w:r>
    </w:p>
    <w:p>
      <w:pPr>
        <w:spacing w:after="0" w:line="119"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On December 23, 2025, affiliates of Sixth Street, including us, and affiliates of Carlyle entered into the Limited Liability Company Agreement, to co-manage SCP, a joint venture focused on investing in broadly syndicated first lien senior secured loans, financed with long-term, non-mark-to-market, and predominantly investment grade rated CLO debt managed by affiliates of Sixth Street or Carlyle on a no-fee basis. SCP is managed by a board of managers, consisting of an equal number of representatives appointed by the Sixth Street-affiliated members of SCP and the Carlyle-affiliated members of SCP and which acts unanimously. Portfolio construction and investment decisions must be unanimously approved by SCP’s investment committee, as delegated by SCP’s board of managers. Our investment in SCP is made with certain of our affiliates in accordance with the terms of the exemptive relief that we received from the SEC. We do not consolidate our non-controlling interest in SCP.</w:t>
      </w:r>
    </w:p>
    <w:p>
      <w:pPr>
        <w:spacing w:after="0" w:line="8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As of September 30, 2026, SCP had total capital commitments of $600.0 million comprised of $200.0 million of capital commitments from Sixth Street Specialty Lending, Inc., $100.0 million of capital commitments from Sixth Street Lending Partners, $150.0 million of capital commitments from Carlyle Secured Lending, Inc., and $150.0 million of capital commitments from Carlyle Credit Solutions, Inc., with all members of SCP having equal voting control.</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2026 SCP had the following contributed capital and unfunded commitments from its members: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5" w:name="page66"/>
    <w:bookmarkEnd w:id="65"/>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in millions)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contributed capital by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contributed capital by Sixth Street Lending Partners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contributed capital by Carlyle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3716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Total contributed capital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unfunded commitments by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unfunded commitments by Sixth Street Lending Partners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unfunded commitments by Carlyle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3716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Total unfunded commitments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188"/>
        </w:trPr>
        <w:tc>
          <w:tcPr>
            <w:tcW w:w="20" w:type="dxa"/>
            <w:vAlign w:val="bottom"/>
          </w:tcPr>
          <w:p>
            <w:pPr>
              <w:spacing w:after="0"/>
              <w:rPr>
                <w:sz w:val="16"/>
                <w:szCs w:val="16"/>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w:t>
            </w:r>
          </w:p>
        </w:tc>
      </w:tr>
      <w:tr>
        <w:trPr>
          <w:trHeight w:val="202"/>
        </w:trPr>
        <w:tc>
          <w:tcPr>
            <w:tcW w:w="20" w:type="dxa"/>
            <w:vAlign w:val="bottom"/>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124.4</w:t>
            </w: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10"/>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186.5</w:t>
            </w:r>
          </w:p>
        </w:tc>
      </w:tr>
      <w:tr>
        <w:trPr>
          <w:trHeight w:val="202"/>
        </w:trPr>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373.1</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400" w:space="720"/>
            <w:col w:w="2120"/>
          </w:cols>
          <w:pgMar w:left="320" w:top="988" w:right="339" w:bottom="1440" w:gutter="0" w:footer="0" w:header="0"/>
        </w:sect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SCP declared $9.8 million and $15.5 million, respectively, in distributions, of which $3.3 million and $5.2 million, respectively, was recognized as dividend income in the Company’s Consolidated Statements of Operations. As of September 30, 2026, the daily weighted average yield on our investment in Structured Credit Partners JV, LLC was 20.3%.</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Below is a summary of SCP’s portfolio as of September 30, 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in millions)</w:t>
            </w:r>
          </w:p>
        </w:tc>
        <w:tc>
          <w:tcPr>
            <w:tcW w:w="200" w:type="dxa"/>
            <w:vAlign w:val="bottom"/>
          </w:tcPr>
          <w:p>
            <w:pPr>
              <w:spacing w:after="0"/>
              <w:rPr>
                <w:sz w:val="18"/>
                <w:szCs w:val="18"/>
                <w:color w:val="auto"/>
              </w:rPr>
            </w:pPr>
          </w:p>
        </w:tc>
        <w:tc>
          <w:tcPr>
            <w:tcW w:w="19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199"/>
        </w:trPr>
        <w:tc>
          <w:tcPr>
            <w:tcW w:w="9100" w:type="dxa"/>
            <w:vAlign w:val="bottom"/>
            <w:gridSpan w:val="2"/>
            <w:shd w:val="clear" w:color="auto" w:fill="CFF0FC"/>
          </w:tcPr>
          <w:p>
            <w:pPr>
              <w:spacing w:after="0" w:line="199" w:lineRule="exact"/>
              <w:rPr>
                <w:sz w:val="20"/>
                <w:szCs w:val="20"/>
                <w:color w:val="auto"/>
              </w:rPr>
            </w:pPr>
            <w:r>
              <w:rPr>
                <w:rFonts w:ascii="Times New Roman" w:cs="Times New Roman" w:eastAsia="Times New Roman" w:hAnsi="Times New Roman"/>
                <w:sz w:val="16"/>
                <w:szCs w:val="16"/>
                <w:color w:val="auto"/>
              </w:rPr>
              <w:t xml:space="preserve">Total investments </w:t>
            </w:r>
            <w:r>
              <w:rPr>
                <w:rFonts w:ascii="Times New Roman" w:cs="Times New Roman" w:eastAsia="Times New Roman" w:hAnsi="Times New Roman"/>
                <w:sz w:val="21"/>
                <w:szCs w:val="21"/>
                <w:color w:val="auto"/>
                <w:vertAlign w:val="superscript"/>
              </w:rPr>
              <w:t>(1)</w:t>
            </w: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2,157.5</w:t>
            </w:r>
          </w:p>
        </w:tc>
        <w:tc>
          <w:tcPr>
            <w:tcW w:w="140" w:type="dxa"/>
            <w:vAlign w:val="bottom"/>
            <w:shd w:val="clear" w:color="auto" w:fill="CFF0FC"/>
          </w:tcPr>
          <w:p>
            <w:pPr>
              <w:spacing w:after="0"/>
              <w:rPr>
                <w:sz w:val="17"/>
                <w:szCs w:val="17"/>
                <w:color w:val="auto"/>
              </w:rPr>
            </w:pPr>
          </w:p>
        </w:tc>
      </w:tr>
      <w:tr>
        <w:trPr>
          <w:trHeight w:val="203"/>
        </w:trPr>
        <w:tc>
          <w:tcPr>
            <w:tcW w:w="9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yield on total investments at amortized cost</w:t>
            </w:r>
          </w:p>
        </w:tc>
        <w:tc>
          <w:tcPr>
            <w:tcW w:w="200" w:type="dxa"/>
            <w:vAlign w:val="bottom"/>
          </w:tcPr>
          <w:p>
            <w:pPr>
              <w:spacing w:after="0"/>
              <w:rPr>
                <w:sz w:val="17"/>
                <w:szCs w:val="17"/>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6.95%</w:t>
            </w:r>
          </w:p>
        </w:tc>
      </w:tr>
      <w:tr>
        <w:trPr>
          <w:trHeight w:val="203"/>
        </w:trPr>
        <w:tc>
          <w:tcPr>
            <w:tcW w:w="9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yield on total investments at fair value</w:t>
            </w:r>
          </w:p>
        </w:tc>
        <w:tc>
          <w:tcPr>
            <w:tcW w:w="20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6.96%</w:t>
            </w:r>
          </w:p>
        </w:tc>
      </w:tr>
      <w:tr>
        <w:trPr>
          <w:trHeight w:val="203"/>
        </w:trPr>
        <w:tc>
          <w:tcPr>
            <w:tcW w:w="9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spread on investments</w:t>
            </w:r>
          </w:p>
        </w:tc>
        <w:tc>
          <w:tcPr>
            <w:tcW w:w="200" w:type="dxa"/>
            <w:vAlign w:val="bottom"/>
          </w:tcPr>
          <w:p>
            <w:pPr>
              <w:spacing w:after="0"/>
              <w:rPr>
                <w:sz w:val="17"/>
                <w:szCs w:val="17"/>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2.77%</w:t>
            </w:r>
          </w:p>
        </w:tc>
      </w:tr>
      <w:tr>
        <w:trPr>
          <w:trHeight w:val="203"/>
        </w:trPr>
        <w:tc>
          <w:tcPr>
            <w:tcW w:w="9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portfolio companies in SCP</w:t>
            </w: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40" w:type="dxa"/>
            <w:vAlign w:val="bottom"/>
            <w:shd w:val="clear" w:color="auto" w:fill="CFF0FC"/>
          </w:tcPr>
          <w:p>
            <w:pPr>
              <w:spacing w:after="0"/>
              <w:rPr>
                <w:sz w:val="17"/>
                <w:szCs w:val="17"/>
                <w:color w:val="auto"/>
              </w:rPr>
            </w:pPr>
          </w:p>
        </w:tc>
      </w:tr>
      <w:tr>
        <w:trPr>
          <w:trHeight w:val="210"/>
        </w:trPr>
        <w:tc>
          <w:tcPr>
            <w:tcW w:w="9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loans at floating interest rates</w:t>
            </w:r>
          </w:p>
        </w:tc>
        <w:tc>
          <w:tcPr>
            <w:tcW w:w="200" w:type="dxa"/>
            <w:vAlign w:val="bottom"/>
          </w:tcPr>
          <w:p>
            <w:pPr>
              <w:spacing w:after="0"/>
              <w:rPr>
                <w:sz w:val="18"/>
                <w:szCs w:val="18"/>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99.64%</w:t>
            </w:r>
          </w:p>
        </w:tc>
      </w:tr>
      <w:tr>
        <w:trPr>
          <w:trHeight w:val="53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par amount.</w:t>
            </w: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results for the three and nine months ended September 30, 2026 and 2025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Borders>
              <w:bottom w:val="single" w:sz="8" w:color="auto"/>
            </w:tcBorders>
            <w:gridSpan w:val="2"/>
          </w:tcPr>
          <w:p>
            <w:pPr>
              <w:jc w:val="right"/>
              <w:ind w:right="5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Borders>
              <w:bottom w:val="single" w:sz="8" w:color="auto"/>
            </w:tcBorders>
            <w:gridSpan w:val="2"/>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Borders>
              <w:bottom w:val="single" w:sz="8" w:color="auto"/>
            </w:tcBorders>
            <w:gridSpan w:val="2"/>
          </w:tcPr>
          <w:p>
            <w:pPr>
              <w:jc w:val="right"/>
              <w:ind w:right="19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expenses</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1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Less: Income taxes, including excise taxes</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1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2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gains (losses) </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2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change in unrealized gains (losses) </w:t>
            </w:r>
            <w:r>
              <w:rPr>
                <w:rFonts w:ascii="Times New Roman" w:cs="Times New Roman" w:eastAsia="Times New Roman" w:hAnsi="Times New Roman"/>
                <w:sz w:val="24"/>
                <w:szCs w:val="24"/>
                <w:color w:val="auto"/>
                <w:vertAlign w:val="superscript"/>
              </w:rPr>
              <w:t>(2)</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0" w:type="dxa"/>
            <w:vAlign w:val="bottom"/>
          </w:tcPr>
          <w:p>
            <w:pPr>
              <w:spacing w:after="0"/>
              <w:rPr>
                <w:sz w:val="16"/>
                <w:szCs w:val="16"/>
                <w:color w:val="auto"/>
              </w:rPr>
            </w:pPr>
          </w:p>
        </w:tc>
        <w:tc>
          <w:tcPr>
            <w:tcW w:w="412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Net increase (decrease) in net assets resulting from</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6"/>
                <w:szCs w:val="16"/>
                <w:color w:val="auto"/>
              </w:rPr>
            </w:pPr>
          </w:p>
        </w:tc>
        <w:tc>
          <w:tcPr>
            <w:tcW w:w="940" w:type="dxa"/>
            <w:vAlign w:val="bottom"/>
            <w:gridSpan w:val="2"/>
            <w:vMerge w:val="restart"/>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6"/>
                <w:szCs w:val="16"/>
                <w:color w:val="auto"/>
              </w:rPr>
            </w:pPr>
          </w:p>
        </w:tc>
        <w:tc>
          <w:tcPr>
            <w:tcW w:w="3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Pr>
          <w:p>
            <w:pPr>
              <w:spacing w:after="0"/>
              <w:rPr>
                <w:sz w:val="16"/>
                <w:szCs w:val="16"/>
                <w:color w:val="auto"/>
              </w:rPr>
            </w:pPr>
          </w:p>
        </w:tc>
        <w:tc>
          <w:tcPr>
            <w:tcW w:w="940" w:type="dxa"/>
            <w:vAlign w:val="bottom"/>
            <w:gridSpan w:val="2"/>
            <w:vMerge w:val="restart"/>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140.6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12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operations</w:t>
            </w:r>
          </w:p>
        </w:tc>
        <w:tc>
          <w:tcPr>
            <w:tcW w:w="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38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Table may not sum due to rounding.</w:t>
            </w: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360" w:type="dxa"/>
            <w:vAlign w:val="bottom"/>
            <w:gridSpan w:val="2"/>
            <w:vMerge w:val="continue"/>
          </w:tcPr>
          <w:p>
            <w:pPr>
              <w:spacing w:after="0"/>
              <w:rPr>
                <w:sz w:val="24"/>
                <w:szCs w:val="24"/>
                <w:color w:val="auto"/>
              </w:rPr>
            </w:pPr>
          </w:p>
        </w:tc>
        <w:tc>
          <w:tcPr>
            <w:tcW w:w="3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Includes foreign exchange hedging activity.</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3"/>
                <w:szCs w:val="13"/>
                <w:color w:val="auto"/>
              </w:rPr>
            </w:pPr>
          </w:p>
        </w:tc>
        <w:tc>
          <w:tcPr>
            <w:tcW w:w="1480" w:type="dxa"/>
            <w:vAlign w:val="bottom"/>
            <w:tcBorders>
              <w:bottom w:val="single" w:sz="8" w:color="auto"/>
            </w:tcBorders>
            <w:gridSpan w:val="3"/>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3"/>
                <w:szCs w:val="13"/>
                <w:color w:val="auto"/>
              </w:rPr>
            </w:pPr>
          </w:p>
        </w:tc>
        <w:tc>
          <w:tcPr>
            <w:tcW w:w="1560" w:type="dxa"/>
            <w:vAlign w:val="bottom"/>
            <w:tcBorders>
              <w:bottom w:val="single" w:sz="8" w:color="auto"/>
            </w:tcBorders>
            <w:gridSpan w:val="2"/>
          </w:tcPr>
          <w:p>
            <w:pPr>
              <w:jc w:val="right"/>
              <w:ind w:right="13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 w:type="dxa"/>
            <w:vAlign w:val="bottom"/>
            <w:tcBorders>
              <w:right w:val="single" w:sz="8" w:color="CFF0FC"/>
            </w:tcBorders>
          </w:tcPr>
          <w:p>
            <w:pPr>
              <w:spacing w:after="0"/>
              <w:rPr>
                <w:sz w:val="18"/>
                <w:szCs w:val="18"/>
                <w:color w:val="auto"/>
              </w:rPr>
            </w:pPr>
          </w:p>
        </w:tc>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42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86.6</w:t>
            </w:r>
          </w:p>
        </w:tc>
        <w:tc>
          <w:tcPr>
            <w:tcW w:w="9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255.6</w:t>
            </w:r>
          </w:p>
        </w:tc>
        <w:tc>
          <w:tcPr>
            <w:tcW w:w="9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right w:val="single" w:sz="8" w:color="CFF0FC"/>
            </w:tcBorders>
          </w:tcPr>
          <w:p>
            <w:pPr>
              <w:spacing w:after="0"/>
              <w:rPr>
                <w:sz w:val="18"/>
                <w:szCs w:val="18"/>
                <w:color w:val="auto"/>
              </w:rPr>
            </w:pPr>
          </w:p>
        </w:tc>
        <w:tc>
          <w:tcPr>
            <w:tcW w:w="4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tcBorders>
              <w:right w:val="single" w:sz="8" w:color="CFF0FC"/>
            </w:tcBorders>
          </w:tcPr>
          <w:p>
            <w:pPr>
              <w:spacing w:after="0"/>
              <w:rPr>
                <w:sz w:val="19"/>
                <w:szCs w:val="19"/>
                <w:color w:val="auto"/>
              </w:rPr>
            </w:pPr>
          </w:p>
        </w:tc>
        <w:tc>
          <w:tcPr>
            <w:tcW w:w="41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42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99.0</w:t>
            </w:r>
          </w:p>
        </w:tc>
        <w:tc>
          <w:tcPr>
            <w:tcW w:w="9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290.2</w:t>
            </w:r>
          </w:p>
        </w:tc>
        <w:tc>
          <w:tcPr>
            <w:tcW w:w="9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right w:val="single" w:sz="8" w:color="CFF0FC"/>
            </w:tcBorders>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-2125345</wp:posOffset>
            </wp:positionV>
            <wp:extent cx="6858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-2125345</wp:posOffset>
            </wp:positionV>
            <wp:extent cx="6858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-2125345</wp:posOffset>
            </wp:positionV>
            <wp:extent cx="6858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-2125345</wp:posOffset>
            </wp:positionV>
            <wp:extent cx="7683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6858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6858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66" w:name="page67"/>
    <w:bookmarkEnd w:id="66"/>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decreased from $94.9 million for the three months ended September 30, 2025 to $86.6 million for the three months ended September 30, 2026. The decrease in interest from investments was primarily the result of a decrease in reference rates for the three months ended September 30, 2026 compared to the same period in 2025. Paid-in-kind interest income decreased from $6.9 million for the three months ended September 30, 2025 to $6.3 million for the three months ended September 30, 2026 due to decreased PIK investments. Dividend income increased from $0.3 million for the three months ended September 30, 2025 to $3.5 million for the three months ended September 30, 2026 due to increased dividend yielding investments in 2026. Other income decreased from $7.4 million for the three months ended September 30, 2025 to $2.6 million for the three months ended September 30, 2026, primarily due to decreased miscellaneous fees earned during the three months ended September 30, 2026.</w:t>
      </w:r>
    </w:p>
    <w:p>
      <w:pPr>
        <w:spacing w:after="0" w:line="192"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decreased from $302.7 million for the nine months ended September 30, 2025 to $255.6 million for the nine months ended September 30, 2026. The decrease in interest from investments was primarily the result of a decrease in reference rates for the nine months ended September 30, 2026 compared to the same period in 2025. Paid-in-kind interest income increased from $18.0 million for the nine months ended September 30, 2025 to $20.0 million for the nine months ended September 30, 2026 due to increased PIK investments. Dividend income increased from $1.6 million for the nine months ended September 30, 2025 to $5.9 million for the nine months ended September 30, 2026 due to increased dividend yielding investments in 2026. Other income decreased from $18.5 million for the nine months ended September 30, 2025 to $8.7 million for the nine months ended September 30, 2026, primarily due to decreased miscellaneous fees earned during the nine months ended September 30, 2026.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expenses for the three and nine months ended September 30, 2026 and 2025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15"/>
                <w:szCs w:val="15"/>
                <w:color w:val="auto"/>
              </w:rPr>
            </w:pPr>
          </w:p>
        </w:tc>
        <w:tc>
          <w:tcPr>
            <w:tcW w:w="306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55"/>
        </w:trPr>
        <w:tc>
          <w:tcPr>
            <w:tcW w:w="4860" w:type="dxa"/>
            <w:vAlign w:val="bottom"/>
            <w:vMerge w:val="continue"/>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14"/>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2"/>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14"/>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52"/>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(net of waivers)</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 on net investment income</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on net capital gains</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-170815</wp:posOffset>
            </wp:positionV>
            <wp:extent cx="6858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119"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Interest expense, including other debt financing expenses, decreased from $31.4 million for the three months ended September 30, 2025 to $30.5 million for the three months ended September 30, 2026. This decrease was primarily due to a decrease in the average interest rate on our debt outstanding, which decreased from 6.3% for the three months ended September 30, 2025 to 5.7% for the three months ended September 30, 2026 due to a change in the mix of our debt financing sources and a change in SOFR rates.</w:t>
      </w:r>
    </w:p>
    <w:p>
      <w:pPr>
        <w:spacing w:after="0" w:line="7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Interest expense, including other debt financing expenses, decreased from $98.0 million for the nine months ended September 30, 2025 to $88.8 million for the nine months ended September 30, 2026. This decrease was primarily due to a decrease in the average interest rate on our debt outstanding, which decreased from 6.3% for the nine months ended September 30, 2025 to 5.6% for the nine months ended September 30, 2026 due to a change in the mix of our debt financing sources and a change in SOFR rates.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11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Management Fees (gross of waivers) increased from $13.1 million for the three months ended September 30, 2025 to $13.2 million for the three months ended September 30, 2026 due to an increase in average assets for the three months ended September 30, 2026 compared to the same period in 2025. Management Fees (net of waivers) decreased from $12.8 million for the three months ended September 30, 2025 to $12.7 million for the three months ended September 30, 2026. Management Fees waived were $0.5 million for the three months ended September 30, 2026 and $0.3 million for the three months ended September 30, 2025, pursuant to the Leverage Waiver. Any waived management fees are not subject to recoupment by the Adviser.</w:t>
      </w:r>
    </w:p>
    <w:p>
      <w:pPr>
        <w:spacing w:after="0" w:line="75"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Management Fees (gross of waivers) decreased from $39.1 million for the nine months ended September 30, 2025 to $38.8 million for the nine months ended September 30, 2026 due to a decrease in average assets for the nine months ended September 30, 2026 compared to the same period in 2025. Management Fees (net of waivers) decreased from $38.1 million for the nine months ended September 30, 2025 to $37.5 million for the nine months ended September 30, 2026. Management Fees waived were $1.3 million for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7" w:name="page68"/>
    <w:bookmarkEnd w:id="67"/>
    <w:p>
      <w:pPr>
        <w:ind w:right="60"/>
        <w:spacing w:after="0" w:line="282" w:lineRule="auto"/>
        <w:rPr>
          <w:sz w:val="20"/>
          <w:szCs w:val="20"/>
          <w:color w:val="auto"/>
        </w:rPr>
      </w:pPr>
      <w:r>
        <w:rPr>
          <w:rFonts w:ascii="Times New Roman" w:cs="Times New Roman" w:eastAsia="Times New Roman" w:hAnsi="Times New Roman"/>
          <w:sz w:val="18"/>
          <w:szCs w:val="18"/>
          <w:color w:val="auto"/>
        </w:rPr>
        <w:t>the nine months ended September 30, 2026 and $1.0 million for the nine months ended September 30, 2025, pursuant to the Leverage Waiver. Any waived management fees are not subject to recoupment by the Adviser.</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119"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Incentive Fees related to pre-incentive net investment income decreased from $10.5 million for the three months ended September 30, 2025 to $8.8 million for the three months ended September 30, 2026. For the three months ended September 30, 2026, there were no Incentive Fees accrued related to Capital Gains Fees. For the three months ended September 30, 2025, $(1.1) million of Incentive Fees were accrued related to Capital Gains Fees. As of September 30, 2026, these accrued Incentive Fees are not contractually payable to the Adviser.</w:t>
      </w:r>
    </w:p>
    <w:p>
      <w:pPr>
        <w:spacing w:after="0" w:line="72" w:lineRule="exact"/>
        <w:rPr>
          <w:sz w:val="20"/>
          <w:szCs w:val="20"/>
          <w:color w:val="auto"/>
        </w:rPr>
      </w:pPr>
    </w:p>
    <w:p>
      <w:pPr>
        <w:jc w:val="both"/>
        <w:ind w:right="320" w:firstLine="255"/>
        <w:spacing w:after="0" w:line="261" w:lineRule="auto"/>
        <w:rPr>
          <w:sz w:val="20"/>
          <w:szCs w:val="20"/>
          <w:color w:val="auto"/>
        </w:rPr>
      </w:pPr>
      <w:r>
        <w:rPr>
          <w:rFonts w:ascii="Times New Roman" w:cs="Times New Roman" w:eastAsia="Times New Roman" w:hAnsi="Times New Roman"/>
          <w:sz w:val="18"/>
          <w:szCs w:val="18"/>
          <w:color w:val="auto"/>
        </w:rPr>
        <w:t>Incentive Fees related to pre-incentive net investment income decreased from $33.1 million for the nine months ended September 30, 2025 to $25.9 million for the nine months ended September 30, 2026. For the nine months ended September 30, 2026, there were no Incentive Fees accrued related to Capital Gains Fees. For the nine months ended September 30, 2025, $(3.3) million of Incentive Fees were accrued related to Capital Gains Fees. As of September 30, 2026, these accrued Incentive Fees are not contractually payable to the Adviser.</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Professional Fees and Other General and Administrative Expenses</w:t>
      </w:r>
    </w:p>
    <w:p>
      <w:pPr>
        <w:spacing w:after="0" w:line="119"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Professional fees increased from $2.0 million for the three months ended September 30, 2025 to $2.5 million for the three months ended September 30, 2026 due to higher audit and legal related costs. Other general and administrative fees were $1.4 million for the three months ended September 30, 2026 and $1.5 million for the three months ended September 30, 2025.</w:t>
      </w:r>
    </w:p>
    <w:p>
      <w:pPr>
        <w:spacing w:after="0" w:line="68"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Professional fees increased from $6.5 million for the nine months ended September 30, 2025 to $6.7 million for the nine months ended September 30, 2026 due to higher audit and legal related costs. Other general and administrative fees were $4.5 million for the nine months ended September 30, 2026 and $4.1 million for the nine months ended September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Including Excise Taxes</w:t>
      </w:r>
    </w:p>
    <w:p>
      <w:pPr>
        <w:spacing w:after="0" w:line="121"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RIC status, we, among other things, have made and intend to continue to make the requisite distributions to our stockholders, which generally relieve us from corporate-level U.S. federal income taxes.</w:t>
      </w:r>
    </w:p>
    <w:p>
      <w:pPr>
        <w:spacing w:after="0" w:line="183"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3"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0" w:lineRule="exact"/>
        <w:rPr>
          <w:sz w:val="20"/>
          <w:szCs w:val="20"/>
          <w:color w:val="auto"/>
        </w:rPr>
      </w:pPr>
    </w:p>
    <w:p>
      <w:pPr>
        <w:ind w:right="360" w:firstLine="255"/>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2026, we recorded a net expense of $1.2 million and $3.7 million, respectively, for U.S. federal excise tax and other taxes. For the three and nine months ended September 30, 2025 we recorded a net expense of $1.4 million and $4.0 million, respectively, for U.S. federal excise tax and other taxes.</w:t>
      </w:r>
    </w:p>
    <w:p>
      <w:pPr>
        <w:spacing w:after="0" w:line="176" w:lineRule="exact"/>
        <w:rPr>
          <w:sz w:val="20"/>
          <w:szCs w:val="20"/>
          <w:color w:val="auto"/>
        </w:rPr>
      </w:pPr>
    </w:p>
    <w:p>
      <w:pPr>
        <w:ind w:right="660" w:firstLine="255"/>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we recorded an increase in our deferred tax liability of $0.9 million and $1.6 million, respectively, pertaining to net unrealized gains. As of September 30, 2026, the balance of our deferred tax liability was $5.6 million.</w:t>
      </w:r>
    </w:p>
    <w:p>
      <w:pPr>
        <w:spacing w:after="0" w:line="162"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we recorded a decrease in our deferred tax liability of $0.6 million, pertaining to net unrealized losses and recognized a tax expense of $0.9 million, pertaining to net realized gains. As of September 30, 2025, the balance of our deferred tax liability was $3.9 million.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net realized and unrealized gains (losses) for the three and nine months ended September 30,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in millions) </w:t>
            </w:r>
            <w:r>
              <w:rPr>
                <w:rFonts w:ascii="Times New Roman" w:cs="Times New Roman" w:eastAsia="Times New Roman" w:hAnsi="Times New Roman"/>
                <w:sz w:val="19"/>
                <w:szCs w:val="19"/>
                <w:color w:val="auto"/>
                <w:vertAlign w:val="superscript"/>
              </w:rPr>
              <w:t>(1)</w:t>
            </w:r>
          </w:p>
        </w:tc>
        <w:tc>
          <w:tcPr>
            <w:tcW w:w="4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6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Borders>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3"/>
                <w:szCs w:val="13"/>
                <w:color w:val="auto"/>
              </w:rPr>
            </w:pPr>
          </w:p>
        </w:tc>
        <w:tc>
          <w:tcPr>
            <w:tcW w:w="1220" w:type="dxa"/>
            <w:vAlign w:val="bottom"/>
            <w:tcBorders>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Borders>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8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7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c>
          <w:tcPr>
            <w:tcW w:w="7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gains (losses) on foreign currency transactions </w:t>
            </w:r>
            <w:r>
              <w:rPr>
                <w:rFonts w:ascii="Times New Roman" w:cs="Times New Roman" w:eastAsia="Times New Roman" w:hAnsi="Times New Roman"/>
                <w:sz w:val="24"/>
                <w:szCs w:val="24"/>
                <w:color w:val="auto"/>
                <w:vertAlign w:val="superscript"/>
              </w:rPr>
              <w:t>(2)(3)</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realized gains (losses) on foreign currency investments </w:t>
            </w:r>
            <w:r>
              <w:rPr>
                <w:rFonts w:ascii="Times New Roman" w:cs="Times New Roman" w:eastAsia="Times New Roman" w:hAnsi="Times New Roman"/>
                <w:sz w:val="24"/>
                <w:szCs w:val="24"/>
                <w:color w:val="auto"/>
                <w:vertAlign w:val="superscript"/>
              </w:rPr>
              <w:t>(3)</w:t>
            </w: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borrowings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interest rate swaps</w:t>
            </w: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gains (losses) on income tax provision</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Realized Gains (Losses)</w:t>
            </w:r>
          </w:p>
        </w:tc>
        <w:tc>
          <w:tcPr>
            <w:tcW w:w="4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7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c>
          <w:tcPr>
            <w:tcW w:w="7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197"/>
        </w:trPr>
        <w:tc>
          <w:tcPr>
            <w:tcW w:w="5060" w:type="dxa"/>
            <w:vAlign w:val="bottom"/>
            <w:tcBorders>
              <w:top w:val="single" w:sz="8" w:color="CFF0FC"/>
            </w:tcBorders>
            <w:gridSpan w:val="2"/>
          </w:tcPr>
          <w:p>
            <w:pPr>
              <w:spacing w:after="0"/>
              <w:rPr>
                <w:sz w:val="17"/>
                <w:szCs w:val="17"/>
                <w:color w:val="auto"/>
              </w:rPr>
            </w:pPr>
          </w:p>
        </w:tc>
        <w:tc>
          <w:tcPr>
            <w:tcW w:w="46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unrealized gains on investments</w:t>
            </w:r>
          </w:p>
        </w:tc>
        <w:tc>
          <w:tcPr>
            <w:tcW w:w="8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unrealized (losses) on investments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187"/>
        </w:trPr>
        <w:tc>
          <w:tcPr>
            <w:tcW w:w="5060" w:type="dxa"/>
            <w:vAlign w:val="bottom"/>
            <w:gridSpan w:val="2"/>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w:t>
            </w:r>
          </w:p>
        </w:tc>
        <w:tc>
          <w:tcPr>
            <w:tcW w:w="460" w:type="dxa"/>
            <w:vAlign w:val="bottom"/>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8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7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(38.6)</w:t>
            </w:r>
          </w:p>
        </w:tc>
        <w:tc>
          <w:tcPr>
            <w:tcW w:w="7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gains (losses) on foreign currency borrowings</w:t>
            </w: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Unrealized gains (losses) on foreign currency transactions </w:t>
            </w:r>
            <w:r>
              <w:rPr>
                <w:rFonts w:ascii="Times New Roman" w:cs="Times New Roman" w:eastAsia="Times New Roman" w:hAnsi="Times New Roman"/>
                <w:sz w:val="24"/>
                <w:szCs w:val="24"/>
                <w:color w:val="auto"/>
                <w:vertAlign w:val="superscript"/>
              </w:rPr>
              <w:t>(2)(3)</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gains (losses) on interest rate swaps</w:t>
            </w: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 on unrealized gains (losses)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060" w:type="dxa"/>
            <w:vAlign w:val="bottom"/>
            <w:gridSpan w:val="2"/>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 Foreign</w:t>
            </w:r>
          </w:p>
        </w:tc>
        <w:tc>
          <w:tcPr>
            <w:tcW w:w="460" w:type="dxa"/>
            <w:vAlign w:val="bottom"/>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Currency Transactions, Income Tax Provision and</w:t>
            </w:r>
          </w:p>
        </w:tc>
        <w:tc>
          <w:tcPr>
            <w:tcW w:w="4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 Rate Swaps</w:t>
            </w:r>
          </w:p>
        </w:tc>
        <w:tc>
          <w:tcPr>
            <w:tcW w:w="8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w:t>
            </w:r>
          </w:p>
        </w:tc>
        <w:tc>
          <w:tcPr>
            <w:tcW w:w="8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(25.2)</w:t>
            </w:r>
          </w:p>
        </w:tc>
        <w:tc>
          <w:tcPr>
            <w:tcW w:w="7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470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Table may not sum due to rounding.</w:t>
            </w:r>
          </w:p>
        </w:tc>
        <w:tc>
          <w:tcPr>
            <w:tcW w:w="46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Includes foreign exchange hedging activity.</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Amounts round to less than $0.1 million.</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-2682240</wp:posOffset>
            </wp:positionV>
            <wp:extent cx="7683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-2665095</wp:posOffset>
            </wp:positionV>
            <wp:extent cx="7683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-2682240</wp:posOffset>
            </wp:positionV>
            <wp:extent cx="6858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-2665095</wp:posOffset>
            </wp:positionV>
            <wp:extent cx="6858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-2682240</wp:posOffset>
            </wp:positionV>
            <wp:extent cx="6858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-2665095</wp:posOffset>
            </wp:positionV>
            <wp:extent cx="6858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-574040</wp:posOffset>
            </wp:positionV>
            <wp:extent cx="76835"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-556895</wp:posOffset>
            </wp:positionV>
            <wp:extent cx="7683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-574040</wp:posOffset>
            </wp:positionV>
            <wp:extent cx="6858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-556895</wp:posOffset>
            </wp:positionV>
            <wp:extent cx="6858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-574040</wp:posOffset>
            </wp:positionV>
            <wp:extent cx="6858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-556895</wp:posOffset>
            </wp:positionV>
            <wp:extent cx="6858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2026, we had net realized losses on investments of $9.8 million and $48.2 million, respectively. For the three and nine months ended September 30, 2026, we had net realized gains of less than $0.1 million and net realized losses of $0.1 million, respectively, on foreign currency transactions, primarily as a result of translating foreign currency related to our non-USD denominated investments. For both the three and nine months ended September 30, 2026, we had net realized gains on foreign currency investments of $0.2 million. For both the three and nine months ended September 30, 2026, we had net realized losses on foreign currency borrowings of $0.2 million. The net realized losses on foreign currency borrowings were a result of payments on our revolving credit facility. For the three and nine months ended September 30, 2026, we had net realized gains on interest rate swaps of $0.1 million.</w:t>
      </w:r>
    </w:p>
    <w:p>
      <w:pPr>
        <w:spacing w:after="0" w:line="189" w:lineRule="exact"/>
        <w:rPr>
          <w:sz w:val="20"/>
          <w:szCs w:val="20"/>
          <w:color w:val="auto"/>
        </w:rPr>
      </w:pPr>
    </w:p>
    <w:p>
      <w:pPr>
        <w:jc w:val="both"/>
        <w:ind w:right="220" w:firstLine="255"/>
        <w:spacing w:after="0" w:line="257" w:lineRule="auto"/>
        <w:rPr>
          <w:sz w:val="20"/>
          <w:szCs w:val="20"/>
          <w:color w:val="auto"/>
        </w:rPr>
      </w:pPr>
      <w:r>
        <w:rPr>
          <w:rFonts w:ascii="Times New Roman" w:cs="Times New Roman" w:eastAsia="Times New Roman" w:hAnsi="Times New Roman"/>
          <w:sz w:val="18"/>
          <w:szCs w:val="18"/>
          <w:color w:val="auto"/>
        </w:rPr>
        <w:t>For the three months ended September 30, 2026, we had $33.4 million in unrealized gains on 61 portfolio company investments, which was offset by $33.8 million in unrealized losses on 76 portfolio company investments. Unrealized gains for the three months ended September 30, 2026 resulted from positive portfolio company specific developments, tightening credit spreads and the reversal of prior period unrealized losses due to realizations.</w:t>
      </w:r>
    </w:p>
    <w:p>
      <w:pPr>
        <w:spacing w:after="0" w:line="1"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Unrealized losses for the three months ended September 30, 2026 resulted from negative credit-related adjustments, fluctuations in EUR exchange rates, and the reversal of prior period unrealized gains due to realizations. For the nine months ended September 30, 2026, we had $77.0 million in unrealized gains on 34 portfolio company investments, which was offset by $115.6 million in unrealized losses on 116 portfolio company investments. Unrealized gains for the nine months ended September 30, 2026 resulted from positive portfolio company specific developments and the reversal of prior period unrealized losses due to realizations. Unrealized losses for the nine months ended September 30, 2026 resulted from negative credit-related adjustments, widening credit spreads, and the reversal of prior period unrealized gains due to realizations.</w:t>
      </w:r>
    </w:p>
    <w:p>
      <w:pPr>
        <w:spacing w:after="0" w:line="190"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2026, we had unrealized gains of $3.8 million and $15.1 million, respectively, on foreign currency borrowings, primarily as a result of fluctuations in the AUD, CAD, SEK, GBP and EUR exchange rates. For the three and nine months ended September 30, 2026, we had unrealized losses of less than $0.1 million and unrealized gains of less than $0.1 million, respectively, on foreign currency transactions. For both the three and nine months ended September 30, 2026, we had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9" w:name="page70"/>
    <w:bookmarkEnd w:id="69"/>
    <w:p>
      <w:pPr>
        <w:ind w:right="80"/>
        <w:spacing w:after="0" w:line="282" w:lineRule="auto"/>
        <w:rPr>
          <w:sz w:val="20"/>
          <w:szCs w:val="20"/>
          <w:color w:val="auto"/>
        </w:rPr>
      </w:pPr>
      <w:r>
        <w:rPr>
          <w:rFonts w:ascii="Times New Roman" w:cs="Times New Roman" w:eastAsia="Times New Roman" w:hAnsi="Times New Roman"/>
          <w:sz w:val="18"/>
          <w:szCs w:val="18"/>
          <w:color w:val="auto"/>
        </w:rPr>
        <w:t>unrealized losses on interest rate swaps of $0.1 million. For the three and nine months ended September 30, 2026, we had unrealized losses of $0.9 million and $1.6 million, respectively, related to a deferred tax liability.</w:t>
      </w:r>
    </w:p>
    <w:p>
      <w:pPr>
        <w:spacing w:after="0" w:line="162"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2025, we had net realized gains on investments of $0.8 million and net realized losses of $34.9 million, respectively. For the three and nine months ended September 30, 2025, we had net realized losses of $0.2 million and $0.3 million, respectively, on foreign currency transactions, primarily as a result of translating foreign currency related to our non-USD denominated investments. For the three and nine months ended September 30, 2025, we had net realized gains on foreign currency investments of less than $0.1 million and $0.8 million, respectively. For the three and nine months ended September 30, 2025, we had net realized losses on foreign currency borrowings of $0.2 million and $1.2 million, respectively. The net realized losses on foreign currency borrowings were a result of payments on our revolving credit facility. For both the three and nine months ended September 30, 2025, we had net realized losses of $0.9 million, related to tax expense.</w:t>
      </w:r>
    </w:p>
    <w:p>
      <w:pPr>
        <w:spacing w:after="0" w:line="189" w:lineRule="exact"/>
        <w:rPr>
          <w:sz w:val="20"/>
          <w:szCs w:val="20"/>
          <w:color w:val="auto"/>
        </w:rPr>
      </w:pPr>
    </w:p>
    <w:p>
      <w:pPr>
        <w:jc w:val="both"/>
        <w:ind w:right="200" w:firstLine="255"/>
        <w:spacing w:after="0" w:line="257" w:lineRule="auto"/>
        <w:rPr>
          <w:sz w:val="20"/>
          <w:szCs w:val="20"/>
          <w:color w:val="auto"/>
        </w:rPr>
      </w:pPr>
      <w:r>
        <w:rPr>
          <w:rFonts w:ascii="Times New Roman" w:cs="Times New Roman" w:eastAsia="Times New Roman" w:hAnsi="Times New Roman"/>
          <w:sz w:val="18"/>
          <w:szCs w:val="18"/>
          <w:color w:val="auto"/>
        </w:rPr>
        <w:t>For the three months ended September 30, 2025, we had $14.8 million in unrealized gains on 49 portfolio company investments, which was offset by $21.8 million in unrealized losses on 100 portfolio company investments. Unrealized gains for the three months ended September 30, 2025 resulted from positive portfolio company specific developments, tightening credit spreads, and the reversal of prior period unrealized losses due to realizations.</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Unrealized losses for the three months ended September 30, 2025 resulted from negative credit-related adjustments and widening credit spreads. For the nine months ended September 30, 2025, we had $112.7 million in unrealized gains on 69 portfolio company investments, which was offset by $59.6 million in unrealized losses on 96 portfolio company investments. Unrealized gains for the nine months ended September 30, 2025 resulted from positive portfolio company specific developments, tightening credit spreads, and the reversal of prior period unrealized losses due to realizations. Unrealized losses for the nine months ended September 30, 2025 resulted from negative credit-related adjustments and the reversal of prior period unrealized gains due to realizations.</w:t>
      </w:r>
    </w:p>
    <w:p>
      <w:pPr>
        <w:spacing w:after="0" w:line="190"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2025 we had unrealized gains on foreign currency borrowings of $0.7 million and unrealized losses on foreign currency borrowings of $36.0 million, respectively, primarily as a result of fluctuations in the AUD, CAD, SEK, GBP and EUR exchange rates. For the three and nine months ended September 30, 2025, we had unrealized gains of less than $0.1 million and unrealized losses of less than $0.1 million, respectively, on foreign currency transactions. For both the three and nine months ended September 30, 2025, we had unrealized gains of $0.6 million, related to a deferred tax benefit.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Gross Internal Rate of Return</w:t>
      </w:r>
    </w:p>
    <w:p>
      <w:pPr>
        <w:spacing w:after="0" w:line="121"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Since we began investing in 2011 through September 30, 2026, weighted by capital invested, our exited investments have generated an average realized gross internal rate of return to us of 16.7% (based on total capital invested of $9.6 billion and total proceeds from these exited investments of $12.4 billion). Ninety-one percent of these exited investments resulted in a realized gross internal rate of return to us of 10% or greater.</w:t>
      </w:r>
    </w:p>
    <w:p>
      <w:pPr>
        <w:spacing w:after="0" w:line="176" w:lineRule="exact"/>
        <w:rPr>
          <w:sz w:val="20"/>
          <w:szCs w:val="20"/>
          <w:color w:val="auto"/>
        </w:rPr>
      </w:pPr>
    </w:p>
    <w:p>
      <w:pPr>
        <w:ind w:right="340" w:firstLine="255"/>
        <w:spacing w:after="0" w:line="266" w:lineRule="auto"/>
        <w:rPr>
          <w:sz w:val="20"/>
          <w:szCs w:val="20"/>
          <w:color w:val="auto"/>
        </w:rPr>
      </w:pPr>
      <w:r>
        <w:rPr>
          <w:rFonts w:ascii="Times New Roman" w:cs="Times New Roman" w:eastAsia="Times New Roman" w:hAnsi="Times New Roman"/>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76" w:lineRule="exact"/>
        <w:rPr>
          <w:sz w:val="20"/>
          <w:szCs w:val="20"/>
          <w:color w:val="auto"/>
        </w:rPr>
      </w:pPr>
    </w:p>
    <w:p>
      <w:pPr>
        <w:jc w:val="both"/>
        <w:ind w:right="140" w:firstLine="255"/>
        <w:spacing w:after="0" w:line="282" w:lineRule="auto"/>
        <w:rPr>
          <w:sz w:val="20"/>
          <w:szCs w:val="20"/>
          <w:color w:val="auto"/>
        </w:rPr>
      </w:pPr>
      <w:r>
        <w:rPr>
          <w:rFonts w:ascii="Times New Roman" w:cs="Times New Roman" w:eastAsia="Times New Roman" w:hAnsi="Times New Roman"/>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62"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Average gross IRR is the average of the gross IRR for each of our exited investments (each calculated as described above), weighted by the total capital invested for each of those investments.</w:t>
      </w:r>
    </w:p>
    <w:p>
      <w:pPr>
        <w:spacing w:after="0" w:line="162"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Average gross IRR on our exited investments reflects only invested and realized cash amounts as described above, and does not reflect any unrealized gains or losses in our portfolio.</w:t>
      </w:r>
    </w:p>
    <w:p>
      <w:pPr>
        <w:spacing w:after="0" w:line="162"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76" w:lineRule="exact"/>
        <w:rPr>
          <w:sz w:val="20"/>
          <w:szCs w:val="20"/>
          <w:color w:val="auto"/>
        </w:rPr>
      </w:pPr>
    </w:p>
    <w:p>
      <w:pPr>
        <w:ind w:right="140" w:firstLine="255"/>
        <w:spacing w:after="0" w:line="257" w:lineRule="auto"/>
        <w:rPr>
          <w:sz w:val="20"/>
          <w:szCs w:val="20"/>
          <w:color w:val="auto"/>
        </w:rPr>
      </w:pPr>
      <w:r>
        <w:rPr>
          <w:rFonts w:ascii="Times New Roman" w:cs="Times New Roman" w:eastAsia="Times New Roman" w:hAnsi="Times New Roman"/>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Foreign Currency Hedging</w:t>
      </w:r>
    </w:p>
    <w:p>
      <w:pPr>
        <w:spacing w:after="0" w:line="121"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p>
    <w:p>
      <w:pPr>
        <w:spacing w:after="0" w:line="72"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Our current approach to hedging the foreign currency exposure in our non-U.S. dollar denominated investments is primarily to borrow the par amount in local currency under our Revolving Credit Facility to fund these investments. For the nine months ended September 30, 2026 and 2025, we had $15.1 million of unrealized gains and $36.0 million of unrealized losses, respectively, on the translation of our non-U.S. dollar denominated debt into U.S. dollars; such amounts approximate the corresponding unrealized gains and losses on the translation of our non-U.S. dollar denominated investments into U.S. dollars for the nine months ended September 30, 2026 and 2025. See Note 2 for additional disclosure regarding our accounting for foreign currency. See Note 7 for additional disclosure regarding the amounts of outstanding debt denominated in each foreign currency at September 30, 2026. See our Consolidated Schedule of Investments for additional disclosure regarding the foreign currency amounts (in both par and fair value) of our non-U.S. dollar denominated investments.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4" w:lineRule="exact"/>
        <w:rPr>
          <w:sz w:val="20"/>
          <w:szCs w:val="20"/>
          <w:color w:val="auto"/>
        </w:rPr>
      </w:pPr>
    </w:p>
    <w:p>
      <w:pPr>
        <w:ind w:left="520" w:hanging="257"/>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portfolio companies and other investments and to comply with certain portfolio diversification requirements;</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operations (including paying our Adviser);</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repayment, and other financing costs; and</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to the holders of our shares.</w:t>
      </w:r>
    </w:p>
    <w:p>
      <w:pPr>
        <w:spacing w:after="0" w:line="225"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our ratio of total assets (less total liabilities other than indebtedness) to total indebtedness plus preferred stock, is at least 150%. For more information, see “</w:t>
      </w:r>
      <w:r>
        <w:rPr>
          <w:rFonts w:ascii="Times New Roman" w:cs="Times New Roman" w:eastAsia="Times New Roman" w:hAnsi="Times New Roman"/>
          <w:sz w:val="18"/>
          <w:szCs w:val="18"/>
          <w:i w:val="1"/>
          <w:iCs w:val="1"/>
          <w:color w:val="auto"/>
        </w:rPr>
        <w:t>Key Components of Our Results of Operations — Leverage</w:t>
      </w:r>
      <w:r>
        <w:rPr>
          <w:rFonts w:ascii="Times New Roman" w:cs="Times New Roman" w:eastAsia="Times New Roman" w:hAnsi="Times New Roman"/>
          <w:sz w:val="18"/>
          <w:szCs w:val="18"/>
          <w:color w:val="auto"/>
        </w:rPr>
        <w:t>” above. As of September 30, 2026 and December 31, 2025, our asset coverage ratio was 180.2% and 191.5%,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88" w:lineRule="exact"/>
        <w:rPr>
          <w:sz w:val="20"/>
          <w:szCs w:val="20"/>
          <w:color w:val="auto"/>
        </w:rPr>
      </w:pPr>
    </w:p>
    <w:p>
      <w:pPr>
        <w:ind w:right="240" w:firstLine="255"/>
        <w:spacing w:after="0" w:line="266" w:lineRule="auto"/>
        <w:rPr>
          <w:sz w:val="20"/>
          <w:szCs w:val="20"/>
          <w:color w:val="auto"/>
        </w:rPr>
      </w:pPr>
      <w:r>
        <w:rPr>
          <w:rFonts w:ascii="Times New Roman" w:cs="Times New Roman" w:eastAsia="Times New Roman" w:hAnsi="Times New Roman"/>
          <w:sz w:val="18"/>
          <w:szCs w:val="18"/>
          <w:color w:val="auto"/>
        </w:rPr>
        <w:t>Cash and cash equivalents as of September 30, 2026, taken together with cash available under our credit facilities, is expected to be sufficient for our investing activities and to conduct our operations in the near term. As of September 30, 2026, we had approximately $0.8 billion of availability on our Revolving Credit Facility, subject to asset coverage limitations.</w:t>
      </w:r>
    </w:p>
    <w:p>
      <w:pPr>
        <w:spacing w:after="0" w:line="176"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As of September 30, 2026, we had $40.5 million in cash and cash equivalents, including $35.4 million of restricted cash. During the nine months ended September 30, 2026, cash used in operating activities was $52.4 million, primarily attributable to funding portfolio investments of $619.3 million which was partially offset by repayments and proceeds from investments of $517.9 million, an increase in net assets resulting from operations of $48.9 million and cash provided by other operating activities of $0.1 million. Cash provided by financing activities was $73.2 million during the period due to borrowings of $1,117.7 million which was partially offset by paydowns on our Revolving Credit Facility of $929.0 million, dividends paid of $106.9 million, deferred financing costs of $8.1 million and repurchases of common stock of $0.5 million.</w:t>
      </w:r>
    </w:p>
    <w:p>
      <w:pPr>
        <w:spacing w:after="0" w:line="187"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8"/>
          <w:szCs w:val="18"/>
          <w:color w:val="auto"/>
        </w:rPr>
        <w:t>As of September 30, 2025, we had $83.2 million in cash and cash equivalents, including $20.1 million of restricted cash. During the nine months ended September 30, 2025, cash provided by operating activities was $327.5 million, primarily attributable to repayments and proceeds from investments of $1,048.0 million and an increase in net assets resulting from operations of $140.6</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1" w:name="page72"/>
    <w:bookmarkEnd w:id="71"/>
    <w:p>
      <w:pPr>
        <w:ind w:right="160"/>
        <w:spacing w:after="0" w:line="266" w:lineRule="auto"/>
        <w:rPr>
          <w:sz w:val="20"/>
          <w:szCs w:val="20"/>
          <w:color w:val="auto"/>
        </w:rPr>
      </w:pPr>
      <w:r>
        <w:rPr>
          <w:rFonts w:ascii="Times New Roman" w:cs="Times New Roman" w:eastAsia="Times New Roman" w:hAnsi="Times New Roman"/>
          <w:sz w:val="18"/>
          <w:szCs w:val="18"/>
          <w:color w:val="auto"/>
        </w:rPr>
        <w:t>million, which was partially offset by funding portfolio investments of $848.4 million and cash used in other operating activities of $12.7 million. Cash used in financing activities was $271.7 million during the period due to paydowns on our Revolving Credit Facility of $1,249.6 million, dividends paid of $128.4 million and deferred financing costs of $7.3 million, which was partially offset by borrowings of $1,113.6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2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are a party to equity distribution agreements with several banks (the “Equity Distribution Agreements”). The Equity Distribution Agreements provide that we may from time to time issue and sell, by means of “at the market” offerings, up to $100 million of the Company's common stock. Under the currently effective Equity Distribution Agreements, common stock with an aggregate offering amount of $100 million remained available for issuance as of September 30, 2026.</w:t>
      </w:r>
    </w:p>
    <w:p>
      <w:pPr>
        <w:spacing w:after="0" w:line="180"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and 2025, we issued 1,038,947 and 832,489 shares of our common stock, respectively, to investors who have not opted out of our dividend reinvestment plan for proceeds of $17.6 million and $18.2 million, respectively.</w:t>
      </w:r>
    </w:p>
    <w:p>
      <w:pPr>
        <w:spacing w:after="0" w:line="162"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May 5, 2026 (expiring November 30, 2026). Under the program, we may repurchase up to $50 million in the aggregate of our outstanding common stock in the open market, from time to time, at certain thresholds below our net asset value per share, in accordance with the guidelines specified in Rule 10b-18 of the Exchange Act. The amount and timing of stock repurchases under the program may vary depending on market conditions, and no assurance can be given that any particular amount of common stock will be repurchased.</w:t>
      </w:r>
    </w:p>
    <w:p>
      <w:pPr>
        <w:spacing w:after="0" w:line="187" w:lineRule="exact"/>
        <w:rPr>
          <w:sz w:val="20"/>
          <w:szCs w:val="20"/>
          <w:color w:val="auto"/>
        </w:rPr>
      </w:pPr>
    </w:p>
    <w:p>
      <w:pPr>
        <w:jc w:val="both"/>
        <w:ind w:right="180" w:firstLine="25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 shares were repurchased. During the nine months ended September 30, 2026, we repurchased 30,938 shares at a weighted average price per share of $16.17 inclusive of commissions, for a total cost of $0.5 million. During the three and nine months ended September 30, 2025, no shares were repurchased.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76"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As of September 30, 2026, aggregate commitments under the Revolving Credit Facility were $1.525 billion. The Revolving Credit Facility includes an uncommitted accordion feature that allows us, under certain circumstances, to increase the size of the Revolving Credit Facility to up to $2.5 billion.</w:t>
      </w:r>
    </w:p>
    <w:p>
      <w:pPr>
        <w:spacing w:after="0" w:line="162"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Pursuant to the Seventeenth Amendment dated May 1, 2026, the revolving period, during which period we, subject to certain conditions, may make borrowings under the Revolving Credit Facility, was extended to May 1, 2030 and the stated maturity date was extended to May 1, 2031.</w:t>
      </w:r>
    </w:p>
    <w:p>
      <w:pPr>
        <w:spacing w:after="0" w:line="162" w:lineRule="exact"/>
        <w:rPr>
          <w:sz w:val="20"/>
          <w:szCs w:val="20"/>
          <w:color w:val="auto"/>
        </w:rPr>
      </w:pPr>
    </w:p>
    <w:p>
      <w:pPr>
        <w:ind w:right="280" w:firstLine="255"/>
        <w:spacing w:after="0" w:line="256"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September 30, 2026, we had outstanding debt denominated in Australian dollars (AUD) of 3.0 million, British pounds (GBP) of 48.1 million, Canadian dollars (CAD) of 5.0 million, Swedish Krona (SEK) of 411.2 million and Euro (EUR) of 287.7 million on our Revolving Credit Facility, included in the Outstanding Principal amount in the table below. As of December 31, 2025, we had outstanding debt denominated in Australian dollars (AUD) of 3.0 million, British pounds (GBP) of 48.5 million, Canadian dollars (CAD) of 5.0 million, Swedish Krona (SEK) of 218.0 million and Euro (EUR) of 245.9 million on our Revolving Credit Facility, included in the Outstanding Principal amount in the table below.</w:t>
      </w:r>
    </w:p>
    <w:p>
      <w:pPr>
        <w:spacing w:after="0" w:line="187"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$75 million. As of September 30, 2026 and December 31, 2025, we had $22.8 million and $21.7 million, respectively, in outstanding letters of credit issued through the Revolving Credit Facility. The amount available for borrowing under the Revolving Credit Facility is reduced by any letters of credit issued through the Revolving Credit Facility.</w:t>
      </w:r>
    </w:p>
    <w:p>
      <w:pPr>
        <w:spacing w:after="0" w:line="176" w:lineRule="exact"/>
        <w:rPr>
          <w:sz w:val="20"/>
          <w:szCs w:val="20"/>
          <w:color w:val="auto"/>
        </w:rPr>
      </w:pPr>
    </w:p>
    <w:p>
      <w:pPr>
        <w:ind w:right="580" w:firstLine="255"/>
        <w:spacing w:after="0" w:line="261"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the applicable reference rate plus an applicable credit spread adjustment, plus a margin of either 1.525%, 1.65% or 1.775%, or the</w:t>
      </w: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ind w:right="260"/>
        <w:spacing w:after="0" w:line="258" w:lineRule="auto"/>
        <w:rPr>
          <w:sz w:val="20"/>
          <w:szCs w:val="20"/>
          <w:color w:val="auto"/>
        </w:rPr>
      </w:pPr>
      <w:r>
        <w:rPr>
          <w:rFonts w:ascii="Times New Roman" w:cs="Times New Roman" w:eastAsia="Times New Roman" w:hAnsi="Times New Roman"/>
          <w:sz w:val="18"/>
          <w:szCs w:val="18"/>
          <w:color w:val="auto"/>
        </w:rPr>
        <w:t>base rate plus a margin of either 0.525%, 0.65% or 0.775%,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0.325% per annum on the unused commitments and, in respect of each undrawn letter of credit, a fee and interest rate equal to the then applicable margin while the letter of credit is outstanding.</w:t>
      </w:r>
    </w:p>
    <w:p>
      <w:pPr>
        <w:spacing w:after="0" w:line="183"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6"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54" w:lineRule="exact"/>
        <w:rPr>
          <w:sz w:val="20"/>
          <w:szCs w:val="20"/>
          <w:color w:val="auto"/>
        </w:rPr>
      </w:pPr>
    </w:p>
    <w:p>
      <w:pPr>
        <w:ind w:left="520" w:hanging="257"/>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17" w:lineRule="exact"/>
        <w:rPr>
          <w:rFonts w:ascii="Times New Roman" w:cs="Times New Roman" w:eastAsia="Times New Roman" w:hAnsi="Times New Roman"/>
          <w:sz w:val="18"/>
          <w:szCs w:val="18"/>
          <w:color w:val="auto"/>
        </w:rPr>
      </w:pPr>
    </w:p>
    <w:p>
      <w:pPr>
        <w:ind w:left="520" w:right="1780" w:hanging="257"/>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$650 million plus 25% of the net proceeds of the sale of equity interests after April 24, 2024; and</w:t>
      </w:r>
    </w:p>
    <w:p>
      <w:pPr>
        <w:spacing w:after="0" w:line="53" w:lineRule="exact"/>
        <w:rPr>
          <w:rFonts w:ascii="Times New Roman" w:cs="Times New Roman" w:eastAsia="Times New Roman" w:hAnsi="Times New Roman"/>
          <w:sz w:val="18"/>
          <w:szCs w:val="18"/>
          <w:color w:val="auto"/>
        </w:rPr>
      </w:pPr>
    </w:p>
    <w:p>
      <w:pPr>
        <w:ind w:left="520" w:right="340" w:hanging="257"/>
        <w:spacing w:after="0" w:line="261"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asset coverage ratio of no less than 1.5 to 1 with respect to (i) the consolidated assets of our and our subsidiary's guarantors (including certain limitations on the contribution of equity in financing subsidiaries) to (ii) the secured debt of our and our subsidiary's guarantors plus unsecured senior securities of our and our subsidiary guarantors that mature within 90 days of the date of determination (the “Obligor Asset Coverage Ratio”).</w:t>
      </w:r>
    </w:p>
    <w:p>
      <w:pPr>
        <w:spacing w:after="0" w:line="180"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also contains certain additional concentration limits in connection with the calculation of the borrowing base, based on the Obligor Asset Coverage Ratio.</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2026 and December 31, 2025, we were in compliance with the terms of the Revolving Credit Facility.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119"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In February 2021, we issued $300.0 million aggregate principal amount of unsecured notes that matured on August 1, 2026 (the “2026 Notes”). The principal amount of the 2026 Notes was payable at maturity. The 2026 Notes bore interest at a rate of 2.50% per year, payable semi-annually commencing on August 1, 2021, and were able to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pacing w:after="0" w:line="183"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The Company's 2026 Notes matured on August 1, 2026 and were fully repaid. The corresponding swap transaction associated with the issuance of the 2026 Notes also matured on August 1, 2026.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2028 Notes</w:t>
      </w:r>
    </w:p>
    <w:p>
      <w:pPr>
        <w:spacing w:after="0" w:line="11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In August 2023, we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our option at any time at par plus a “make whole” premium. Total proceeds from the issuance of the 2028 Notes, net of underwriting discounts, offering costs and original issue discount, were $293.9 million. We used the net proceeds of the 2028 Notes to repay outstanding indebtedness under the Revolving Credit Facility.</w:t>
      </w:r>
    </w:p>
    <w:p>
      <w:pPr>
        <w:spacing w:after="0" w:line="183"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2028 Notes, we entered into an interest rate swap to align the interest rates of our liabilities with our investment portfolio, which consists of predominately floating rate loans. The notional amount of the interest rate swap is $300.0 million, which matures on August 14, 2028, matching the maturity date of the 2028 Notes. As a result of the swap, our effective interest rate on the 2028 Notes is SOFR plus 2.99%. The interest expense related to the 2028 Notes is offset by proceeds received from the interest rate swaps designated as a hedge. The swap adjusted interest expense is included as a component of interest expense on our Consolidated Statements of Operations. As of September 30, 2026 and December 31, 2025, the effective hedge interest rate swaps had a fair value of $(4.3) million and $4.5 million, respectively, which is offset within interest expense by an equal, but opposite, fair value change for the hedged risk on the 2028 Notes.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119"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In January 2024, we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our option at any time at par plus a “make whole” premium. Total proceeds from the issuance of the 2029 Notes, net of underwriting discounts, offering costs and original issue discount, were $341.6 million. We used the net proceeds of the 2029 Notes to repay outstanding indebtedness under the Revolving Credit Facility.</w:t>
      </w:r>
    </w:p>
    <w:p>
      <w:pPr>
        <w:spacing w:after="0" w:line="183"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2029 Notes, we entered into an interest rate swap to align the interest rates of our liabilities with our investment portfolio, which consists of predominately floating rate loans. The notional amount of the interest rate swap is $350.0 million, which matures on March 1, 2029, matching the maturity date of the 2029 Notes. As a result of the swap, our effective interest rate on the 2029 Notes is SOFR plus 2.44%. The interest expense related to the 2029 Notes is offset by proceeds received from the interest rate swaps designated as a hedge. The swap adjusted interest expense is included as a component of interest expense on our Consolidated Statements of Operations. As of September 30, 2026 and December 31, 2025, the effective hedge interest rate swaps had a fair value of $(8.7) million and $3.3 million, respectively, which is offset within interest expense by an equal, but opposite, fair value change for the hedged risk on the 2029 Notes.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119"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In February 2025, we issued $300.0 million aggregate principal amount of unsecured notes that mature on August 15, 2030 (the “2030 Notes”). The principal amount of the 2030 Notes is payable at maturity. The 2030 Notes bear interest at a rate of 5.625% per year, payable semi-annually commencing on August 15, 2025, and may be redeemed in whole or in part at our option at any time at par plus a “make whole” premium. Total proceeds from the issuance of the 2030 Notes, net of underwriting discounts, offering costs and original issue discount, were $293.4 million. We used the net proceeds of the 2030 Notes to repay outstanding indebtedness under the Revolving Credit Facility.</w:t>
      </w:r>
    </w:p>
    <w:p>
      <w:pPr>
        <w:spacing w:after="0" w:line="75"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issuance of the 2030 Notes, we entered into an interest rate swap to align the interest rates of our liabilities with our investment portfolio, which consists of predominately floating rate loans. The notional amount of the interest rate swap is $300.0 million, which matures on August 15, 2030, matching the maturity date of the 2030 Notes. As a result of the swap, our effective interest rate on the 2030 Notes is SOFR plus 1.53%. The interest expense related to the 2030 Notes is offset by proceeds received from the interest rate swaps designated as a hedge. The swap adjusted interest expense is included as a component of interest expense on our Consolidated Statements of Operations. As of September 30, 2026 and December 31, 2025, the effective hedge interest rate swaps had a fair value of $(7.4) million and $8.3 million, respectively, which is offset within interest expense by an equal, but opposite, fair value change for the hedged risk on the 2030 Notes.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2031 Notes</w:t>
      </w:r>
    </w:p>
    <w:p>
      <w:pPr>
        <w:spacing w:after="0" w:line="11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In May 2026, we issued $300.0 million aggregate principal amount of unsecured notes that mature on August 15, 2031 (the “2031 Notes”). The principal amount of the 2031 Notes is payable at maturity. The 2031 Notes bear interest at a rate of 5.65% per year, payable semi-annually commencing on February 15, 2027, and may be redeemed in whole or in part at our option at any time at par plus a “make whole” premium. Total proceeds from the issuance of the 2031 Notes, net of underwriting discounts, offering costs and original issue discount, were $294.3 million. We used the net proceeds of the 2031 Notes to repay a portion of the outstanding indebtedness under the Revolving Credit Facility and for general corporate purposes.</w:t>
      </w:r>
    </w:p>
    <w:p>
      <w:pPr>
        <w:spacing w:after="0" w:line="75"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2031 Notes, we entered into an interest rate swap to align the interest rates of our liabilities with our investment portfolio, which consists of predominately floating rate loans. The notional amount of the interest rate swap is $300.0 million, which matures on August 15, 2031, matching the maturity date of the 2031 Notes. As a result of the swap, our effective interest rate on the 2031 Notes is SOFR plus 1.85%. The interest expense related to the 2031 Notes is offset by proceeds received from the interest rate swaps designated as a hedge. The swap adjusted interest expense is included as a component of interest expense on our Consolidated Statements of Operations. As of September 30, 2026, the effective hedge interest rate swaps had a fair value of $(13.3) million, which is offset within interest expense by an equal, but opposite, fair value change for the hedged risk on the 2031 Notes.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74" w:name="page75"/>
    <w:bookmarkEnd w:id="74"/>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September 30, 2026 and December 31, 2025:</w:t>
      </w:r>
    </w:p>
    <w:p>
      <w:pPr>
        <w:spacing w:after="0" w:line="219"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5"/>
        </w:trPr>
        <w:tc>
          <w:tcPr>
            <w:tcW w:w="3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jc w:val="right"/>
              <w:ind w:right="215"/>
              <w:spacing w:after="0" w:line="11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right"/>
              <w:ind w:right="217"/>
              <w:spacing w:after="0" w:line="11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ind w:left="160"/>
              <w:spacing w:after="0" w:line="115" w:lineRule="exact"/>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right"/>
              <w:ind w:right="299"/>
              <w:spacing w:after="0" w:line="11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4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79"/>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Value</w:t>
            </w:r>
            <w:r>
              <w:rPr>
                <w:rFonts w:ascii="Times New Roman" w:cs="Times New Roman" w:eastAsia="Times New Roman" w:hAnsi="Times New Roman"/>
                <w:sz w:val="9"/>
                <w:szCs w:val="9"/>
                <w:b w:val="1"/>
                <w:bCs w:val="1"/>
                <w:color w:val="auto"/>
              </w:rPr>
              <w:t xml:space="preserve"> (2)(3)</w:t>
            </w:r>
          </w:p>
        </w:tc>
        <w:tc>
          <w:tcPr>
            <w:tcW w:w="100" w:type="dxa"/>
            <w:vAlign w:val="bottom"/>
          </w:tcPr>
          <w:p>
            <w:pPr>
              <w:spacing w:after="0"/>
              <w:rPr>
                <w:sz w:val="17"/>
                <w:szCs w:val="17"/>
                <w:color w:val="auto"/>
              </w:rPr>
            </w:pPr>
          </w:p>
        </w:tc>
      </w:tr>
      <w:tr>
        <w:trPr>
          <w:trHeight w:val="20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811.8</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2028 Notes</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2030 Notes</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8"/>
                <w:szCs w:val="18"/>
                <w:color w:val="auto"/>
              </w:rPr>
            </w:pPr>
          </w:p>
        </w:tc>
      </w:tr>
      <w:tr>
        <w:trPr>
          <w:trHeight w:val="216"/>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 Notes</w:t>
            </w: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811.8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10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-170815</wp:posOffset>
            </wp:positionV>
            <wp:extent cx="6032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032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032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-170815</wp:posOffset>
            </wp:positionV>
            <wp:extent cx="6858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120" w:hanging="512"/>
        <w:spacing w:after="0" w:line="261"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outstanding letters of credit, reserve for near term Notes maturity and asset coverage requirements.</w:t>
      </w:r>
    </w:p>
    <w:p>
      <w:pPr>
        <w:jc w:val="both"/>
        <w:ind w:left="520" w:right="100" w:hanging="512"/>
        <w:spacing w:after="0" w:line="250"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2028 Notes, 2029 Notes, 2030 Notes and 2031 Notes are presented net of the combination of deferred financing costs and original issue discounts totaling $16.4 million, $2.4 million, $4.1 million, $5.6 million and $6.5 million, respectively.</w:t>
      </w:r>
    </w:p>
    <w:p>
      <w:pPr>
        <w:ind w:left="520" w:hanging="512"/>
        <w:spacing w:after="0" w:line="255"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2028 Notes, 2029 Notes, 2030 Notes and 2031 Notes are presented inclusive of an incremental $(4.3) million, $(8.7) million, $(7.4) million and $(13.3) million, respectively, which represents an adjustment in the carrying values of the 2028 Notes, 2029 Notes, 2030 Notes and 2031 Notes, each resulting from a hedge accounting relationship.</w:t>
      </w:r>
    </w:p>
    <w:p>
      <w:pPr>
        <w:spacing w:after="0" w:line="207"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5"/>
        </w:trPr>
        <w:tc>
          <w:tcPr>
            <w:tcW w:w="3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jc w:val="right"/>
              <w:ind w:right="235"/>
              <w:spacing w:after="0" w:line="11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right"/>
              <w:ind w:right="217"/>
              <w:spacing w:after="0" w:line="11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ind w:left="160"/>
              <w:spacing w:after="0" w:line="115" w:lineRule="exact"/>
              <w:rPr>
                <w:sz w:val="20"/>
                <w:szCs w:val="20"/>
                <w:color w:val="auto"/>
              </w:rPr>
            </w:pPr>
            <w:r>
              <w:rPr>
                <w:rFonts w:ascii="Times New Roman" w:cs="Times New Roman" w:eastAsia="Times New Roman" w:hAnsi="Times New Roman"/>
                <w:sz w:val="13"/>
                <w:szCs w:val="13"/>
                <w:b w:val="1"/>
                <w:bCs w:val="1"/>
                <w:color w:val="auto"/>
              </w:rPr>
              <w:t>Amount</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right"/>
              <w:ind w:right="299"/>
              <w:spacing w:after="0" w:line="11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4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9"/>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Value</w:t>
            </w:r>
            <w:r>
              <w:rPr>
                <w:rFonts w:ascii="Times New Roman" w:cs="Times New Roman" w:eastAsia="Times New Roman" w:hAnsi="Times New Roman"/>
                <w:sz w:val="9"/>
                <w:szCs w:val="9"/>
                <w:b w:val="1"/>
                <w:bCs w:val="1"/>
                <w:color w:val="auto"/>
              </w:rPr>
              <w:t xml:space="preserve"> (2)(3)</w:t>
            </w:r>
          </w:p>
        </w:tc>
        <w:tc>
          <w:tcPr>
            <w:tcW w:w="100" w:type="dxa"/>
            <w:vAlign w:val="bottom"/>
          </w:tcPr>
          <w:p>
            <w:pPr>
              <w:spacing w:after="0"/>
              <w:rPr>
                <w:sz w:val="17"/>
                <w:szCs w:val="17"/>
                <w:color w:val="auto"/>
              </w:rPr>
            </w:pPr>
          </w:p>
        </w:tc>
      </w:tr>
      <w:tr>
        <w:trPr>
          <w:trHeight w:val="20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2026 Notes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8"/>
                <w:szCs w:val="18"/>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 Notes</w:t>
            </w: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2029 Notes</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18"/>
                <w:szCs w:val="18"/>
                <w:color w:val="auto"/>
              </w:rPr>
            </w:pPr>
          </w:p>
        </w:tc>
      </w:tr>
      <w:tr>
        <w:trPr>
          <w:trHeight w:val="216"/>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 Notes</w:t>
            </w:r>
          </w:p>
        </w:tc>
        <w:tc>
          <w:tcPr>
            <w:tcW w:w="2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1,763.9</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1,743.2</w:t>
            </w:r>
          </w:p>
        </w:tc>
        <w:tc>
          <w:tcPr>
            <w:tcW w:w="10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-170815</wp:posOffset>
            </wp:positionV>
            <wp:extent cx="60325"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-170815</wp:posOffset>
            </wp:positionV>
            <wp:extent cx="5969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032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520" w:right="160" w:hanging="512"/>
        <w:spacing w:after="0" w:line="261"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outstanding letters of credit issued and asset coverage requirements.</w:t>
      </w:r>
    </w:p>
    <w:p>
      <w:pPr>
        <w:jc w:val="both"/>
        <w:ind w:left="520" w:right="100" w:hanging="512"/>
        <w:spacing w:after="0" w:line="250"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2026 Notes, 2028 Notes, 2029 Notes and 2030 Notes are presented net of the combination of deferred financing costs and original issue discounts totaling $15.1 million, $0.7 million, $3.3 million, $5.3 million and $6.6 million, respectively.</w:t>
      </w:r>
    </w:p>
    <w:p>
      <w:pPr>
        <w:ind w:left="520" w:right="340" w:hanging="512"/>
        <w:spacing w:after="0" w:line="255"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2026 Notes, 2028 Notes, 2029 Notes and 2030 Notes are presented inclusive of an incremental $(5.8) million, $4.5 million, $3.3 million and $8.3 million, respectively, which represents an adjustment in the carrying values of the 2026 Notes, 2028 Notes, 2029 Notes and 2030 Notes, each resulting from a hedge accounting relationship.</w:t>
      </w:r>
    </w:p>
    <w:p>
      <w:pPr>
        <w:spacing w:after="0" w:line="186" w:lineRule="exact"/>
        <w:rPr>
          <w:sz w:val="20"/>
          <w:szCs w:val="20"/>
          <w:color w:val="auto"/>
        </w:rPr>
      </w:pPr>
    </w:p>
    <w:p>
      <w:pPr>
        <w:ind w:right="220" w:firstLine="270"/>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we were in compliance with the terms of our debt arrangements. We intend to continue to utilize our credit facilities to fund investments and for other general corporate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Commitments</w:t>
      </w:r>
    </w:p>
    <w:p>
      <w:pPr>
        <w:spacing w:after="0" w:line="121" w:lineRule="exact"/>
        <w:rPr>
          <w:sz w:val="20"/>
          <w:szCs w:val="20"/>
          <w:color w:val="auto"/>
        </w:rPr>
      </w:pPr>
    </w:p>
    <w:p>
      <w:pPr>
        <w:ind w:right="80" w:firstLine="255"/>
        <w:spacing w:after="0" w:line="253" w:lineRule="auto"/>
        <w:rPr>
          <w:sz w:val="20"/>
          <w:szCs w:val="20"/>
          <w:color w:val="auto"/>
        </w:rPr>
      </w:pPr>
      <w:r>
        <w:rPr>
          <w:rFonts w:ascii="Times New Roman" w:cs="Times New Roman" w:eastAsia="Times New Roman" w:hAnsi="Times New Roman"/>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September 30, 2026 and December 31, 2025, we had the following commitments to fund investments in current portfolio companies:</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73"/>
        </w:trPr>
        <w:tc>
          <w:tcPr>
            <w:tcW w:w="596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 in millions)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0" w:type="dxa"/>
            <w:vAlign w:val="bottom"/>
            <w:gridSpan w:val="2"/>
          </w:tcPr>
          <w:p>
            <w:pPr>
              <w:spacing w:after="0"/>
              <w:rPr>
                <w:sz w:val="15"/>
                <w:szCs w:val="15"/>
                <w:color w:val="auto"/>
              </w:rPr>
            </w:pPr>
          </w:p>
        </w:tc>
      </w:tr>
      <w:tr>
        <w:trPr>
          <w:trHeight w:val="210"/>
        </w:trPr>
        <w:tc>
          <w:tcPr>
            <w:tcW w:w="1140" w:type="dxa"/>
            <w:vAlign w:val="bottom"/>
          </w:tcPr>
          <w:p>
            <w:pPr>
              <w:spacing w:after="0"/>
              <w:rPr>
                <w:sz w:val="18"/>
                <w:szCs w:val="18"/>
                <w:color w:val="auto"/>
              </w:rPr>
            </w:pPr>
          </w:p>
        </w:tc>
        <w:tc>
          <w:tcPr>
            <w:tcW w:w="48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Alaska Bidco Oy - Delayed Draw &amp; Revolver </w:t>
            </w:r>
            <w:r>
              <w:rPr>
                <w:rFonts w:ascii="Times New Roman" w:cs="Times New Roman" w:eastAsia="Times New Roman" w:hAnsi="Times New Roman"/>
                <w:sz w:val="24"/>
                <w:szCs w:val="24"/>
                <w:color w:val="auto"/>
                <w:vertAlign w:val="superscript"/>
              </w:rPr>
              <w:t>(3)</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Aledade, Inc. - Revolver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American Achievement, Corp. -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Arcwood Environmental, Inc. - Revolver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Arrowhead Pharmaceuticals, Inc. - Delayed Draw</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Artisan Bidco, Inc. - Revolver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AVSC Holding Corp. -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Azurite Intermediate Holdings, Inc. - Revolver &amp; Equity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Bayshore Intermediate #2, L.P. -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BCTO Ace Purchaser, Inc. - Delayed Draw &amp; Revolver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Cascade Parent Limited -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Cirrus (BidCo) Ltd - Delayed Draw</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Cordance Operations, LLC - Delayed Draw &amp;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Coupa Holdings, LLC - Delayed Draw &amp; Revolver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Crewline Buyer, Inc. - Revolver &amp; Equity</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Crucible Buyer, Inc. - Delayed Draw &amp; Revolver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EC Homecare Holdings Buyer Inc. - Delayed Draw &amp;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EDB Parent, LLC - Delayed Draw</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Elysian Finco Ltd. -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EMS Linq, Inc. - Revolver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Erling Lux Bidco SARL - Delayed Draw &amp;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Eventus Buyer, LLC - Delayed Draw &amp; Revolver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ExtraHop Networks, Inc. -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Flight Intermediate HoldCo, Inc. - Delayed Draw</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Galileo Parent, Inc. -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GreenShoot BidCo B.V. - Revolver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Hippo XPA Bidco AB - Delayed Draw &amp;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HireVue, Inc. - Delayed Draw</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HMP Omnimedia, LLC - Delayed Draw &amp;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Ingenovis Health Finance, LLC - Revolver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IRGSE Holding Corp. -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Kahua, Inc. - Delayed Draw</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Kangaroo Bidco AS - Delayed Draw</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1140" w:type="dxa"/>
            <w:vAlign w:val="bottom"/>
          </w:tcPr>
          <w:p>
            <w:pPr>
              <w:spacing w:after="0"/>
              <w:rPr>
                <w:sz w:val="17"/>
                <w:szCs w:val="17"/>
                <w:color w:val="auto"/>
              </w:rPr>
            </w:pPr>
          </w:p>
        </w:tc>
        <w:tc>
          <w:tcPr>
            <w:tcW w:w="4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Kaseware Intermediate Holding Company - Delayed Draw &amp;</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59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Revolver</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Kryptona BidCo US, LLC -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LeanTaaS Holdings, Inc. - Delayed Draw</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LIHA Holdco B.V. - Delayed Draw &amp;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Lynx BidCo - Delayed Draw &amp; Revolver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Marcura Equities LTD -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Mindbody, Inc. - Revolver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Neuintel, LLC - Delayed Draw</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Omnigo Software, LLC - Delayed Draw &amp; Revolver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PDI TA Holdings, Inc. -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Rail Acquisitions LLC - Delayed Draw &amp; Revolver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RainFocus, LLC - Delayed Draw</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1140" w:type="dxa"/>
            <w:vAlign w:val="bottom"/>
          </w:tcPr>
          <w:p>
            <w:pPr>
              <w:spacing w:after="0"/>
              <w:rPr>
                <w:sz w:val="17"/>
                <w:szCs w:val="17"/>
                <w:color w:val="auto"/>
              </w:rPr>
            </w:pPr>
          </w:p>
        </w:tc>
        <w:tc>
          <w:tcPr>
            <w:tcW w:w="4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Rapid Data GmbH Unternehmensberatung - Delayed Draw &amp;</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59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Revolver</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Raptor US Buyer II Corp. -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Sapphire Software Buyer, Inc. - Revolver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Scorpio Bidco - Delayed Draw</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Sediver S.p.A. - Delayed Draw</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Severin Acquisition, LLC - Delayed Draw &amp;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Shiftmove GmbH - Delayed Draw</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SMA Technologies Holdings, LLC - Revolver</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482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745"/>
        </w:trPr>
        <w:tc>
          <w:tcPr>
            <w:tcW w:w="11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6" w:name="page77"/>
    <w:bookmarkEnd w:id="76"/>
    <w:tbl>
      <w:tblPr>
        <w:tblLayout w:type="fixed"/>
        <w:tblInd w:w="114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Sport Alliance GmbH - Revolver</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0"/>
                <w:szCs w:val="20"/>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Structured Credit Partners JV, LLC - Equity</w:t>
            </w: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Tango Management Consulting, LLC - Delayed Draw &amp; Revolver</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TRP Assets, LLC - Delayed Draw</w:t>
            </w: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TS Imagine, Inc. - Revolver</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USA DeBusk, LLC - Delayed Draw &amp; Revolver</w:t>
            </w: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Varinem German Bidco GmbH - Delayed Draw</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Velocity Clinical Research, Inc. - Delayed Draw &amp; Revolver</w:t>
            </w: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Women's Care Holdings, Inc. - Revolver</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Wrangler TopCo, LLC - Delayed Draw &amp; Revolver</w:t>
            </w:r>
          </w:p>
        </w:tc>
        <w:tc>
          <w:tcPr>
            <w:tcW w:w="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040" w:type="dxa"/>
            <w:vAlign w:val="bottom"/>
          </w:tcPr>
          <w:p>
            <w:pPr>
              <w:ind w:left="4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Total Portfolio Company Commitments </w:t>
            </w:r>
            <w:r>
              <w:rPr>
                <w:rFonts w:ascii="Times New Roman" w:cs="Times New Roman" w:eastAsia="Times New Roman" w:hAnsi="Times New Roman"/>
                <w:sz w:val="24"/>
                <w:szCs w:val="24"/>
                <w:b w:val="1"/>
                <w:bCs w:val="1"/>
                <w:color w:val="auto"/>
                <w:vertAlign w:val="superscript"/>
              </w:rPr>
              <w:t>(1)(2)</w:t>
            </w:r>
          </w:p>
        </w:tc>
        <w:tc>
          <w:tcPr>
            <w:tcW w:w="7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9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80" w:type="dxa"/>
            <w:vAlign w:val="bottom"/>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-170815</wp:posOffset>
            </wp:positionV>
            <wp:extent cx="5143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ind w:left="520" w:right="300" w:hanging="512"/>
        <w:spacing w:after="0" w:line="260"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2" w:lineRule="exact"/>
        <w:rPr>
          <w:rFonts w:ascii="Times New Roman" w:cs="Times New Roman" w:eastAsia="Times New Roman" w:hAnsi="Times New Roman"/>
          <w:sz w:val="18"/>
          <w:szCs w:val="18"/>
          <w:color w:val="auto"/>
        </w:rPr>
      </w:pPr>
    </w:p>
    <w:p>
      <w:pPr>
        <w:ind w:left="520" w:right="700" w:hanging="512"/>
        <w:spacing w:after="0" w:line="273"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the fair value of the current investments in these portfolio companies includes an analysis of the fair value of any unfunded commitments.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round to less than $0.1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we did not have any unfunded commitments to fund investments to new borrowers that were not current portfolio companies as of such date.</w:t>
      </w:r>
    </w:p>
    <w:p>
      <w:pPr>
        <w:spacing w:after="0" w:line="54" w:lineRule="exact"/>
        <w:rPr>
          <w:sz w:val="20"/>
          <w:szCs w:val="20"/>
          <w:color w:val="auto"/>
        </w:rPr>
      </w:pPr>
    </w:p>
    <w:p>
      <w:pPr>
        <w:jc w:val="both"/>
        <w:ind w:right="420" w:firstLine="255"/>
        <w:spacing w:after="0" w:line="282" w:lineRule="auto"/>
        <w:rPr>
          <w:sz w:val="20"/>
          <w:szCs w:val="20"/>
          <w:color w:val="auto"/>
        </w:rPr>
      </w:pPr>
      <w:r>
        <w:rPr>
          <w:rFonts w:ascii="Times New Roman" w:cs="Times New Roman" w:eastAsia="Times New Roman" w:hAnsi="Times New Roman"/>
          <w:sz w:val="18"/>
          <w:szCs w:val="18"/>
          <w:color w:val="auto"/>
        </w:rPr>
        <w:t>From time to time, we may become a party to certain legal proceedings incidental to the normal course of our business. As of September 30, 2026, management is not aware of any material pending or threatened litigation that would require accounting recognition or financial statement disclosure.</w:t>
      </w:r>
    </w:p>
    <w:p>
      <w:pPr>
        <w:spacing w:after="0" w:line="162"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62"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our contractual payment obligations as of September 30, 2026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color w:val="auto"/>
              </w:rPr>
              <w:t>($ in millions)</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After 5 years</w:t>
            </w:r>
          </w:p>
        </w:tc>
        <w:tc>
          <w:tcPr>
            <w:tcW w:w="88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2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2028 Notes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 Notes</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2030 Notes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 Notes</w:t>
            </w:r>
          </w:p>
        </w:tc>
        <w:tc>
          <w:tcPr>
            <w:tcW w:w="4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-942340</wp:posOffset>
            </wp:positionV>
            <wp:extent cx="596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-942340</wp:posOffset>
            </wp:positionV>
            <wp:extent cx="596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-942340</wp:posOffset>
            </wp:positionV>
            <wp:extent cx="6032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-942340</wp:posOffset>
            </wp:positionV>
            <wp:extent cx="6032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-942340</wp:posOffset>
            </wp:positionV>
            <wp:extent cx="596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7" w:name="page78"/>
    <w:bookmarkEnd w:id="77"/>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19"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We have elected and qualified to be treated for U.S. federal income tax purposes as a RIC under subchapter M of the Code. To maintain RIC status, we must distribute (or be treated as distributing) in each taxable year dividends for tax purposes equal to at least 90 percent of the sum of our:</w:t>
      </w:r>
    </w:p>
    <w:p>
      <w:pPr>
        <w:spacing w:after="0" w:line="54" w:lineRule="exact"/>
        <w:rPr>
          <w:sz w:val="20"/>
          <w:szCs w:val="20"/>
          <w:color w:val="auto"/>
        </w:rPr>
      </w:pPr>
    </w:p>
    <w:p>
      <w:pPr>
        <w:ind w:left="520" w:right="200" w:hanging="257"/>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3" w:lineRule="exact"/>
        <w:rPr>
          <w:rFonts w:ascii="Times New Roman" w:cs="Times New Roman" w:eastAsia="Times New Roman" w:hAnsi="Times New Roman"/>
          <w:sz w:val="18"/>
          <w:szCs w:val="18"/>
          <w:color w:val="auto"/>
        </w:rPr>
      </w:pPr>
    </w:p>
    <w:p>
      <w:pPr>
        <w:ind w:left="520" w:right="280" w:hanging="257"/>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tax-exempt interest income (which is the excess of our gross tax exempt interest income over certain disallowed deductions) for such taxable year.</w:t>
      </w:r>
    </w:p>
    <w:p>
      <w:pPr>
        <w:spacing w:after="0" w:line="162"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As a RIC, we (but not our stockholders) generally will not be subject to U.S. federal income tax on investment company taxable income and net capital gains that we distribute to our stockholders.</w:t>
      </w:r>
    </w:p>
    <w:p>
      <w:pPr>
        <w:spacing w:after="0" w:line="162" w:lineRule="exact"/>
        <w:rPr>
          <w:sz w:val="20"/>
          <w:szCs w:val="20"/>
          <w:color w:val="auto"/>
        </w:rPr>
      </w:pPr>
    </w:p>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76"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68" w:lineRule="exact"/>
        <w:rPr>
          <w:sz w:val="20"/>
          <w:szCs w:val="20"/>
          <w:color w:val="auto"/>
        </w:rPr>
      </w:pPr>
    </w:p>
    <w:p>
      <w:pPr>
        <w:ind w:left="520" w:hanging="257"/>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or losses for that calendar year;</w:t>
      </w:r>
    </w:p>
    <w:p>
      <w:pPr>
        <w:spacing w:after="0" w:line="117" w:lineRule="exact"/>
        <w:rPr>
          <w:rFonts w:ascii="Times New Roman" w:cs="Times New Roman" w:eastAsia="Times New Roman" w:hAnsi="Times New Roman"/>
          <w:sz w:val="18"/>
          <w:szCs w:val="18"/>
          <w:color w:val="auto"/>
        </w:rPr>
      </w:pPr>
    </w:p>
    <w:p>
      <w:pPr>
        <w:ind w:left="520" w:right="120" w:hanging="257"/>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that calendar year; and</w:t>
      </w:r>
    </w:p>
    <w:p>
      <w:pPr>
        <w:spacing w:after="0" w:line="53"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6" w:lineRule="exact"/>
        <w:rPr>
          <w:sz w:val="20"/>
          <w:szCs w:val="20"/>
          <w:color w:val="auto"/>
        </w:rPr>
      </w:pPr>
    </w:p>
    <w:p>
      <w:pPr>
        <w:jc w:val="both"/>
        <w:ind w:right="200" w:firstLine="255"/>
        <w:spacing w:after="0" w:line="266" w:lineRule="auto"/>
        <w:rPr>
          <w:sz w:val="20"/>
          <w:szCs w:val="20"/>
          <w:color w:val="auto"/>
        </w:rPr>
      </w:pPr>
      <w:r>
        <w:rPr>
          <w:rFonts w:ascii="Times New Roman" w:cs="Times New Roman" w:eastAsia="Times New Roman" w:hAnsi="Times New Roman"/>
          <w:sz w:val="18"/>
          <w:szCs w:val="18"/>
          <w:color w:val="auto"/>
        </w:rPr>
        <w:t>We intend to pay quarterly dividends to our stockholders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0"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7"/>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w:t>
      </w:r>
    </w:p>
    <w:p>
      <w:pPr>
        <w:spacing w:after="0" w:line="117" w:lineRule="exact"/>
        <w:rPr>
          <w:rFonts w:ascii="Times New Roman" w:cs="Times New Roman" w:eastAsia="Times New Roman" w:hAnsi="Times New Roman"/>
          <w:sz w:val="18"/>
          <w:szCs w:val="18"/>
          <w:color w:val="auto"/>
        </w:rPr>
      </w:pPr>
    </w:p>
    <w:p>
      <w:pPr>
        <w:ind w:left="520" w:hanging="257"/>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 and</w:t>
      </w:r>
    </w:p>
    <w:p>
      <w:pPr>
        <w:spacing w:after="0" w:line="117" w:lineRule="exact"/>
        <w:rPr>
          <w:rFonts w:ascii="Times New Roman" w:cs="Times New Roman" w:eastAsia="Times New Roman" w:hAnsi="Times New Roman"/>
          <w:sz w:val="18"/>
          <w:szCs w:val="18"/>
          <w:color w:val="auto"/>
        </w:rPr>
      </w:pPr>
    </w:p>
    <w:p>
      <w:pPr>
        <w:ind w:left="520" w:right="200" w:hanging="257"/>
        <w:spacing w:after="0" w:line="261"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ongoing agreement with an affiliate of TPG Global, LLC governing, inter alia, the parties’ respective ownership of and rights to use the “Sixth Street” and “TPG” trademarks and certain variations thereof.</w:t>
      </w: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estimates, including those relating to the valuation of our investment portfolio, are described in our Annual Report on Form 10-K for the fiscal year ended December 31, 2025, filed with the SEC on February 12, 2026, and elsewhere in our filings with the SEC. The critical accounting policies and estimates should be read in connection with our risk factors discussed in Part I, “Item 1A. Risk Factors” in our Annual Report on Form 10-K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2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76" w:lineRule="exact"/>
        <w:rPr>
          <w:sz w:val="20"/>
          <w:szCs w:val="20"/>
          <w:color w:val="auto"/>
        </w:rPr>
      </w:pPr>
    </w:p>
    <w:p>
      <w:pPr>
        <w:ind w:right="480" w:firstLine="255"/>
        <w:spacing w:after="0" w:line="266" w:lineRule="auto"/>
        <w:rPr>
          <w:sz w:val="20"/>
          <w:szCs w:val="20"/>
          <w:color w:val="auto"/>
        </w:rPr>
      </w:pPr>
      <w:r>
        <w:rPr>
          <w:rFonts w:ascii="Times New Roman" w:cs="Times New Roman" w:eastAsia="Times New Roman" w:hAnsi="Times New Roman"/>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76"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As of September 30, 2026, 97.6% of our debt investments based on fair value in our portfolio bore interest at floating rates, with 100.0% of these subject to interest rate floors. Our credit facilities also bear interest at floating rates, and in connection with our 2028 Notes, 2029 Notes, 2030 Notes and 2031 Notes, which bear interest at fixed rates, we entered into fixed-to-floating interest rate swaps in order to align the interest rates of our liabilities with our investment portfolio.</w:t>
      </w:r>
    </w:p>
    <w:p>
      <w:pPr>
        <w:spacing w:after="0" w:line="180"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Assuming that our Consolidated Balance Sheet as of September 30, 2026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0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4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6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0" w:type="dxa"/>
            <w:vAlign w:val="bottom"/>
          </w:tcPr>
          <w:p>
            <w:pPr>
              <w:spacing w:after="0"/>
              <w:rPr>
                <w:sz w:val="1"/>
                <w:szCs w:val="1"/>
                <w:color w:val="auto"/>
              </w:rPr>
            </w:pPr>
          </w:p>
        </w:tc>
      </w:tr>
      <w:tr>
        <w:trPr>
          <w:trHeight w:val="173"/>
        </w:trPr>
        <w:tc>
          <w:tcPr>
            <w:tcW w:w="356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2060" w:type="dxa"/>
            <w:vAlign w:val="bottom"/>
            <w:gridSpan w:val="3"/>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1260" w:type="dxa"/>
            <w:vAlign w:val="bottom"/>
            <w:tcBorders>
              <w:top w:val="single" w:sz="8" w:color="auto"/>
            </w:tcBorders>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18"/>
                <w:szCs w:val="18"/>
                <w:color w:val="auto"/>
              </w:rPr>
            </w:pP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8"/>
                <w:szCs w:val="18"/>
                <w:color w:val="auto"/>
              </w:rPr>
            </w:pPr>
          </w:p>
        </w:tc>
        <w:tc>
          <w:tcPr>
            <w:tcW w:w="7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126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Down 25 basis points</w:t>
            </w: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7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Down 50 basis points</w:t>
            </w:r>
          </w:p>
        </w:tc>
        <w:tc>
          <w:tcPr>
            <w:tcW w:w="126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5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700" w:type="dxa"/>
            <w:vAlign w:val="bottom"/>
            <w:shd w:val="clear" w:color="auto" w:fill="CFF0FC"/>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Down 75 basis points</w:t>
            </w: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7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Down 100 basis points</w:t>
            </w:r>
          </w:p>
        </w:tc>
        <w:tc>
          <w:tcPr>
            <w:tcW w:w="1260" w:type="dxa"/>
            <w:vAlign w:val="bottom"/>
            <w:shd w:val="clear" w:color="auto" w:fill="CFF0FC"/>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c>
          <w:tcPr>
            <w:tcW w:w="5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700" w:type="dxa"/>
            <w:vAlign w:val="bottom"/>
            <w:shd w:val="clear" w:color="auto" w:fill="CFF0FC"/>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76" w:lineRule="exact"/>
        <w:rPr>
          <w:sz w:val="20"/>
          <w:szCs w:val="20"/>
          <w:color w:val="auto"/>
        </w:rPr>
      </w:pPr>
    </w:p>
    <w:p>
      <w:pPr>
        <w:ind w:right="220" w:firstLine="255"/>
        <w:spacing w:after="0" w:line="255"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as amended (the “Exchange Act”)). Any controls and procedures, no matter how well designed and operated, can provide only reasonable assurance of achieving the desired control objectives.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83" w:lineRule="exact"/>
        <w:rPr>
          <w:sz w:val="20"/>
          <w:szCs w:val="20"/>
          <w:color w:val="auto"/>
        </w:rPr>
      </w:pPr>
    </w:p>
    <w:p>
      <w:pPr>
        <w:jc w:val="both"/>
        <w:ind w:right="440"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changes in our internal control over financial reporting that occurred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Risk Factors” in our Annual Report on Form 10-K for the fiscal year ended December 31, 2025,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19"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officers (as defined in Rule 16a-1(f) under the Exchange Act) adopted, modified or terminated any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81" w:name="page82"/>
    <w:bookmarkEnd w:id="81"/>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0" w:type="dxa"/>
            <w:vAlign w:val="bottom"/>
          </w:tcPr>
          <w:p>
            <w:pPr>
              <w:spacing w:after="0"/>
              <w:rPr>
                <w:sz w:val="14"/>
                <w:szCs w:val="14"/>
                <w:color w:val="auto"/>
              </w:rPr>
            </w:pPr>
          </w:p>
        </w:tc>
        <w:tc>
          <w:tcPr>
            <w:tcW w:w="102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Description of Exhibits</w:t>
            </w:r>
          </w:p>
        </w:tc>
      </w:tr>
      <w:tr>
        <w:trPr>
          <w:trHeight w:val="29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99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r:id="rId909">
              <w:r>
                <w:rPr>
                  <w:rFonts w:ascii="Times New Roman" w:cs="Times New Roman" w:eastAsia="Times New Roman" w:hAnsi="Times New Roman"/>
                  <w:sz w:val="18"/>
                  <w:szCs w:val="18"/>
                  <w:color w:val="0000FF"/>
                </w:rPr>
                <w:t>Restated Certificate of Incorporation (incorporated by reference to Exhibit 3.2 to Amendment No. 1 to the Company’s Current Report on</w:t>
              </w:r>
            </w:hyperlink>
          </w:p>
        </w:tc>
        <w:tc>
          <w:tcPr>
            <w:tcW w:w="34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gridSpan w:val="7"/>
          </w:tcPr>
          <w:p>
            <w:pPr>
              <w:spacing w:after="0" w:line="196" w:lineRule="exact"/>
              <w:rPr>
                <w:rFonts w:ascii="Times New Roman" w:cs="Times New Roman" w:eastAsia="Times New Roman" w:hAnsi="Times New Roman"/>
                <w:sz w:val="18"/>
                <w:szCs w:val="18"/>
                <w:color w:val="0000FF"/>
              </w:rPr>
            </w:pPr>
            <w:hyperlink r:id="rId909">
              <w:r>
                <w:rPr>
                  <w:rFonts w:ascii="Times New Roman" w:cs="Times New Roman" w:eastAsia="Times New Roman" w:hAnsi="Times New Roman"/>
                  <w:sz w:val="18"/>
                  <w:szCs w:val="18"/>
                  <w:color w:val="0000FF"/>
                </w:rPr>
                <w:t>Form 8-K filed on June 19, 2020).</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01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910">
              <w:r>
                <w:rPr>
                  <w:rFonts w:ascii="Times New Roman" w:cs="Times New Roman" w:eastAsia="Times New Roman" w:hAnsi="Times New Roman"/>
                  <w:sz w:val="18"/>
                  <w:szCs w:val="18"/>
                  <w:color w:val="0000FF"/>
                </w:rPr>
                <w:t>Third Amended and Restated Bylaws dated November 4, 2025 (incorporated by reference to Exhibit 3.2 to the Company’s Quarterly Report</w:t>
              </w:r>
            </w:hyperlink>
          </w:p>
        </w:tc>
        <w:tc>
          <w:tcPr>
            <w:tcW w:w="12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gridSpan w:val="7"/>
          </w:tcPr>
          <w:p>
            <w:pPr>
              <w:spacing w:after="0" w:line="196" w:lineRule="exact"/>
              <w:rPr>
                <w:rFonts w:ascii="Times New Roman" w:cs="Times New Roman" w:eastAsia="Times New Roman" w:hAnsi="Times New Roman"/>
                <w:sz w:val="18"/>
                <w:szCs w:val="18"/>
                <w:color w:val="0000FF"/>
              </w:rPr>
            </w:pPr>
            <w:hyperlink r:id="rId910">
              <w:r>
                <w:rPr>
                  <w:rFonts w:ascii="Times New Roman" w:cs="Times New Roman" w:eastAsia="Times New Roman" w:hAnsi="Times New Roman"/>
                  <w:sz w:val="18"/>
                  <w:szCs w:val="18"/>
                  <w:color w:val="0000FF"/>
                </w:rPr>
                <w:t>on Form 10-Q filed on November 4, 2025).</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220" w:type="dxa"/>
            <w:vAlign w:val="bottom"/>
            <w:tcBorders>
              <w:right w:val="single" w:sz="8" w:color="0000EE"/>
            </w:tcBorders>
            <w:gridSpan w:val="2"/>
            <w:shd w:val="clear" w:color="auto" w:fill="0000FF"/>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Exchange Act Rule 13a-14(a), as Adopted Pursuant to Section 302 of the Sarbanes-Oxley</w:t>
            </w: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 Act Rule 13a-14(a), as Adopted Pursuant to Section 302 of the Sarbanes-Oxley</w:t>
            </w: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0" w:lineRule="exact"/>
        <w:rPr>
          <w:sz w:val="20"/>
          <w:szCs w:val="20"/>
          <w:color w:val="auto"/>
        </w:rPr>
      </w:pPr>
    </w:p>
    <w:p>
      <w:pPr>
        <w:ind w:left="980" w:hanging="972"/>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CEO and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-7620</wp:posOffset>
            </wp:positionV>
            <wp:extent cx="640080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1">
                      <a:extLst>
                        <a:ext uri="{28A0092B-C50C-407E-A947-70E740481C1C}"/>
                      </a:extLst>
                    </a:blip>
                    <a:srcRect/>
                    <a:stretch>
                      <a:fillRect/>
                    </a:stretch>
                  </pic:blipFill>
                  <pic:spPr bwMode="auto">
                    <a:xfrm>
                      <a:off x="0" y="0"/>
                      <a:ext cx="6400800"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820" w:type="dxa"/>
            <w:vAlign w:val="bottom"/>
          </w:tcPr>
          <w:p>
            <w:pPr>
              <w:spacing w:after="0"/>
              <w:rPr>
                <w:sz w:val="20"/>
                <w:szCs w:val="20"/>
                <w:color w:val="auto"/>
              </w:rPr>
            </w:pP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Quarterly Report on Form 10-Q are not intended to provide factual information or other disclosure other than with respect to the terms of the agreements or other documents themselves, and shareholders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tc>
      </w:tr>
      <w:tr>
        <w:trPr>
          <w:trHeight w:val="43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“Bo” Stanley</w:t>
            </w:r>
          </w:p>
        </w:tc>
      </w:tr>
      <w:tr>
        <w:trPr>
          <w:trHeight w:val="191"/>
        </w:trPr>
        <w:tc>
          <w:tcPr>
            <w:tcW w:w="560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“Bo” Stanley</w:t>
            </w:r>
          </w:p>
        </w:tc>
      </w:tr>
      <w:tr>
        <w:trPr>
          <w:trHeight w:val="216"/>
        </w:trPr>
        <w:tc>
          <w:tcPr>
            <w:tcW w:w="56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191"/>
        </w:trPr>
        <w:tc>
          <w:tcPr>
            <w:tcW w:w="560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16"/>
        </w:trPr>
        <w:tc>
          <w:tcPr>
            <w:tcW w:w="56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“Bo” Stanley, certify that:</w:t>
      </w:r>
    </w:p>
    <w:p>
      <w:pPr>
        <w:spacing w:after="0" w:line="117" w:lineRule="exact"/>
        <w:rPr>
          <w:sz w:val="20"/>
          <w:szCs w:val="20"/>
          <w:color w:val="auto"/>
        </w:rPr>
      </w:pPr>
    </w:p>
    <w:p>
      <w:pPr>
        <w:ind w:left="780" w:hanging="517"/>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Sixth Street Specialty Lending, Inc.;</w:t>
      </w:r>
    </w:p>
    <w:p>
      <w:pPr>
        <w:spacing w:after="0" w:line="117" w:lineRule="exact"/>
        <w:rPr>
          <w:rFonts w:ascii="Times New Roman" w:cs="Times New Roman" w:eastAsia="Times New Roman" w:hAnsi="Times New Roman"/>
          <w:sz w:val="18"/>
          <w:szCs w:val="18"/>
          <w:color w:val="auto"/>
        </w:rPr>
      </w:pPr>
    </w:p>
    <w:p>
      <w:pPr>
        <w:jc w:val="both"/>
        <w:ind w:left="780" w:hanging="517"/>
        <w:spacing w:after="0" w:line="266" w:lineRule="auto"/>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80" w:right="220" w:hanging="517"/>
        <w:spacing w:after="0" w:line="282" w:lineRule="auto"/>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180" w:hanging="517"/>
        <w:spacing w:after="0" w:line="276" w:lineRule="auto"/>
        <w:tabs>
          <w:tab w:leader="none" w:pos="7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280" w:right="140" w:hanging="509"/>
        <w:spacing w:after="0" w:line="266" w:lineRule="auto"/>
        <w:tabs>
          <w:tab w:leader="none" w:pos="12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80" w:right="60" w:hanging="509"/>
        <w:spacing w:after="0" w:line="266" w:lineRule="auto"/>
        <w:tabs>
          <w:tab w:leader="none" w:pos="12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80" w:right="240" w:hanging="509"/>
        <w:spacing w:after="0" w:line="312" w:lineRule="auto"/>
        <w:tabs>
          <w:tab w:leader="none" w:pos="128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80" w:right="80" w:hanging="509"/>
        <w:spacing w:after="0" w:line="266" w:lineRule="auto"/>
        <w:tabs>
          <w:tab w:leader="none" w:pos="12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80" w:right="140" w:hanging="517"/>
        <w:spacing w:after="0" w:line="282" w:lineRule="auto"/>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480" w:hanging="509"/>
        <w:spacing w:after="0" w:line="282" w:lineRule="auto"/>
        <w:tabs>
          <w:tab w:leader="none" w:pos="12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160" w:hanging="509"/>
        <w:spacing w:after="0" w:line="282" w:lineRule="auto"/>
        <w:tabs>
          <w:tab w:leader="none" w:pos="12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Robert “Bo”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4">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Robert “Bo” Stanley</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Simmonds, certify that:</w:t>
      </w:r>
    </w:p>
    <w:p>
      <w:pPr>
        <w:spacing w:after="0" w:line="117" w:lineRule="exact"/>
        <w:rPr>
          <w:sz w:val="20"/>
          <w:szCs w:val="20"/>
          <w:color w:val="auto"/>
        </w:rPr>
      </w:pPr>
    </w:p>
    <w:p>
      <w:pPr>
        <w:ind w:left="780" w:hanging="517"/>
        <w:spacing w:after="0"/>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Sixth Street Specialty Lending, Inc.;</w:t>
      </w:r>
    </w:p>
    <w:p>
      <w:pPr>
        <w:spacing w:after="0" w:line="117" w:lineRule="exact"/>
        <w:rPr>
          <w:rFonts w:ascii="Times New Roman" w:cs="Times New Roman" w:eastAsia="Times New Roman" w:hAnsi="Times New Roman"/>
          <w:sz w:val="18"/>
          <w:szCs w:val="18"/>
          <w:color w:val="auto"/>
        </w:rPr>
      </w:pPr>
    </w:p>
    <w:p>
      <w:pPr>
        <w:jc w:val="both"/>
        <w:ind w:left="780" w:hanging="517"/>
        <w:spacing w:after="0" w:line="266"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80" w:right="220" w:hanging="517"/>
        <w:spacing w:after="0" w:line="282"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180" w:hanging="517"/>
        <w:spacing w:after="0" w:line="276" w:lineRule="auto"/>
        <w:tabs>
          <w:tab w:leader="none" w:pos="7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280" w:right="140" w:hanging="509"/>
        <w:spacing w:after="0" w:line="266" w:lineRule="auto"/>
        <w:tabs>
          <w:tab w:leader="none" w:pos="12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80" w:right="60" w:hanging="509"/>
        <w:spacing w:after="0" w:line="266" w:lineRule="auto"/>
        <w:tabs>
          <w:tab w:leader="none" w:pos="12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80" w:right="240" w:hanging="509"/>
        <w:spacing w:after="0" w:line="312" w:lineRule="auto"/>
        <w:tabs>
          <w:tab w:leader="none" w:pos="128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80" w:right="80" w:hanging="509"/>
        <w:spacing w:after="0" w:line="266" w:lineRule="auto"/>
        <w:tabs>
          <w:tab w:leader="none" w:pos="12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80" w:right="140" w:hanging="517"/>
        <w:spacing w:after="0" w:line="282" w:lineRule="auto"/>
        <w:tabs>
          <w:tab w:leader="none" w:pos="7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480" w:hanging="509"/>
        <w:spacing w:after="0" w:line="282" w:lineRule="auto"/>
        <w:tabs>
          <w:tab w:leader="none" w:pos="12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160" w:hanging="509"/>
        <w:spacing w:after="0" w:line="282" w:lineRule="auto"/>
        <w:tabs>
          <w:tab w:leader="none" w:pos="12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17145</wp:posOffset>
            </wp:positionV>
            <wp:extent cx="297434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6">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Ian Simmonds</w:t>
      </w:r>
    </w:p>
    <w:p>
      <w:pPr>
        <w:spacing w:after="0" w:line="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842010</wp:posOffset>
            </wp:positionV>
            <wp:extent cx="7157720" cy="425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5" w:name="page86"/>
    <w:bookmarkEnd w:id="85"/>
    <w:p>
      <w:pPr>
        <w:ind w:left="1040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Sixth Street Specialty Lending, Inc. (the “Company”) for the quarterly period ended September 30, 2026, as filed with the Securities and Exchange Commission on the date hereof (the “Report”), Robert “Bo” Stanley,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2" w:lineRule="exact"/>
        <w:rPr>
          <w:sz w:val="20"/>
          <w:szCs w:val="20"/>
          <w:color w:val="auto"/>
        </w:rPr>
      </w:pPr>
    </w:p>
    <w:p>
      <w:pPr>
        <w:ind w:left="780" w:hanging="517"/>
        <w:spacing w:after="0"/>
        <w:tabs>
          <w:tab w:leader="none" w:pos="7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780" w:hanging="517"/>
        <w:spacing w:after="0"/>
        <w:tabs>
          <w:tab w:leader="none" w:pos="7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Robert “Bo”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Robert “Bo” Stanley</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lvl w:ilvl="1">
      <w:lvlJc w:val="left"/>
      <w:lvlText w:val="(%2)"/>
      <w:numFmt w:val="lowerLetter"/>
      <w:start w:val="1"/>
    </w:lvl>
  </w:abstractNum>
  <w:abstractNum w:abstractNumId="4">
    <w:nsid w:val="8138641"/>
    <w:multiLevelType w:val="hybridMultilevel"/>
    <w:lvl w:ilvl="0">
      <w:lvlJc w:val="left"/>
      <w:lvlText w:val="(%1)"/>
      <w:numFmt w:val="decimal"/>
      <w:start w:val="1"/>
    </w:lvl>
    <w:lvl w:ilvl="1">
      <w:lvlJc w:val="left"/>
      <w:lvlText w:val="%2"/>
      <w:numFmt w:val="lowerLetter"/>
      <w:start w:val="1"/>
    </w:lvl>
  </w:abstractNum>
  <w:abstractNum w:abstractNumId="5">
    <w:nsid w:val="1E7FF521"/>
    <w:multiLevelType w:val="hybridMultilevel"/>
    <w:lvl w:ilvl="0">
      <w:lvlJc w:val="left"/>
      <w:lvlText w:val="(%1)"/>
      <w:numFmt w:val="decimal"/>
      <w:start w:val="5"/>
    </w:lvl>
  </w:abstractNum>
  <w:abstractNum w:abstractNumId="6">
    <w:nsid w:val="7C3DBD3D"/>
    <w:multiLevelType w:val="hybridMultilevel"/>
    <w:lvl w:ilvl="0">
      <w:lvlJc w:val="left"/>
      <w:lvlText w:val="%1"/>
      <w:numFmt w:val="decimal"/>
      <w:start w:val="1"/>
    </w:lvl>
    <w:lvl w:ilvl="1">
      <w:lvlJc w:val="left"/>
      <w:lvlText w:val="(%2)"/>
      <w:numFmt w:val="lowerLetter"/>
      <w:start w:val="1"/>
    </w:lvl>
  </w:abstractNum>
  <w:abstractNum w:abstractNumId="7">
    <w:nsid w:val="737B8DDC"/>
    <w:multiLevelType w:val="hybridMultilevel"/>
    <w:lvl w:ilvl="0">
      <w:lvlJc w:val="left"/>
      <w:lvlText w:val="(%1)"/>
      <w:numFmt w:val="decimal"/>
      <w:start w:val="7"/>
    </w:lvl>
    <w:lvl w:ilvl="1">
      <w:lvlJc w:val="left"/>
      <w:lvlText w:val="%2"/>
      <w:numFmt w:val="lowerLetter"/>
      <w:start w:val="1"/>
    </w:lvl>
  </w:abstractNum>
  <w:abstractNum w:abstractNumId="8">
    <w:nsid w:val="6CEAF087"/>
    <w:multiLevelType w:val="hybridMultilevel"/>
    <w:lvl w:ilvl="0">
      <w:lvlJc w:val="left"/>
      <w:lvlText w:val="%1"/>
      <w:numFmt w:val="decimal"/>
      <w:start w:val="1"/>
    </w:lvl>
    <w:lvl w:ilvl="1">
      <w:lvlJc w:val="left"/>
      <w:lvlText w:val="(%2)"/>
      <w:numFmt w:val="lowerLetter"/>
      <w:start w:val="1"/>
    </w:lvl>
  </w:abstractNum>
  <w:abstractNum w:abstractNumId="9">
    <w:nsid w:val="22221A70"/>
    <w:multiLevelType w:val="hybridMultilevel"/>
    <w:lvl w:ilvl="0">
      <w:lvlJc w:val="left"/>
      <w:lvlText w:val="(%1)"/>
      <w:numFmt w:val="decimal"/>
      <w:start w:val="8"/>
    </w:lvl>
    <w:lvl w:ilvl="1">
      <w:lvlJc w:val="left"/>
      <w:lvlText w:val="%2"/>
      <w:numFmt w:val="lowerLetter"/>
      <w:start w:val="1"/>
    </w:lvl>
  </w:abstractNum>
  <w:abstractNum w:abstractNumId="10">
    <w:nsid w:val="4516DDE9"/>
    <w:multiLevelType w:val="hybridMultilevel"/>
    <w:lvl w:ilvl="0">
      <w:lvlJc w:val="left"/>
      <w:lvlText w:val="(%1)"/>
      <w:numFmt w:val="decimal"/>
      <w:start w:val="11"/>
    </w:lvl>
  </w:abstractNum>
  <w:abstractNum w:abstractNumId="11">
    <w:nsid w:val="3006C83E"/>
    <w:multiLevelType w:val="hybridMultilevel"/>
    <w:lvl w:ilvl="0">
      <w:lvlJc w:val="left"/>
      <w:lvlText w:val="%1"/>
      <w:numFmt w:val="decimal"/>
      <w:start w:val="1"/>
    </w:lvl>
    <w:lvl w:ilvl="1">
      <w:lvlJc w:val="left"/>
      <w:lvlText w:val="(%2)"/>
      <w:numFmt w:val="lowerLetter"/>
      <w:start w:val="1"/>
    </w:lvl>
  </w:abstractNum>
  <w:abstractNum w:abstractNumId="12">
    <w:nsid w:val="614FD4A1"/>
    <w:multiLevelType w:val="hybridMultilevel"/>
    <w:lvl w:ilvl="0">
      <w:lvlJc w:val="left"/>
      <w:lvlText w:val="(%1)"/>
      <w:numFmt w:val="decimal"/>
      <w:start w:val="1"/>
    </w:lvl>
    <w:lvl w:ilvl="1">
      <w:lvlJc w:val="left"/>
      <w:lvlText w:val="%2"/>
      <w:numFmt w:val="lowerLetter"/>
      <w:start w:val="1"/>
    </w:lvl>
  </w:abstractNum>
  <w:abstractNum w:abstractNumId="13">
    <w:nsid w:val="419AC241"/>
    <w:multiLevelType w:val="hybridMultilevel"/>
    <w:lvl w:ilvl="0">
      <w:lvlJc w:val="left"/>
      <w:lvlText w:val="%1"/>
      <w:numFmt w:val="decimal"/>
      <w:start w:val="1"/>
    </w:lvl>
    <w:lvl w:ilvl="1">
      <w:lvlJc w:val="left"/>
      <w:lvlText w:val="(%2)"/>
      <w:numFmt w:val="lowerLetter"/>
      <w:start w:val="1"/>
    </w:lvl>
  </w:abstractNum>
  <w:abstractNum w:abstractNumId="14">
    <w:nsid w:val="5577F8E1"/>
    <w:multiLevelType w:val="hybridMultilevel"/>
    <w:lvl w:ilvl="0">
      <w:lvlJc w:val="left"/>
      <w:lvlText w:val="(%1)"/>
      <w:numFmt w:val="decimal"/>
      <w:start w:val="7"/>
    </w:lvl>
    <w:lvl w:ilvl="1">
      <w:lvlJc w:val="left"/>
      <w:lvlText w:val="%2"/>
      <w:numFmt w:val="lowerLetter"/>
      <w:start w:val="1"/>
    </w:lvl>
  </w:abstractNum>
  <w:abstractNum w:abstractNumId="15">
    <w:nsid w:val="440BADFC"/>
    <w:multiLevelType w:val="hybridMultilevel"/>
    <w:lvl w:ilvl="0">
      <w:lvlJc w:val="left"/>
      <w:lvlText w:val="(%1)"/>
      <w:numFmt w:val="decimal"/>
      <w:start w:val="12"/>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32"/>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11" Type="http://schemas.openxmlformats.org/officeDocument/2006/relationships/image" Target="media/image902.png"/><Relationship Id="rId912" Type="http://schemas.openxmlformats.org/officeDocument/2006/relationships/image" Target="media/image903.png"/><Relationship Id="rId913" Type="http://schemas.openxmlformats.org/officeDocument/2006/relationships/image" Target="media/image904.png"/><Relationship Id="rId914" Type="http://schemas.openxmlformats.org/officeDocument/2006/relationships/image" Target="media/image905.png"/><Relationship Id="rId915" Type="http://schemas.openxmlformats.org/officeDocument/2006/relationships/image" Target="media/image906.png"/><Relationship Id="rId916" Type="http://schemas.openxmlformats.org/officeDocument/2006/relationships/image" Target="media/image907.png"/><Relationship Id="rId917" Type="http://schemas.openxmlformats.org/officeDocument/2006/relationships/image" Target="media/image908.png"/><Relationship Id="rId918" Type="http://schemas.openxmlformats.org/officeDocument/2006/relationships/image" Target="media/image909.png"/><Relationship Id="rId919" Type="http://schemas.openxmlformats.org/officeDocument/2006/relationships/image" Target="media/image910.png"/><Relationship Id="rId920" Type="http://schemas.openxmlformats.org/officeDocument/2006/relationships/image" Target="media/image911.png"/><Relationship Id="rId909" Type="http://schemas.openxmlformats.org/officeDocument/2006/relationships/hyperlink" Target="https://www.sec.gov/Archives/edgar/data/1508655/000119312520174009/d936084dex32.htm" TargetMode="External"/><Relationship Id="rId910" Type="http://schemas.openxmlformats.org/officeDocument/2006/relationships/hyperlink" Target="https://www.sec.gov/Archives/edgar/data/1508655/000119312525264618/tslx-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2026-11-03T15:16:38Z</dcterms:created>
  <dcterms:modified xsi:type="dcterms:W3CDTF">2026-11-03T15:16:38Z</dcterms:modified>
</cp:coreProperties>
</file>