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12,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Sixth Street Specialty Lending,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640" w:type="dxa"/>
            <w:vAlign w:val="bottom"/>
          </w:tcPr>
          <w:p>
            <w:pPr>
              <w:jc w:val="center"/>
              <w:ind w:right="1859"/>
              <w:spacing w:after="0"/>
              <w:rPr>
                <w:sz w:val="20"/>
                <w:szCs w:val="20"/>
                <w:color w:val="auto"/>
              </w:rPr>
            </w:pPr>
            <w:r>
              <w:rPr>
                <w:rFonts w:ascii="Arial" w:cs="Arial" w:eastAsia="Arial" w:hAnsi="Arial"/>
                <w:sz w:val="18"/>
                <w:szCs w:val="18"/>
                <w:b w:val="1"/>
                <w:bCs w:val="1"/>
                <w:color w:val="auto"/>
                <w:w w:val="93"/>
              </w:rPr>
              <w:t>Delaware</w:t>
            </w:r>
          </w:p>
        </w:tc>
        <w:tc>
          <w:tcPr>
            <w:tcW w:w="2380" w:type="dxa"/>
            <w:vAlign w:val="bottom"/>
          </w:tcPr>
          <w:p>
            <w:pPr>
              <w:ind w:left="560"/>
              <w:spacing w:after="0"/>
              <w:rPr>
                <w:sz w:val="20"/>
                <w:szCs w:val="20"/>
                <w:color w:val="auto"/>
              </w:rPr>
            </w:pPr>
            <w:r>
              <w:rPr>
                <w:rFonts w:ascii="Arial" w:cs="Arial" w:eastAsia="Arial" w:hAnsi="Arial"/>
                <w:sz w:val="18"/>
                <w:szCs w:val="18"/>
                <w:b w:val="1"/>
                <w:bCs w:val="1"/>
                <w:color w:val="auto"/>
              </w:rPr>
              <w:t>001-36364</w:t>
            </w:r>
          </w:p>
        </w:tc>
        <w:tc>
          <w:tcPr>
            <w:tcW w:w="2780" w:type="dxa"/>
            <w:vAlign w:val="bottom"/>
          </w:tcPr>
          <w:p>
            <w:pPr>
              <w:jc w:val="center"/>
              <w:ind w:left="1561"/>
              <w:spacing w:after="0"/>
              <w:rPr>
                <w:sz w:val="20"/>
                <w:szCs w:val="20"/>
                <w:color w:val="auto"/>
              </w:rPr>
            </w:pPr>
            <w:r>
              <w:rPr>
                <w:rFonts w:ascii="Arial" w:cs="Arial" w:eastAsia="Arial" w:hAnsi="Arial"/>
                <w:sz w:val="18"/>
                <w:szCs w:val="18"/>
                <w:b w:val="1"/>
                <w:bCs w:val="1"/>
                <w:color w:val="auto"/>
                <w:w w:val="89"/>
              </w:rPr>
              <w:t>27-3380000</w:t>
            </w:r>
          </w:p>
        </w:tc>
      </w:tr>
      <w:tr>
        <w:trPr>
          <w:trHeight w:val="148"/>
        </w:trPr>
        <w:tc>
          <w:tcPr>
            <w:tcW w:w="3640" w:type="dxa"/>
            <w:vAlign w:val="bottom"/>
          </w:tcPr>
          <w:p>
            <w:pPr>
              <w:jc w:val="center"/>
              <w:ind w:right="18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80" w:type="dxa"/>
            <w:vAlign w:val="bottom"/>
          </w:tcPr>
          <w:p>
            <w:pPr>
              <w:ind w:left="560"/>
              <w:spacing w:after="0" w:line="149" w:lineRule="exact"/>
              <w:rPr>
                <w:sz w:val="20"/>
                <w:szCs w:val="20"/>
                <w:color w:val="auto"/>
              </w:rPr>
            </w:pPr>
            <w:r>
              <w:rPr>
                <w:rFonts w:ascii="Arial" w:cs="Arial" w:eastAsia="Arial" w:hAnsi="Arial"/>
                <w:sz w:val="14"/>
                <w:szCs w:val="14"/>
                <w:b w:val="1"/>
                <w:bCs w:val="1"/>
                <w:color w:val="auto"/>
              </w:rPr>
              <w:t>(Commission</w:t>
            </w:r>
          </w:p>
        </w:tc>
        <w:tc>
          <w:tcPr>
            <w:tcW w:w="2780" w:type="dxa"/>
            <w:vAlign w:val="bottom"/>
          </w:tcPr>
          <w:p>
            <w:pPr>
              <w:jc w:val="center"/>
              <w:ind w:left="15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640" w:type="dxa"/>
            <w:vAlign w:val="bottom"/>
          </w:tcPr>
          <w:p>
            <w:pPr>
              <w:jc w:val="center"/>
              <w:ind w:right="1859"/>
              <w:spacing w:after="0"/>
              <w:rPr>
                <w:sz w:val="20"/>
                <w:szCs w:val="20"/>
                <w:color w:val="auto"/>
              </w:rPr>
            </w:pPr>
            <w:r>
              <w:rPr>
                <w:rFonts w:ascii="Arial" w:cs="Arial" w:eastAsia="Arial" w:hAnsi="Arial"/>
                <w:sz w:val="14"/>
                <w:szCs w:val="14"/>
                <w:b w:val="1"/>
                <w:bCs w:val="1"/>
                <w:color w:val="auto"/>
                <w:w w:val="94"/>
              </w:rPr>
              <w:t>of Incorporation)</w:t>
            </w:r>
          </w:p>
        </w:tc>
        <w:tc>
          <w:tcPr>
            <w:tcW w:w="2380" w:type="dxa"/>
            <w:vAlign w:val="bottom"/>
          </w:tcPr>
          <w:p>
            <w:pPr>
              <w:ind w:left="540"/>
              <w:spacing w:after="0"/>
              <w:rPr>
                <w:sz w:val="20"/>
                <w:szCs w:val="20"/>
                <w:color w:val="auto"/>
              </w:rPr>
            </w:pPr>
            <w:r>
              <w:rPr>
                <w:rFonts w:ascii="Arial" w:cs="Arial" w:eastAsia="Arial" w:hAnsi="Arial"/>
                <w:sz w:val="14"/>
                <w:szCs w:val="14"/>
                <w:b w:val="1"/>
                <w:bCs w:val="1"/>
                <w:color w:val="auto"/>
              </w:rPr>
              <w:t>File Number)</w:t>
            </w:r>
          </w:p>
        </w:tc>
        <w:tc>
          <w:tcPr>
            <w:tcW w:w="2780" w:type="dxa"/>
            <w:vAlign w:val="bottom"/>
          </w:tcPr>
          <w:p>
            <w:pPr>
              <w:jc w:val="center"/>
              <w:ind w:left="1561"/>
              <w:spacing w:after="0"/>
              <w:rPr>
                <w:sz w:val="20"/>
                <w:szCs w:val="20"/>
                <w:color w:val="auto"/>
              </w:rPr>
            </w:pPr>
            <w:r>
              <w:rPr>
                <w:rFonts w:ascii="Arial" w:cs="Arial" w:eastAsia="Arial" w:hAnsi="Arial"/>
                <w:sz w:val="14"/>
                <w:szCs w:val="14"/>
                <w:b w:val="1"/>
                <w:bCs w:val="1"/>
                <w:color w:val="auto"/>
                <w:w w:val="96"/>
              </w:rPr>
              <w:t>Identification No.)</w:t>
            </w:r>
          </w:p>
        </w:tc>
      </w:tr>
      <w:tr>
        <w:trPr>
          <w:trHeight w:val="453"/>
        </w:trPr>
        <w:tc>
          <w:tcPr>
            <w:tcW w:w="3640" w:type="dxa"/>
            <w:vAlign w:val="bottom"/>
          </w:tcPr>
          <w:p>
            <w:pPr>
              <w:jc w:val="center"/>
              <w:ind w:right="59"/>
              <w:spacing w:after="0"/>
              <w:rPr>
                <w:sz w:val="20"/>
                <w:szCs w:val="20"/>
                <w:color w:val="auto"/>
              </w:rPr>
            </w:pPr>
            <w:r>
              <w:rPr>
                <w:rFonts w:ascii="Arial" w:cs="Arial" w:eastAsia="Arial" w:hAnsi="Arial"/>
                <w:sz w:val="18"/>
                <w:szCs w:val="18"/>
                <w:b w:val="1"/>
                <w:bCs w:val="1"/>
                <w:color w:val="auto"/>
                <w:w w:val="90"/>
              </w:rPr>
              <w:t>2100 McKinney Avenue, Suite 1500</w:t>
            </w:r>
          </w:p>
        </w:tc>
        <w:tc>
          <w:tcPr>
            <w:tcW w:w="23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25"/>
        </w:trPr>
        <w:tc>
          <w:tcPr>
            <w:tcW w:w="3640" w:type="dxa"/>
            <w:vAlign w:val="bottom"/>
          </w:tcPr>
          <w:p>
            <w:pPr>
              <w:jc w:val="center"/>
              <w:ind w:right="59"/>
              <w:spacing w:after="0"/>
              <w:rPr>
                <w:sz w:val="20"/>
                <w:szCs w:val="20"/>
                <w:color w:val="auto"/>
              </w:rPr>
            </w:pPr>
            <w:r>
              <w:rPr>
                <w:rFonts w:ascii="Arial" w:cs="Arial" w:eastAsia="Arial" w:hAnsi="Arial"/>
                <w:sz w:val="18"/>
                <w:szCs w:val="18"/>
                <w:b w:val="1"/>
                <w:bCs w:val="1"/>
                <w:color w:val="auto"/>
                <w:w w:val="95"/>
              </w:rPr>
              <w:t>Dallas, TX</w:t>
            </w:r>
          </w:p>
        </w:tc>
        <w:tc>
          <w:tcPr>
            <w:tcW w:w="2380" w:type="dxa"/>
            <w:vAlign w:val="bottom"/>
          </w:tcPr>
          <w:p>
            <w:pPr>
              <w:spacing w:after="0"/>
              <w:rPr>
                <w:sz w:val="19"/>
                <w:szCs w:val="19"/>
                <w:color w:val="auto"/>
              </w:rPr>
            </w:pPr>
          </w:p>
        </w:tc>
        <w:tc>
          <w:tcPr>
            <w:tcW w:w="2780" w:type="dxa"/>
            <w:vAlign w:val="bottom"/>
          </w:tcPr>
          <w:p>
            <w:pPr>
              <w:jc w:val="right"/>
              <w:ind w:right="1181"/>
              <w:spacing w:after="0"/>
              <w:rPr>
                <w:sz w:val="20"/>
                <w:szCs w:val="20"/>
                <w:color w:val="auto"/>
              </w:rPr>
            </w:pPr>
            <w:r>
              <w:rPr>
                <w:rFonts w:ascii="Arial" w:cs="Arial" w:eastAsia="Arial" w:hAnsi="Arial"/>
                <w:sz w:val="18"/>
                <w:szCs w:val="18"/>
                <w:b w:val="1"/>
                <w:bCs w:val="1"/>
                <w:color w:val="auto"/>
              </w:rPr>
              <w:t>75201</w:t>
            </w:r>
          </w:p>
        </w:tc>
      </w:tr>
      <w:tr>
        <w:trPr>
          <w:trHeight w:val="186"/>
        </w:trPr>
        <w:tc>
          <w:tcPr>
            <w:tcW w:w="364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80" w:type="dxa"/>
            <w:vAlign w:val="bottom"/>
          </w:tcPr>
          <w:p>
            <w:pPr>
              <w:spacing w:after="0"/>
              <w:rPr>
                <w:sz w:val="16"/>
                <w:szCs w:val="16"/>
                <w:color w:val="auto"/>
              </w:rPr>
            </w:pPr>
          </w:p>
        </w:tc>
        <w:tc>
          <w:tcPr>
            <w:tcW w:w="278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TSLX</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The New York Stock Exchange</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left="4"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1.01 – Entry into a Material Definitive Agreement</w:t>
      </w:r>
    </w:p>
    <w:p>
      <w:pPr>
        <w:spacing w:after="0" w:line="121" w:lineRule="exact"/>
        <w:rPr>
          <w:sz w:val="20"/>
          <w:szCs w:val="20"/>
          <w:color w:val="auto"/>
        </w:rPr>
      </w:pPr>
    </w:p>
    <w:p>
      <w:pPr>
        <w:jc w:val="both"/>
        <w:ind w:left="4" w:right="100"/>
        <w:spacing w:after="0" w:line="291" w:lineRule="auto"/>
        <w:rPr>
          <w:sz w:val="20"/>
          <w:szCs w:val="20"/>
          <w:color w:val="auto"/>
        </w:rPr>
      </w:pPr>
      <w:r>
        <w:rPr>
          <w:rFonts w:ascii="Arial" w:cs="Arial" w:eastAsia="Arial" w:hAnsi="Arial"/>
          <w:sz w:val="16"/>
          <w:szCs w:val="16"/>
          <w:color w:val="auto"/>
        </w:rPr>
        <w:t>On June 12, 2023, Sixth Street Specialty Lending, Inc. (the “Company”) entered into a fourteenth amendment to the Company’s second amended and restated senior secured revolving credit facility, dated February 27, 2014 (as amended, the “Revolving Credit Facility”), which, among other changes,</w:t>
      </w:r>
    </w:p>
    <w:p>
      <w:pPr>
        <w:ind w:left="4" w:hanging="4"/>
        <w:spacing w:after="0" w:line="253" w:lineRule="auto"/>
        <w:tabs>
          <w:tab w:leader="none" w:pos="249"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increases the aggregate commitments under the Revolving Credit Facility from $1.585 billion to $1.71 billion and (b) extends the termination of the revolving period on $1.465 billion of commitments to June 11, 2027 and the stated maturity date to June 12, 2028. The foregoing description is only a summary of certain of the provisions of the Revolving Credit Facility and is qualified in its entirety by the underlying agreement, which will be filed as an exhibit to the Company’s next Quarterly Report on Form 10-Q.</w:t>
      </w:r>
    </w:p>
    <w:p>
      <w:pPr>
        <w:spacing w:after="0" w:line="29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2.03 – Creation of a Direct Financial Obligation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information set forth under Item 1.01 above is incorporated by reference into this Item 2.03.</w:t>
      </w:r>
    </w:p>
    <w:p>
      <w:pPr>
        <w:sectPr>
          <w:pgSz w:w="11900" w:h="16838" w:orient="portrait"/>
          <w:cols w:equalWidth="0" w:num="1">
            <w:col w:w="10884"/>
          </w:cols>
          <w:pgMar w:left="436" w:top="513" w:right="579" w:bottom="1440" w:gutter="0" w:footer="0" w:header="0"/>
        </w:sectPr>
      </w:pPr>
    </w:p>
    <w:bookmarkStart w:id="2" w:name="page3"/>
    <w:bookmarkEnd w:id="2"/>
    <w:p>
      <w:pPr>
        <w:ind w:left="4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SPECIALTY LENDING, INC.</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(Registrant)</w:t>
      </w:r>
    </w:p>
    <w:p>
      <w:pPr>
        <w:spacing w:after="0" w:line="24"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35"/>
          <w:szCs w:val="35"/>
          <w:color w:val="auto"/>
          <w:vertAlign w:val="subscript"/>
        </w:rPr>
        <w:t>Date: June 12,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17780</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4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Ian Simmonds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260"/>
      </w:cols>
      <w:pgMar w:left="440" w:top="51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2023-06-13T05:17:43Z</dcterms:created>
  <dcterms:modified xsi:type="dcterms:W3CDTF">2023-06-13T05:17:43Z</dcterms:modified>
</cp:coreProperties>
</file>