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50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5"/>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9"/>
              </w:rPr>
              <w:t>301 Commerce Street, Suite 3300,</w:t>
            </w:r>
          </w:p>
        </w:tc>
        <w:tc>
          <w:tcPr>
            <w:tcW w:w="3060" w:type="dxa"/>
            <w:vAlign w:val="bottom"/>
          </w:tcPr>
          <w:p>
            <w:pPr>
              <w:spacing w:after="0"/>
              <w:rPr>
                <w:sz w:val="22"/>
                <w:szCs w:val="22"/>
                <w:color w:val="auto"/>
              </w:rPr>
            </w:pPr>
          </w:p>
        </w:tc>
      </w:tr>
      <w:tr>
        <w:trPr>
          <w:trHeight w:val="212"/>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7"/>
              </w:rPr>
              <w:t>Fort Worth, TX</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86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496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00" w:type="dxa"/>
            <w:vAlign w:val="bottom"/>
          </w:tcPr>
          <w:p>
            <w:pPr>
              <w:ind w:left="86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4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48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Securities Exchange Act of 1934).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$.01 par value per share, outstanding at July 31, 2018 was 65,127,082.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759460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INDEX</w:t>
            </w:r>
          </w:p>
        </w:tc>
        <w:tc>
          <w:tcPr>
            <w:tcW w:w="120" w:type="dxa"/>
            <w:vAlign w:val="bottom"/>
            <w:vMerge w:val="restart"/>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gridSpan w:val="7"/>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PART I.</w:t>
            </w: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Financial Statements</w:t>
              </w:r>
            </w:hyperlink>
          </w:p>
        </w:tc>
        <w:tc>
          <w:tcPr>
            <w:tcW w:w="740" w:type="dxa"/>
            <w:vAlign w:val="bottom"/>
            <w:tcBorders>
              <w:top w:val="single" w:sz="8" w:color="0000EE"/>
            </w:tcBorders>
            <w:gridSpan w:val="4"/>
          </w:tcPr>
          <w:p>
            <w:pPr>
              <w:spacing w:after="0"/>
              <w:rPr>
                <w:sz w:val="24"/>
                <w:szCs w:val="24"/>
                <w:color w:val="auto"/>
              </w:rPr>
            </w:pPr>
          </w:p>
        </w:tc>
        <w:tc>
          <w:tcPr>
            <w:tcW w:w="72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June 30, 2018 (Unaudited) and December 31, 2017</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79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Operations for the three and six months ended June 30, 2018 and 2017 (Unaudited)</w:t>
              </w:r>
            </w:hyperlink>
          </w:p>
        </w:tc>
        <w:tc>
          <w:tcPr>
            <w:tcW w:w="144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June 30, 2018 (Unaudited) and December 31, 2017</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81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Consolidated Statements of Changes in Net Assets for the six months ended June 30, 2018 and 2017 (Unaudited)</w:t>
              </w:r>
            </w:hyperlink>
          </w:p>
        </w:tc>
        <w:tc>
          <w:tcPr>
            <w:tcW w:w="132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73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Consolidated Statements of Cash Flows for the six months ended June 30, 2018 and 2017 (Unaudited)</w:t>
              </w:r>
            </w:hyperlink>
          </w:p>
        </w:tc>
        <w:tc>
          <w:tcPr>
            <w:tcW w:w="210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40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Notes to Consolidated Financial Statements (Unaudited)</w:t>
              </w:r>
            </w:hyperlink>
          </w:p>
        </w:tc>
        <w:tc>
          <w:tcPr>
            <w:tcW w:w="54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2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64">
              <w:r>
                <w:rPr>
                  <w:rFonts w:ascii="Arial" w:cs="Arial" w:eastAsia="Arial" w:hAnsi="Arial"/>
                  <w:sz w:val="18"/>
                  <w:szCs w:val="18"/>
                  <w:color w:val="0000EE"/>
                  <w:w w:val="86"/>
                </w:rPr>
                <w:t>Controls and Procedures</w:t>
              </w:r>
            </w:hyperlink>
          </w:p>
        </w:tc>
        <w:tc>
          <w:tcPr>
            <w:tcW w:w="768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OTHER INFORMATION</w:t>
              </w:r>
            </w:hyperlink>
          </w:p>
        </w:tc>
        <w:tc>
          <w:tcPr>
            <w:tcW w:w="75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21"/>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3"/>
              </w:rPr>
            </w:pPr>
            <w:hyperlink w:anchor="page65">
              <w:r>
                <w:rPr>
                  <w:rFonts w:ascii="Arial" w:cs="Arial" w:eastAsia="Arial" w:hAnsi="Arial"/>
                  <w:sz w:val="18"/>
                  <w:szCs w:val="18"/>
                  <w:color w:val="0000EE"/>
                  <w:w w:val="83"/>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Unregistered Sales of Equity Securities and Use of Proceeds</w:t>
              </w:r>
            </w:hyperlink>
          </w:p>
        </w:tc>
        <w:tc>
          <w:tcPr>
            <w:tcW w:w="512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Mine Safety Disclosures</w:t>
              </w:r>
            </w:hyperlink>
          </w:p>
        </w:tc>
        <w:tc>
          <w:tcPr>
            <w:tcW w:w="770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1260" w:type="dxa"/>
            <w:vAlign w:val="bottom"/>
            <w:tcBorders>
              <w:top w:val="single" w:sz="8" w:color="0000EE"/>
            </w:tcBorders>
            <w:gridSpan w:val="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Exhibits</w:t>
              </w:r>
            </w:hyperlink>
          </w:p>
        </w:tc>
        <w:tc>
          <w:tcPr>
            <w:tcW w:w="816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80" w:type="dxa"/>
            <w:vAlign w:val="bottom"/>
            <w:gridSpan w:val="2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2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73" w:lineRule="exact"/>
        <w:rPr>
          <w:sz w:val="20"/>
          <w:szCs w:val="20"/>
          <w:color w:val="auto"/>
        </w:rPr>
      </w:pPr>
    </w:p>
    <w:p>
      <w:pPr>
        <w:ind w:left="520" w:right="6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420" w:hanging="255"/>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20" w:right="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report and in our Annual Report on Form 10-K for the year ended December 31, 2017, filed with the SEC on February 21, 2018, and elsewhere in our filings with the SEC.</w:t>
      </w:r>
    </w:p>
    <w:p>
      <w:pPr>
        <w:spacing w:after="0" w:line="170"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8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$1,739,334</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$1,523,844, respectively)</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1,776,358</w:t>
            </w:r>
          </w:p>
        </w:tc>
        <w:tc>
          <w:tcPr>
            <w:tcW w:w="3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1,557,803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80" w:type="dxa"/>
            <w:vAlign w:val="bottom"/>
          </w:tcPr>
          <w:p>
            <w:pPr>
              <w:ind w:left="260"/>
              <w:spacing w:after="0"/>
              <w:rPr>
                <w:sz w:val="20"/>
                <w:szCs w:val="20"/>
                <w:color w:val="auto"/>
              </w:rPr>
            </w:pPr>
            <w:r>
              <w:rPr>
                <w:rFonts w:ascii="Arial" w:cs="Arial" w:eastAsia="Arial" w:hAnsi="Arial"/>
                <w:sz w:val="18"/>
                <w:szCs w:val="18"/>
                <w:color w:val="auto"/>
              </w:rPr>
              <w:t>Non-controlled, affiliated investments (amortized cost of $39,219</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380"/>
              <w:spacing w:after="0"/>
              <w:rPr>
                <w:sz w:val="20"/>
                <w:szCs w:val="20"/>
                <w:color w:val="auto"/>
              </w:rPr>
            </w:pPr>
            <w:r>
              <w:rPr>
                <w:rFonts w:ascii="Arial" w:cs="Arial" w:eastAsia="Arial" w:hAnsi="Arial"/>
                <w:sz w:val="18"/>
                <w:szCs w:val="18"/>
                <w:color w:val="auto"/>
              </w:rPr>
              <w:t>and $0, respectively)</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39,210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$160,755 and $162,406,</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139,514</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80" w:type="dxa"/>
            <w:vAlign w:val="bottom"/>
          </w:tcPr>
          <w:p>
            <w:pPr>
              <w:spacing w:after="0"/>
              <w:rPr>
                <w:sz w:val="20"/>
                <w:szCs w:val="20"/>
                <w:color w:val="auto"/>
              </w:rPr>
            </w:pPr>
            <w:r>
              <w:rPr>
                <w:rFonts w:ascii="Arial" w:cs="Arial" w:eastAsia="Arial" w:hAnsi="Arial"/>
                <w:sz w:val="18"/>
                <w:szCs w:val="18"/>
                <w:color w:val="auto"/>
              </w:rPr>
              <w:t>Total investments at fair value (amortized cost of $1,939,308 and $1,686,250,</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1,955,082</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1,693,723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$7,181 and $3,150, respectively)</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Interest receivable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8,596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1,978,479</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1,720,238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Debt (net of deferred financing costs of $16,729 and $11,770, respectively)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858,186</w:t>
            </w:r>
          </w:p>
        </w:tc>
        <w:tc>
          <w:tcPr>
            <w:tcW w:w="30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703,428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916,437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750,954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w:t>
            </w:r>
          </w:p>
        </w:tc>
        <w:tc>
          <w:tcPr>
            <w:tcW w:w="3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88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65,009,606 and</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140"/>
              <w:spacing w:after="0"/>
              <w:rPr>
                <w:sz w:val="20"/>
                <w:szCs w:val="20"/>
                <w:color w:val="auto"/>
              </w:rPr>
            </w:pPr>
            <w:r>
              <w:rPr>
                <w:rFonts w:ascii="Arial" w:cs="Arial" w:eastAsia="Arial" w:hAnsi="Arial"/>
                <w:sz w:val="18"/>
                <w:szCs w:val="18"/>
                <w:color w:val="auto"/>
              </w:rPr>
              <w:t>60,336,281 shares issued, respectively; and 64,920,526 and 60,247,201 shares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985,541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3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investment income</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72,068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Net unrealized gains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12,944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realized losses</w:t>
            </w: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(7,802)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1,062,042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969,284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1,978,479</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1,720,238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9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June 30, 2018</w:t>
            </w:r>
          </w:p>
        </w:tc>
        <w:tc>
          <w:tcPr>
            <w:tcW w:w="16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June 30, 2017</w:t>
            </w:r>
          </w:p>
        </w:tc>
        <w:tc>
          <w:tcPr>
            <w:tcW w:w="16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June 30, 2018</w:t>
            </w:r>
          </w:p>
        </w:tc>
        <w:tc>
          <w:tcPr>
            <w:tcW w:w="16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169"/>
        </w:trPr>
        <w:tc>
          <w:tcPr>
            <w:tcW w:w="50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Income</w:t>
            </w:r>
          </w:p>
        </w:tc>
        <w:tc>
          <w:tcPr>
            <w:tcW w:w="16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Arial" w:cs="Arial" w:eastAsia="Arial" w:hAnsi="Arial"/>
                <w:sz w:val="15"/>
                <w:szCs w:val="15"/>
                <w:color w:val="auto"/>
              </w:rPr>
              <w:t>Investment income from non-controlled, non-affiliated investments: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from investments</w:t>
            </w: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58,640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54,900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106,607</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102,670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Dividend income</w:t>
            </w:r>
          </w:p>
        </w:tc>
        <w:tc>
          <w:tcPr>
            <w:tcW w:w="16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1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3,035</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2,353</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8,854</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80" w:type="dxa"/>
            <w:vAlign w:val="bottom"/>
          </w:tcPr>
          <w:p>
            <w:pPr>
              <w:ind w:left="500"/>
              <w:spacing w:after="0" w:line="156" w:lineRule="exact"/>
              <w:rPr>
                <w:sz w:val="20"/>
                <w:szCs w:val="20"/>
                <w:color w:val="auto"/>
              </w:rPr>
            </w:pPr>
            <w:r>
              <w:rPr>
                <w:rFonts w:ascii="Arial" w:cs="Arial" w:eastAsia="Arial" w:hAnsi="Arial"/>
                <w:sz w:val="15"/>
                <w:szCs w:val="15"/>
                <w:color w:val="auto"/>
              </w:rPr>
              <w:t>Total investment income from non-controlled, non-affiliated</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620"/>
              <w:spacing w:after="0"/>
              <w:rPr>
                <w:sz w:val="20"/>
                <w:szCs w:val="20"/>
                <w:color w:val="auto"/>
              </w:rPr>
            </w:pPr>
            <w:r>
              <w:rPr>
                <w:rFonts w:ascii="Arial" w:cs="Arial" w:eastAsia="Arial" w:hAnsi="Arial"/>
                <w:sz w:val="15"/>
                <w:szCs w:val="15"/>
                <w:color w:val="auto"/>
              </w:rPr>
              <w:t>investments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61,675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57,253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115,657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107,149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Investment income from non-controlled, affiliated investments: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Interest from investments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375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375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1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216</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216</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tcPr>
          <w:p>
            <w:pPr>
              <w:ind w:left="500"/>
              <w:spacing w:after="0" w:line="169" w:lineRule="exact"/>
              <w:rPr>
                <w:sz w:val="20"/>
                <w:szCs w:val="20"/>
                <w:color w:val="auto"/>
              </w:rPr>
            </w:pPr>
            <w:r>
              <w:rPr>
                <w:rFonts w:ascii="Arial" w:cs="Arial" w:eastAsia="Arial" w:hAnsi="Arial"/>
                <w:sz w:val="15"/>
                <w:szCs w:val="15"/>
                <w:color w:val="auto"/>
              </w:rPr>
              <w:t>Total investment income from non-controlled, affiliated investments</w:t>
            </w:r>
          </w:p>
        </w:tc>
        <w:tc>
          <w:tcPr>
            <w:tcW w:w="1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591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591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Investment income from controlled, affiliated investments: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Interest from investments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4,084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1,516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7,818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1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51</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50</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103</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investment income from controlled, affiliated investments</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4,135</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1,566</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7,921</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2,618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shd w:val="clear" w:color="auto" w:fill="CFF0FC"/>
          </w:tcPr>
          <w:p>
            <w:pPr>
              <w:ind w:left="740"/>
              <w:spacing w:after="0" w:line="169" w:lineRule="exact"/>
              <w:rPr>
                <w:sz w:val="20"/>
                <w:szCs w:val="20"/>
                <w:color w:val="auto"/>
              </w:rPr>
            </w:pPr>
            <w:r>
              <w:rPr>
                <w:rFonts w:ascii="Arial" w:cs="Arial" w:eastAsia="Arial" w:hAnsi="Arial"/>
                <w:sz w:val="15"/>
                <w:szCs w:val="15"/>
                <w:b w:val="1"/>
                <w:bCs w:val="1"/>
                <w:color w:val="auto"/>
              </w:rPr>
              <w:t>Total Investment Income</w:t>
            </w:r>
          </w:p>
        </w:tc>
        <w:tc>
          <w:tcPr>
            <w:tcW w:w="1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66,401</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58,819</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124,169</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109,767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line="169" w:lineRule="exact"/>
              <w:rPr>
                <w:sz w:val="20"/>
                <w:szCs w:val="20"/>
                <w:color w:val="auto"/>
              </w:rPr>
            </w:pPr>
            <w:r>
              <w:rPr>
                <w:rFonts w:ascii="Arial" w:cs="Arial" w:eastAsia="Arial" w:hAnsi="Arial"/>
                <w:sz w:val="15"/>
                <w:szCs w:val="15"/>
                <w:b w:val="1"/>
                <w:bCs w:val="1"/>
                <w:color w:val="auto"/>
              </w:rPr>
              <w:t>Expenses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Interest</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11,161</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7,655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20,231</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Arial" w:cs="Arial" w:eastAsia="Arial" w:hAnsi="Arial"/>
                <w:sz w:val="15"/>
                <w:szCs w:val="15"/>
                <w:color w:val="auto"/>
              </w:rPr>
              <w:t>Management fees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7,322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5,977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13,982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12,048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Incentive fees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7,700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7,197</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14,309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Arial" w:cs="Arial" w:eastAsia="Arial" w:hAnsi="Arial"/>
                <w:sz w:val="15"/>
                <w:szCs w:val="15"/>
                <w:color w:val="auto"/>
              </w:rPr>
              <w:t>Professional fees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1,621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1,771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3,732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3,057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Directors’ fees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204</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general and administrative</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1,297</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1,311</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2,535</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2,613</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expenses</w:t>
            </w:r>
          </w:p>
        </w:tc>
        <w:tc>
          <w:tcPr>
            <w:tcW w:w="1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29,199</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24,007</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54,993</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45,686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line="169" w:lineRule="exact"/>
              <w:rPr>
                <w:sz w:val="20"/>
                <w:szCs w:val="20"/>
                <w:color w:val="auto"/>
              </w:rPr>
            </w:pPr>
            <w:r>
              <w:rPr>
                <w:rFonts w:ascii="Arial" w:cs="Arial" w:eastAsia="Arial" w:hAnsi="Arial"/>
                <w:sz w:val="15"/>
                <w:szCs w:val="15"/>
                <w:color w:val="auto"/>
              </w:rPr>
              <w:t>Management and incentive fees waived (Note 3)</w:t>
            </w:r>
          </w:p>
        </w:tc>
        <w:tc>
          <w:tcPr>
            <w:tcW w:w="160" w:type="dxa"/>
            <w:vAlign w:val="bottom"/>
          </w:tcPr>
          <w:p>
            <w:pPr>
              <w:spacing w:after="0"/>
              <w:rPr>
                <w:sz w:val="14"/>
                <w:szCs w:val="14"/>
                <w:color w:val="auto"/>
              </w:rPr>
            </w:pPr>
          </w:p>
        </w:tc>
        <w:tc>
          <w:tcPr>
            <w:tcW w:w="14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4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4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(63)</w:t>
            </w:r>
          </w:p>
        </w:tc>
        <w:tc>
          <w:tcPr>
            <w:tcW w:w="160" w:type="dxa"/>
            <w:vAlign w:val="bottom"/>
          </w:tcPr>
          <w:p>
            <w:pPr>
              <w:spacing w:after="0"/>
              <w:rPr>
                <w:sz w:val="14"/>
                <w:szCs w:val="14"/>
                <w:color w:val="auto"/>
              </w:rPr>
            </w:pPr>
          </w:p>
        </w:tc>
        <w:tc>
          <w:tcPr>
            <w:tcW w:w="13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5080" w:type="dxa"/>
            <w:vAlign w:val="bottom"/>
            <w:tcBorders>
              <w:top w:val="single" w:sz="8" w:color="CFF0FC"/>
            </w:tcBorders>
            <w:shd w:val="clear" w:color="auto" w:fill="CFF0FC"/>
          </w:tcPr>
          <w:p>
            <w:pPr>
              <w:ind w:left="740"/>
              <w:spacing w:after="0" w:line="169" w:lineRule="exact"/>
              <w:rPr>
                <w:sz w:val="20"/>
                <w:szCs w:val="20"/>
                <w:color w:val="auto"/>
              </w:rPr>
            </w:pPr>
            <w:r>
              <w:rPr>
                <w:rFonts w:ascii="Arial" w:cs="Arial" w:eastAsia="Arial" w:hAnsi="Arial"/>
                <w:sz w:val="15"/>
                <w:szCs w:val="15"/>
                <w:b w:val="1"/>
                <w:bCs w:val="1"/>
                <w:color w:val="auto"/>
              </w:rPr>
              <w:t>Net Expenses</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2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29,199</w:t>
            </w: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2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24,007</w:t>
            </w: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2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54,930</w:t>
            </w: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45,686</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 Before Income Taxes</w:t>
            </w:r>
          </w:p>
        </w:tc>
        <w:tc>
          <w:tcPr>
            <w:tcW w:w="1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37,202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34,812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69,239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64,081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Income taxes, including excise taxes</w:t>
            </w:r>
          </w:p>
        </w:tc>
        <w:tc>
          <w:tcPr>
            <w:tcW w:w="1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900</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880</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1,750</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w:t>
            </w:r>
          </w:p>
        </w:tc>
        <w:tc>
          <w:tcPr>
            <w:tcW w:w="1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36,302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33,932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67,489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62,451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Unrealized and Realized Gains (Losses)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Arial" w:cs="Arial" w:eastAsia="Arial" w:hAnsi="Arial"/>
                <w:sz w:val="15"/>
                <w:szCs w:val="15"/>
                <w:color w:val="auto"/>
              </w:rPr>
              <w:t>Net change in unrealized gains (losses):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Non-controlled, non-affiliated investments</w:t>
            </w:r>
          </w:p>
        </w:tc>
        <w:tc>
          <w:tcPr>
            <w:tcW w:w="1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(5,274)</w:t>
            </w:r>
          </w:p>
        </w:tc>
        <w:tc>
          <w:tcPr>
            <w:tcW w:w="1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(3,845)</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3,065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Non-controlled, affiliated investments</w:t>
            </w:r>
          </w:p>
        </w:tc>
        <w:tc>
          <w:tcPr>
            <w:tcW w:w="16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Controlled, affiliated investments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8,616</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21,046</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5,244</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Translation of other assets and liabilities in foreign currencies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4,886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(2,864)</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3,905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5"/>
                <w:szCs w:val="15"/>
                <w:color w:val="auto"/>
              </w:rPr>
              <w:t>(8,657)</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rate swaps</w:t>
            </w:r>
          </w:p>
        </w:tc>
        <w:tc>
          <w:tcPr>
            <w:tcW w:w="1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(1,785)</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2,133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(5,979)</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CFF0FC"/>
            </w:tcBorders>
          </w:tcPr>
          <w:p>
            <w:pPr>
              <w:ind w:left="740"/>
              <w:spacing w:after="0" w:line="169" w:lineRule="exact"/>
              <w:rPr>
                <w:sz w:val="20"/>
                <w:szCs w:val="20"/>
                <w:color w:val="auto"/>
              </w:rPr>
            </w:pPr>
            <w:r>
              <w:rPr>
                <w:rFonts w:ascii="Arial" w:cs="Arial" w:eastAsia="Arial" w:hAnsi="Arial"/>
                <w:sz w:val="15"/>
                <w:szCs w:val="15"/>
                <w:color w:val="auto"/>
              </w:rPr>
              <w:t>Total net change in unrealized gains</w:t>
            </w:r>
          </w:p>
        </w:tc>
        <w:tc>
          <w:tcPr>
            <w:tcW w:w="1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6,434</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16,470</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6,226</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14,321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Realized gains (losses):</w:t>
            </w: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Non-controlled, non-affiliated investments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3,272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3,093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4,595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Non-controlled, affiliated investments</w:t>
            </w:r>
          </w:p>
        </w:tc>
        <w:tc>
          <w:tcPr>
            <w:tcW w:w="1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Controlled, affiliated investments</w:t>
            </w:r>
          </w:p>
        </w:tc>
        <w:tc>
          <w:tcPr>
            <w:tcW w:w="16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(9,589)</w:t>
            </w:r>
          </w:p>
        </w:tc>
        <w:tc>
          <w:tcPr>
            <w:tcW w:w="16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(21,776)</w:t>
            </w:r>
          </w:p>
        </w:tc>
        <w:tc>
          <w:tcPr>
            <w:tcW w:w="16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(9,589)</w:t>
            </w:r>
          </w:p>
        </w:tc>
        <w:tc>
          <w:tcPr>
            <w:tcW w:w="16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5"/>
                <w:szCs w:val="15"/>
                <w:color w:val="auto"/>
              </w:rPr>
              <w:t>(21,776)</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Foreign currency transactions</w:t>
            </w:r>
          </w:p>
        </w:tc>
        <w:tc>
          <w:tcPr>
            <w:tcW w:w="1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(26)</w:t>
            </w:r>
          </w:p>
        </w:tc>
        <w:tc>
          <w:tcPr>
            <w:tcW w:w="1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(72)</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186</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740"/>
              <w:spacing w:after="0"/>
              <w:rPr>
                <w:sz w:val="20"/>
                <w:szCs w:val="20"/>
                <w:color w:val="auto"/>
              </w:rPr>
            </w:pPr>
            <w:r>
              <w:rPr>
                <w:rFonts w:ascii="Arial" w:cs="Arial" w:eastAsia="Arial" w:hAnsi="Arial"/>
                <w:sz w:val="15"/>
                <w:szCs w:val="15"/>
                <w:color w:val="auto"/>
              </w:rPr>
              <w:t>Total net realized losses</w:t>
            </w: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(9,167)</w:t>
            </w:r>
          </w:p>
        </w:tc>
        <w:tc>
          <w:tcPr>
            <w:tcW w:w="160" w:type="dxa"/>
            <w:vAlign w:val="bottom"/>
          </w:tcPr>
          <w:p>
            <w:pPr>
              <w:spacing w:after="0"/>
              <w:rPr>
                <w:sz w:val="14"/>
                <w:szCs w:val="14"/>
                <w:color w:val="auto"/>
              </w:rPr>
            </w:pPr>
          </w:p>
        </w:tc>
        <w:tc>
          <w:tcPr>
            <w:tcW w:w="14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(18,576)</w:t>
            </w:r>
          </w:p>
        </w:tc>
        <w:tc>
          <w:tcPr>
            <w:tcW w:w="160" w:type="dxa"/>
            <w:vAlign w:val="bottom"/>
          </w:tcPr>
          <w:p>
            <w:pPr>
              <w:spacing w:after="0"/>
              <w:rPr>
                <w:sz w:val="14"/>
                <w:szCs w:val="14"/>
                <w:color w:val="auto"/>
              </w:rPr>
            </w:pPr>
          </w:p>
        </w:tc>
        <w:tc>
          <w:tcPr>
            <w:tcW w:w="14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(6,310)</w:t>
            </w:r>
          </w:p>
        </w:tc>
        <w:tc>
          <w:tcPr>
            <w:tcW w:w="160" w:type="dxa"/>
            <w:vAlign w:val="bottom"/>
          </w:tcPr>
          <w:p>
            <w:pPr>
              <w:spacing w:after="0"/>
              <w:rPr>
                <w:sz w:val="14"/>
                <w:szCs w:val="14"/>
                <w:color w:val="auto"/>
              </w:rPr>
            </w:pPr>
          </w:p>
        </w:tc>
        <w:tc>
          <w:tcPr>
            <w:tcW w:w="13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(16,668)</w:t>
            </w: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FF0FC"/>
          </w:tcPr>
          <w:p>
            <w:pPr>
              <w:ind w:left="1000"/>
              <w:spacing w:after="0"/>
              <w:rPr>
                <w:sz w:val="20"/>
                <w:szCs w:val="20"/>
                <w:color w:val="auto"/>
              </w:rPr>
            </w:pPr>
            <w:r>
              <w:rPr>
                <w:rFonts w:ascii="Arial" w:cs="Arial" w:eastAsia="Arial" w:hAnsi="Arial"/>
                <w:sz w:val="15"/>
                <w:szCs w:val="15"/>
                <w:b w:val="1"/>
                <w:bCs w:val="1"/>
                <w:color w:val="auto"/>
              </w:rPr>
              <w:t>Total Unrealized and Realized Gains (Losses)</w:t>
            </w: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(2,733)</w:t>
            </w: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(2,106)</w:t>
            </w: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(84)</w:t>
            </w:r>
          </w:p>
        </w:tc>
        <w:tc>
          <w:tcPr>
            <w:tcW w:w="1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(2,347)</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CFF0FC"/>
            </w:tcBorders>
          </w:tcPr>
          <w:p>
            <w:pPr>
              <w:ind w:left="1000"/>
              <w:spacing w:after="0" w:line="169" w:lineRule="exact"/>
              <w:rPr>
                <w:sz w:val="20"/>
                <w:szCs w:val="20"/>
                <w:color w:val="auto"/>
              </w:rPr>
            </w:pPr>
            <w:r>
              <w:rPr>
                <w:rFonts w:ascii="Arial" w:cs="Arial" w:eastAsia="Arial" w:hAnsi="Arial"/>
                <w:sz w:val="15"/>
                <w:szCs w:val="15"/>
                <w:b w:val="1"/>
                <w:bCs w:val="1"/>
                <w:color w:val="auto"/>
              </w:rPr>
              <w:t>Increase in Net Assets Resulting from Operations</w:t>
            </w: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33,569</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31,826</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67,405</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60,104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08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Earnings per common share—basic and diluted</w:t>
            </w:r>
          </w:p>
        </w:tc>
        <w:tc>
          <w:tcPr>
            <w:tcW w:w="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0.52</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0.53</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3"/>
              <w:spacing w:after="0" w:line="156"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1.07</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3"/>
              <w:spacing w:after="0" w:line="156"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line="169" w:lineRule="exact"/>
              <w:rPr>
                <w:sz w:val="20"/>
                <w:szCs w:val="20"/>
                <w:color w:val="auto"/>
              </w:rPr>
            </w:pPr>
            <w:r>
              <w:rPr>
                <w:rFonts w:ascii="Arial" w:cs="Arial" w:eastAsia="Arial" w:hAnsi="Arial"/>
                <w:sz w:val="15"/>
                <w:szCs w:val="15"/>
                <w:color w:val="auto"/>
              </w:rPr>
              <w:t>Weighted average shares of common stock outstanding—basic and diluted</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64,758,752</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59,912,804</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62,810,429</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59,855,088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June 30, 2018</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Reference</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6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Investment</w:t>
            </w:r>
          </w:p>
        </w:tc>
        <w:tc>
          <w:tcPr>
            <w:tcW w:w="9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11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Rate and</w:t>
            </w: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Interest Rate</w:t>
            </w:r>
          </w:p>
        </w:tc>
        <w:tc>
          <w:tcPr>
            <w:tcW w:w="60" w:type="dxa"/>
            <w:vAlign w:val="bottom"/>
          </w:tcPr>
          <w:p>
            <w:pPr>
              <w:spacing w:after="0"/>
              <w:rPr>
                <w:sz w:val="13"/>
                <w:szCs w:val="13"/>
                <w:color w:val="auto"/>
              </w:rPr>
            </w:pPr>
          </w:p>
        </w:tc>
        <w:tc>
          <w:tcPr>
            <w:tcW w:w="7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3"/>
                <w:szCs w:val="13"/>
                <w:color w:val="auto"/>
              </w:rPr>
            </w:pPr>
          </w:p>
        </w:tc>
        <w:tc>
          <w:tcPr>
            <w:tcW w:w="9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98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gridSpan w:val="2"/>
            <w:vMerge w:val="continue"/>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Spread</w:t>
            </w: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960" w:type="dxa"/>
            <w:vAlign w:val="bottom"/>
            <w:gridSpan w:val="2"/>
          </w:tcPr>
          <w:p>
            <w:pPr>
              <w:jc w:val="right"/>
              <w:ind w:right="194"/>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Beverage, food and tobacco</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(3)(7)</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Second-lien loan ($59,621 par,</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6/30/2017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+ 9.05%</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59,621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57,981</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9/2021)</w:t>
            </w: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Business services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Jive Software, Inc. </w:t>
            </w:r>
            <w:r>
              <w:rPr>
                <w:rFonts w:ascii="Arial" w:cs="Arial" w:eastAsia="Arial" w:hAnsi="Arial"/>
                <w:sz w:val="15"/>
                <w:szCs w:val="15"/>
                <w:color w:val="auto"/>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($53,460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6/12/2017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+ 9.25%</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11.34%</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51,799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55,999</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6/2022)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($69,400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1/17/2018</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+ 6.75%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8.84%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67,768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68,186</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1/2024)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revolving loan ($393</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1/17/2018</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+ 6.75%</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8.84%</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 due 1/2023)</w:t>
            </w: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Nintex Global Limited </w:t>
            </w:r>
            <w:r>
              <w:rPr>
                <w:rFonts w:ascii="Arial" w:cs="Arial" w:eastAsia="Arial" w:hAnsi="Arial"/>
                <w:sz w:val="15"/>
                <w:szCs w:val="15"/>
                <w:color w:val="auto"/>
              </w:rPr>
              <w:t>(3)(5)</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($64,838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3/30/2018</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+ 6.75%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8.84%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63,269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63,379</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4/2024)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($42,800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6/30/2017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+ 7.75%</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42,002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42,561</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6/2022)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($34,149 par, due</w:t>
            </w:r>
          </w:p>
        </w:tc>
        <w:tc>
          <w:tcPr>
            <w:tcW w:w="840" w:type="dxa"/>
            <w:vAlign w:val="bottom"/>
          </w:tcPr>
          <w:p>
            <w:pPr>
              <w:jc w:val="right"/>
              <w:spacing w:after="0"/>
              <w:rPr>
                <w:sz w:val="20"/>
                <w:szCs w:val="20"/>
                <w:color w:val="auto"/>
              </w:rPr>
            </w:pPr>
            <w:r>
              <w:rPr>
                <w:rFonts w:ascii="Arial" w:cs="Arial" w:eastAsia="Arial" w:hAnsi="Arial"/>
                <w:sz w:val="18"/>
                <w:szCs w:val="18"/>
                <w:color w:val="auto"/>
              </w:rPr>
              <w:t>7/1/2016</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+ 6.00%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8.09%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33,738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34,246</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3/2022)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Tangoe, Inc. </w:t>
            </w:r>
            <w:r>
              <w:rPr>
                <w:rFonts w:ascii="Arial" w:cs="Arial" w:eastAsia="Arial" w:hAnsi="Arial"/>
                <w:sz w:val="15"/>
                <w:szCs w:val="15"/>
                <w:color w:val="auto"/>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($49,933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6/16/2017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+ 8.50%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48,323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49,309</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6/2022)</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(incl. 0.50%</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PIK)</w:t>
            </w: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Validity, Inc. </w:t>
            </w:r>
            <w:r>
              <w:rPr>
                <w:rFonts w:ascii="Arial" w:cs="Arial" w:eastAsia="Arial" w:hAnsi="Arial"/>
                <w:sz w:val="15"/>
                <w:szCs w:val="15"/>
                <w:color w:val="auto"/>
              </w:rPr>
              <w:t>(3)(5)(6)</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($36,000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5/31/2018</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+ 6.50%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8.81%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35,379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35,370</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5/2023)</w:t>
            </w: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342,544</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349,345</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Chemicals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($4,967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10/31/2016</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+ 9.00%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4,966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4,967</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8/2018)</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5"/>
              </w:rPr>
              <w:t>Second-lien loan ($3,341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10/31/2016</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+ 12.00%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13.99%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3,350</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10/2021)</w:t>
            </w: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8,307</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8,317</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Education</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 xml:space="preserve">Curriculum Associates, LLC </w:t>
            </w:r>
            <w:r>
              <w:rPr>
                <w:rFonts w:ascii="Arial" w:cs="Arial" w:eastAsia="Arial" w:hAnsi="Arial"/>
                <w:sz w:val="15"/>
                <w:szCs w:val="15"/>
                <w:color w:val="auto"/>
                <w:w w:val="99"/>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($50,000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2/28/2018</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+ 7.50%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48,515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48,625</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2/2024)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Finalsite Holdings, Inc. </w:t>
            </w:r>
            <w:r>
              <w:rPr>
                <w:rFonts w:ascii="Arial" w:cs="Arial" w:eastAsia="Arial" w:hAnsi="Arial"/>
                <w:sz w:val="15"/>
                <w:szCs w:val="15"/>
                <w:color w:val="auto"/>
              </w:rPr>
              <w:t>(3)(5)</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($45,000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8/31/2016</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+ 7.00%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9.33%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44,129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45,788</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8/2022)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Frontline Technologies Group,</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($47,464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9/18/2017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+ 6.50%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46,851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46,896</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9/2023)</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Illuminate Education, Inc.</w:t>
            </w:r>
            <w:r>
              <w:rPr>
                <w:rFonts w:ascii="Arial" w:cs="Arial" w:eastAsia="Arial" w:hAnsi="Arial"/>
                <w:sz w:val="15"/>
                <w:szCs w:val="15"/>
                <w:color w:val="auto"/>
              </w:rPr>
              <w:t>(3)(5)</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($65,000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8/25/2017</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+ 7.25%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63,804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64,025</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8/2022)</w:t>
            </w: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203,299</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205,334</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Financial services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($19,406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8/18/2015</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+ 7.50%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19,175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19,674</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8/2020)</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($54,449 par, due</w:t>
            </w:r>
          </w:p>
        </w:tc>
        <w:tc>
          <w:tcPr>
            <w:tcW w:w="840" w:type="dxa"/>
            <w:vAlign w:val="bottom"/>
          </w:tcPr>
          <w:p>
            <w:pPr>
              <w:jc w:val="right"/>
              <w:spacing w:after="0"/>
              <w:rPr>
                <w:sz w:val="20"/>
                <w:szCs w:val="20"/>
                <w:color w:val="auto"/>
              </w:rPr>
            </w:pPr>
            <w:r>
              <w:rPr>
                <w:rFonts w:ascii="Arial" w:cs="Arial" w:eastAsia="Arial" w:hAnsi="Arial"/>
                <w:sz w:val="18"/>
                <w:szCs w:val="18"/>
                <w:color w:val="auto"/>
              </w:rPr>
              <w:t>8/7/2015</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+ 9.50%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11.63%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53,977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55,402</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8/2020)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5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Government Brands, LLC </w:t>
            </w:r>
            <w:r>
              <w:rPr>
                <w:rFonts w:ascii="Arial" w:cs="Arial" w:eastAsia="Arial" w:hAnsi="Arial"/>
                <w:sz w:val="15"/>
                <w:szCs w:val="15"/>
                <w:color w:val="auto"/>
              </w:rPr>
              <w:t>(3)</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($45,285 par, due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3/15/2018</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+ 9.25%</w:t>
            </w: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11.38%</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44,329</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44,405</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rPr>
                <w:sz w:val="18"/>
                <w:szCs w:val="18"/>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3/2023)</w:t>
            </w:r>
          </w:p>
        </w:tc>
        <w:tc>
          <w:tcPr>
            <w:tcW w:w="9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(incl. 2.50%</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PIK)</w:t>
            </w: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($56,242 par, due</w:t>
            </w:r>
          </w:p>
        </w:tc>
        <w:tc>
          <w:tcPr>
            <w:tcW w:w="960" w:type="dxa"/>
            <w:vAlign w:val="bottom"/>
          </w:tcPr>
          <w:p>
            <w:pPr>
              <w:jc w:val="right"/>
              <w:spacing w:after="0"/>
              <w:rPr>
                <w:sz w:val="20"/>
                <w:szCs w:val="20"/>
                <w:color w:val="auto"/>
              </w:rPr>
            </w:pPr>
            <w:r>
              <w:rPr>
                <w:rFonts w:ascii="Arial" w:cs="Arial" w:eastAsia="Arial" w:hAnsi="Arial"/>
                <w:sz w:val="18"/>
                <w:szCs w:val="18"/>
                <w:color w:val="auto"/>
              </w:rPr>
              <w:t>7/28/2017</w:t>
            </w:r>
          </w:p>
        </w:tc>
        <w:tc>
          <w:tcPr>
            <w:tcW w:w="1100" w:type="dxa"/>
            <w:vAlign w:val="bottom"/>
          </w:tcPr>
          <w:p>
            <w:pPr>
              <w:jc w:val="right"/>
              <w:spacing w:after="0"/>
              <w:rPr>
                <w:sz w:val="20"/>
                <w:szCs w:val="20"/>
                <w:color w:val="auto"/>
              </w:rPr>
            </w:pPr>
            <w:r>
              <w:rPr>
                <w:rFonts w:ascii="Arial" w:cs="Arial" w:eastAsia="Arial" w:hAnsi="Arial"/>
                <w:sz w:val="18"/>
                <w:szCs w:val="18"/>
                <w:color w:val="auto"/>
              </w:rPr>
              <w:t>L + 7.00%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9.09%</w:t>
            </w:r>
          </w:p>
        </w:tc>
        <w:tc>
          <w:tcPr>
            <w:tcW w:w="760" w:type="dxa"/>
            <w:vAlign w:val="bottom"/>
          </w:tcPr>
          <w:p>
            <w:pPr>
              <w:jc w:val="right"/>
              <w:spacing w:after="0"/>
              <w:rPr>
                <w:sz w:val="20"/>
                <w:szCs w:val="20"/>
                <w:color w:val="auto"/>
              </w:rPr>
            </w:pPr>
            <w:r>
              <w:rPr>
                <w:rFonts w:ascii="Arial" w:cs="Arial" w:eastAsia="Arial" w:hAnsi="Arial"/>
                <w:sz w:val="18"/>
                <w:szCs w:val="18"/>
                <w:color w:val="auto"/>
              </w:rPr>
              <w:t>55,237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55,795</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7/2022)</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PaySimple, Inc. </w:t>
            </w:r>
            <w:r>
              <w:rPr>
                <w:rFonts w:ascii="Arial" w:cs="Arial" w:eastAsia="Arial" w:hAnsi="Arial"/>
                <w:sz w:val="15"/>
                <w:szCs w:val="15"/>
                <w:color w:val="auto"/>
              </w:rPr>
              <w:t>(3)(5)</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($58,603 par, due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4/17/2018</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+ 8.25%</w:t>
            </w: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10.63%</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58,295</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58,310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rPr>
                <w:sz w:val="18"/>
                <w:szCs w:val="18"/>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3/2022)</w:t>
            </w:r>
          </w:p>
        </w:tc>
        <w:tc>
          <w:tcPr>
            <w:tcW w:w="9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(incl. 1.75%</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PIK)</w:t>
            </w: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(3)(5)</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($29,021 par, due</w:t>
            </w:r>
          </w:p>
        </w:tc>
        <w:tc>
          <w:tcPr>
            <w:tcW w:w="960" w:type="dxa"/>
            <w:vAlign w:val="bottom"/>
          </w:tcPr>
          <w:p>
            <w:pPr>
              <w:jc w:val="right"/>
              <w:spacing w:after="0"/>
              <w:rPr>
                <w:sz w:val="20"/>
                <w:szCs w:val="20"/>
                <w:color w:val="auto"/>
              </w:rPr>
            </w:pPr>
            <w:r>
              <w:rPr>
                <w:rFonts w:ascii="Arial" w:cs="Arial" w:eastAsia="Arial" w:hAnsi="Arial"/>
                <w:sz w:val="18"/>
                <w:szCs w:val="18"/>
                <w:color w:val="auto"/>
              </w:rPr>
              <w:t>7/31/2017</w:t>
            </w:r>
          </w:p>
        </w:tc>
        <w:tc>
          <w:tcPr>
            <w:tcW w:w="1100" w:type="dxa"/>
            <w:vAlign w:val="bottom"/>
          </w:tcPr>
          <w:p>
            <w:pPr>
              <w:jc w:val="right"/>
              <w:spacing w:after="0"/>
              <w:rPr>
                <w:sz w:val="20"/>
                <w:szCs w:val="20"/>
                <w:color w:val="auto"/>
              </w:rPr>
            </w:pPr>
            <w:r>
              <w:rPr>
                <w:rFonts w:ascii="Arial" w:cs="Arial" w:eastAsia="Arial" w:hAnsi="Arial"/>
                <w:sz w:val="18"/>
                <w:szCs w:val="18"/>
                <w:color w:val="auto"/>
              </w:rPr>
              <w:t>L + 6.50%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8.63%</w:t>
            </w:r>
          </w:p>
        </w:tc>
        <w:tc>
          <w:tcPr>
            <w:tcW w:w="760" w:type="dxa"/>
            <w:vAlign w:val="bottom"/>
          </w:tcPr>
          <w:p>
            <w:pPr>
              <w:jc w:val="right"/>
              <w:spacing w:after="0"/>
              <w:rPr>
                <w:sz w:val="20"/>
                <w:szCs w:val="20"/>
                <w:color w:val="auto"/>
              </w:rPr>
            </w:pPr>
            <w:r>
              <w:rPr>
                <w:rFonts w:ascii="Arial" w:cs="Arial" w:eastAsia="Arial" w:hAnsi="Arial"/>
                <w:sz w:val="18"/>
                <w:szCs w:val="18"/>
                <w:color w:val="auto"/>
              </w:rPr>
              <w:t>28,402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29,964</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1/2022)</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 Treasury SS, LLC </w:t>
            </w:r>
            <w:r>
              <w:rPr>
                <w:rFonts w:ascii="Arial" w:cs="Arial" w:eastAsia="Arial" w:hAnsi="Arial"/>
                <w:sz w:val="15"/>
                <w:szCs w:val="15"/>
                <w:color w:val="auto"/>
              </w:rPr>
              <w:t>(3)</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($30,075 par, due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4/9/2018</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+ 9.25%</w:t>
            </w: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11.62%</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29,372</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29,426</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rPr>
                <w:sz w:val="18"/>
                <w:szCs w:val="18"/>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4/2022)</w:t>
            </w:r>
          </w:p>
        </w:tc>
        <w:tc>
          <w:tcPr>
            <w:tcW w:w="9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(incl. 3.00%</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PIK)</w:t>
            </w:r>
          </w:p>
        </w:tc>
        <w:tc>
          <w:tcPr>
            <w:tcW w:w="7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tcBorders>
              <w:bottom w:val="single" w:sz="8" w:color="CFF0FC"/>
            </w:tcBorders>
          </w:tcPr>
          <w:p>
            <w:pPr>
              <w:spacing w:after="0"/>
              <w:rPr>
                <w:sz w:val="19"/>
                <w:szCs w:val="19"/>
                <w:color w:val="auto"/>
              </w:rPr>
            </w:pPr>
          </w:p>
        </w:tc>
        <w:tc>
          <w:tcPr>
            <w:tcW w:w="250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288,787</w:t>
            </w: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292,976</w:t>
            </w:r>
          </w:p>
        </w:tc>
        <w:tc>
          <w:tcPr>
            <w:tcW w:w="2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Healthcare</w:t>
            </w:r>
          </w:p>
        </w:tc>
        <w:tc>
          <w:tcPr>
            <w:tcW w:w="2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2"/>
              </w:rPr>
              <w:t>Integrated Practice Solutions, Inc.</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($32,175 par, due</w:t>
            </w:r>
          </w:p>
        </w:tc>
        <w:tc>
          <w:tcPr>
            <w:tcW w:w="960" w:type="dxa"/>
            <w:vAlign w:val="bottom"/>
          </w:tcPr>
          <w:p>
            <w:pPr>
              <w:jc w:val="right"/>
              <w:spacing w:after="0"/>
              <w:rPr>
                <w:sz w:val="20"/>
                <w:szCs w:val="20"/>
                <w:color w:val="auto"/>
              </w:rPr>
            </w:pPr>
            <w:r>
              <w:rPr>
                <w:rFonts w:ascii="Arial" w:cs="Arial" w:eastAsia="Arial" w:hAnsi="Arial"/>
                <w:sz w:val="18"/>
                <w:szCs w:val="18"/>
                <w:color w:val="auto"/>
              </w:rPr>
              <w:t>6/30/2017</w:t>
            </w:r>
          </w:p>
        </w:tc>
        <w:tc>
          <w:tcPr>
            <w:tcW w:w="1100" w:type="dxa"/>
            <w:vAlign w:val="bottom"/>
          </w:tcPr>
          <w:p>
            <w:pPr>
              <w:jc w:val="right"/>
              <w:spacing w:after="0"/>
              <w:rPr>
                <w:sz w:val="20"/>
                <w:szCs w:val="20"/>
                <w:color w:val="auto"/>
              </w:rPr>
            </w:pPr>
            <w:r>
              <w:rPr>
                <w:rFonts w:ascii="Arial" w:cs="Arial" w:eastAsia="Arial" w:hAnsi="Arial"/>
                <w:sz w:val="18"/>
                <w:szCs w:val="18"/>
                <w:color w:val="auto"/>
              </w:rPr>
              <w:t>L + 8.00%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10.09%</w:t>
            </w:r>
          </w:p>
        </w:tc>
        <w:tc>
          <w:tcPr>
            <w:tcW w:w="760" w:type="dxa"/>
            <w:vAlign w:val="bottom"/>
          </w:tcPr>
          <w:p>
            <w:pPr>
              <w:jc w:val="right"/>
              <w:spacing w:after="0"/>
              <w:rPr>
                <w:sz w:val="20"/>
                <w:szCs w:val="20"/>
                <w:color w:val="auto"/>
              </w:rPr>
            </w:pPr>
            <w:r>
              <w:rPr>
                <w:rFonts w:ascii="Arial" w:cs="Arial" w:eastAsia="Arial" w:hAnsi="Arial"/>
                <w:sz w:val="18"/>
                <w:szCs w:val="18"/>
                <w:color w:val="auto"/>
              </w:rPr>
              <w:t>31,404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31,853</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5"/>
                <w:szCs w:val="15"/>
                <w:color w:val="auto"/>
              </w:rPr>
              <w:t>(3)(5)</w:t>
            </w:r>
          </w:p>
        </w:tc>
        <w:tc>
          <w:tcPr>
            <w:tcW w:w="2500" w:type="dxa"/>
            <w:vAlign w:val="bottom"/>
          </w:tcPr>
          <w:p>
            <w:pPr>
              <w:ind w:left="60"/>
              <w:spacing w:after="0"/>
              <w:rPr>
                <w:sz w:val="20"/>
                <w:szCs w:val="20"/>
                <w:color w:val="auto"/>
              </w:rPr>
            </w:pPr>
            <w:r>
              <w:rPr>
                <w:rFonts w:ascii="Arial" w:cs="Arial" w:eastAsia="Arial" w:hAnsi="Arial"/>
                <w:sz w:val="18"/>
                <w:szCs w:val="18"/>
                <w:color w:val="auto"/>
              </w:rPr>
              <w:t>6/2022)</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5"/>
              </w:rPr>
              <w:t>First-lien loan (EUR 35,810 par,</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9/30/2014</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E + 10.50%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11.50%</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42,655</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42,020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9/2018)</w:t>
            </w:r>
          </w:p>
        </w:tc>
        <w:tc>
          <w:tcPr>
            <w:tcW w:w="9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2"/>
              </w:rPr>
              <w:t>(EUR 35,989)</w:t>
            </w: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First-lien revolving loan (EUR</w:t>
            </w:r>
          </w:p>
        </w:tc>
        <w:tc>
          <w:tcPr>
            <w:tcW w:w="960" w:type="dxa"/>
            <w:vAlign w:val="bottom"/>
          </w:tcPr>
          <w:p>
            <w:pPr>
              <w:jc w:val="right"/>
              <w:spacing w:after="0"/>
              <w:rPr>
                <w:sz w:val="20"/>
                <w:szCs w:val="20"/>
                <w:color w:val="auto"/>
              </w:rPr>
            </w:pPr>
            <w:r>
              <w:rPr>
                <w:rFonts w:ascii="Arial" w:cs="Arial" w:eastAsia="Arial" w:hAnsi="Arial"/>
                <w:sz w:val="18"/>
                <w:szCs w:val="18"/>
                <w:color w:val="auto"/>
              </w:rPr>
              <w:t>9/30/2014</w:t>
            </w:r>
          </w:p>
        </w:tc>
        <w:tc>
          <w:tcPr>
            <w:tcW w:w="1100" w:type="dxa"/>
            <w:vAlign w:val="bottom"/>
          </w:tcPr>
          <w:p>
            <w:pPr>
              <w:jc w:val="right"/>
              <w:spacing w:after="0"/>
              <w:rPr>
                <w:sz w:val="20"/>
                <w:szCs w:val="20"/>
                <w:color w:val="auto"/>
              </w:rPr>
            </w:pPr>
            <w:r>
              <w:rPr>
                <w:rFonts w:ascii="Arial" w:cs="Arial" w:eastAsia="Arial" w:hAnsi="Arial"/>
                <w:sz w:val="18"/>
                <w:szCs w:val="18"/>
                <w:color w:val="auto"/>
              </w:rPr>
              <w:t>E + 10.50%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11.50%</w:t>
            </w:r>
          </w:p>
        </w:tc>
        <w:tc>
          <w:tcPr>
            <w:tcW w:w="760" w:type="dxa"/>
            <w:vAlign w:val="bottom"/>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300 par, due 9/2018)</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(EUR 320)</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($56,869 par, due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12/17/2015</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+ 5.25%</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7.34%</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56,116</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57,580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12/2021)</w:t>
            </w:r>
          </w:p>
        </w:tc>
        <w:tc>
          <w:tcPr>
            <w:tcW w:w="9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($42,427 par, due</w:t>
            </w:r>
          </w:p>
        </w:tc>
        <w:tc>
          <w:tcPr>
            <w:tcW w:w="960" w:type="dxa"/>
            <w:vAlign w:val="bottom"/>
          </w:tcPr>
          <w:p>
            <w:pPr>
              <w:jc w:val="right"/>
              <w:spacing w:after="0"/>
              <w:rPr>
                <w:sz w:val="20"/>
                <w:szCs w:val="20"/>
                <w:color w:val="auto"/>
              </w:rPr>
            </w:pPr>
            <w:r>
              <w:rPr>
                <w:rFonts w:ascii="Arial" w:cs="Arial" w:eastAsia="Arial" w:hAnsi="Arial"/>
                <w:sz w:val="18"/>
                <w:szCs w:val="18"/>
                <w:color w:val="auto"/>
              </w:rPr>
              <w:t>9/30/2015</w:t>
            </w:r>
          </w:p>
        </w:tc>
        <w:tc>
          <w:tcPr>
            <w:tcW w:w="1100" w:type="dxa"/>
            <w:vAlign w:val="bottom"/>
          </w:tcPr>
          <w:p>
            <w:pPr>
              <w:jc w:val="right"/>
              <w:spacing w:after="0"/>
              <w:rPr>
                <w:sz w:val="20"/>
                <w:szCs w:val="20"/>
                <w:color w:val="auto"/>
              </w:rPr>
            </w:pPr>
            <w:r>
              <w:rPr>
                <w:rFonts w:ascii="Arial" w:cs="Arial" w:eastAsia="Arial" w:hAnsi="Arial"/>
                <w:sz w:val="18"/>
                <w:szCs w:val="18"/>
                <w:color w:val="auto"/>
              </w:rPr>
              <w:t>L + 7.50%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9.59%</w:t>
            </w:r>
          </w:p>
        </w:tc>
        <w:tc>
          <w:tcPr>
            <w:tcW w:w="760" w:type="dxa"/>
            <w:vAlign w:val="bottom"/>
          </w:tcPr>
          <w:p>
            <w:pPr>
              <w:jc w:val="right"/>
              <w:spacing w:after="0"/>
              <w:rPr>
                <w:sz w:val="20"/>
                <w:szCs w:val="20"/>
                <w:color w:val="auto"/>
              </w:rPr>
            </w:pPr>
            <w:r>
              <w:rPr>
                <w:rFonts w:ascii="Arial" w:cs="Arial" w:eastAsia="Arial" w:hAnsi="Arial"/>
                <w:sz w:val="18"/>
                <w:szCs w:val="18"/>
                <w:color w:val="auto"/>
              </w:rPr>
              <w:t>41,788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42,851</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9/2020)</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($28,715 par, due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2/29/2016</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+ 7.75%</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10.08%</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28,120</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29,288</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2/2021)</w:t>
            </w:r>
          </w:p>
        </w:tc>
        <w:tc>
          <w:tcPr>
            <w:tcW w:w="9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200,432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203,966</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9"/>
                <w:szCs w:val="19"/>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Hotel, gaming, and leisure</w:t>
            </w:r>
          </w:p>
        </w:tc>
        <w:tc>
          <w:tcPr>
            <w:tcW w:w="25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($22,986 par, due</w:t>
            </w:r>
          </w:p>
        </w:tc>
        <w:tc>
          <w:tcPr>
            <w:tcW w:w="960" w:type="dxa"/>
            <w:vAlign w:val="bottom"/>
          </w:tcPr>
          <w:p>
            <w:pPr>
              <w:jc w:val="right"/>
              <w:spacing w:after="0"/>
              <w:rPr>
                <w:sz w:val="20"/>
                <w:szCs w:val="20"/>
                <w:color w:val="auto"/>
              </w:rPr>
            </w:pPr>
            <w:r>
              <w:rPr>
                <w:rFonts w:ascii="Arial" w:cs="Arial" w:eastAsia="Arial" w:hAnsi="Arial"/>
                <w:sz w:val="18"/>
                <w:szCs w:val="18"/>
                <w:color w:val="auto"/>
              </w:rPr>
              <w:t>9/29/2015</w:t>
            </w:r>
          </w:p>
        </w:tc>
        <w:tc>
          <w:tcPr>
            <w:tcW w:w="1100" w:type="dxa"/>
            <w:vAlign w:val="bottom"/>
          </w:tcPr>
          <w:p>
            <w:pPr>
              <w:jc w:val="right"/>
              <w:spacing w:after="0"/>
              <w:rPr>
                <w:sz w:val="20"/>
                <w:szCs w:val="20"/>
                <w:color w:val="auto"/>
              </w:rPr>
            </w:pPr>
            <w:r>
              <w:rPr>
                <w:rFonts w:ascii="Arial" w:cs="Arial" w:eastAsia="Arial" w:hAnsi="Arial"/>
                <w:sz w:val="18"/>
                <w:szCs w:val="18"/>
                <w:color w:val="auto"/>
              </w:rPr>
              <w:t>L + 9.50%</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11.83%</w:t>
            </w:r>
          </w:p>
        </w:tc>
        <w:tc>
          <w:tcPr>
            <w:tcW w:w="760" w:type="dxa"/>
            <w:vAlign w:val="bottom"/>
          </w:tcPr>
          <w:p>
            <w:pPr>
              <w:jc w:val="right"/>
              <w:spacing w:after="0"/>
              <w:rPr>
                <w:sz w:val="20"/>
                <w:szCs w:val="20"/>
                <w:color w:val="auto"/>
              </w:rPr>
            </w:pPr>
            <w:r>
              <w:rPr>
                <w:rFonts w:ascii="Arial" w:cs="Arial" w:eastAsia="Arial" w:hAnsi="Arial"/>
                <w:sz w:val="18"/>
                <w:szCs w:val="18"/>
                <w:color w:val="auto"/>
              </w:rPr>
              <w:t>22,986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16,837</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9/2019)</w:t>
            </w: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w w:val="99"/>
              </w:rPr>
              <w:t>(incl. 5.00%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PIK)</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18"/>
                <w:szCs w:val="18"/>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First-lien revolving loan</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+ 9.50%</w:t>
            </w: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11.83%</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24,682</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rPr>
                <w:sz w:val="18"/>
                <w:szCs w:val="18"/>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($24,682 par, due 9/2019)</w:t>
            </w:r>
          </w:p>
        </w:tc>
        <w:tc>
          <w:tcPr>
            <w:tcW w:w="9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(incl. 5.00%</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PIK)</w:t>
            </w:r>
          </w:p>
        </w:tc>
        <w:tc>
          <w:tcPr>
            <w:tcW w:w="7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tcBorders>
              <w:bottom w:val="single" w:sz="8" w:color="CFF0FC"/>
            </w:tcBorders>
          </w:tcPr>
          <w:p>
            <w:pPr>
              <w:spacing w:after="0"/>
              <w:rPr>
                <w:sz w:val="19"/>
                <w:szCs w:val="19"/>
                <w:color w:val="auto"/>
              </w:rPr>
            </w:pPr>
          </w:p>
        </w:tc>
        <w:tc>
          <w:tcPr>
            <w:tcW w:w="250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47,668</w:t>
            </w: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34,917</w:t>
            </w:r>
          </w:p>
        </w:tc>
        <w:tc>
          <w:tcPr>
            <w:tcW w:w="2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05"/>
        </w:trPr>
        <w:tc>
          <w:tcPr>
            <w:tcW w:w="25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5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services</w:t>
            </w:r>
          </w:p>
        </w:tc>
        <w:tc>
          <w:tcPr>
            <w:tcW w:w="25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PageUp People Limited </w:t>
            </w:r>
            <w:r>
              <w:rPr>
                <w:rFonts w:ascii="Arial" w:cs="Arial" w:eastAsia="Arial" w:hAnsi="Arial"/>
                <w:sz w:val="15"/>
                <w:szCs w:val="15"/>
                <w:color w:val="auto"/>
              </w:rPr>
              <w:t>(3)(4)</w:t>
            </w:r>
          </w:p>
        </w:tc>
        <w:tc>
          <w:tcPr>
            <w:tcW w:w="2500" w:type="dxa"/>
            <w:vAlign w:val="bottom"/>
          </w:tcPr>
          <w:p>
            <w:pPr>
              <w:ind w:left="60"/>
              <w:spacing w:after="0"/>
              <w:rPr>
                <w:sz w:val="20"/>
                <w:szCs w:val="20"/>
                <w:color w:val="auto"/>
              </w:rPr>
            </w:pPr>
            <w:r>
              <w:rPr>
                <w:rFonts w:ascii="Arial" w:cs="Arial" w:eastAsia="Arial" w:hAnsi="Arial"/>
                <w:sz w:val="18"/>
                <w:szCs w:val="18"/>
                <w:color w:val="auto"/>
                <w:w w:val="95"/>
              </w:rPr>
              <w:t>First-lien loan (AUD 46,354 par,</w:t>
            </w:r>
          </w:p>
        </w:tc>
        <w:tc>
          <w:tcPr>
            <w:tcW w:w="960" w:type="dxa"/>
            <w:vAlign w:val="bottom"/>
          </w:tcPr>
          <w:p>
            <w:pPr>
              <w:jc w:val="right"/>
              <w:spacing w:after="0"/>
              <w:rPr>
                <w:sz w:val="20"/>
                <w:szCs w:val="20"/>
                <w:color w:val="auto"/>
              </w:rPr>
            </w:pPr>
            <w:r>
              <w:rPr>
                <w:rFonts w:ascii="Arial" w:cs="Arial" w:eastAsia="Arial" w:hAnsi="Arial"/>
                <w:sz w:val="18"/>
                <w:szCs w:val="18"/>
                <w:color w:val="auto"/>
              </w:rPr>
              <w:t>1/11/2018</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B + 7.25%</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w w:val="99"/>
              </w:rPr>
              <w:t>9.19% (incl.</w:t>
            </w:r>
          </w:p>
        </w:tc>
        <w:tc>
          <w:tcPr>
            <w:tcW w:w="760" w:type="dxa"/>
            <w:vAlign w:val="bottom"/>
          </w:tcPr>
          <w:p>
            <w:pPr>
              <w:jc w:val="right"/>
              <w:spacing w:after="0"/>
              <w:rPr>
                <w:sz w:val="20"/>
                <w:szCs w:val="20"/>
                <w:color w:val="auto"/>
              </w:rPr>
            </w:pPr>
            <w:r>
              <w:rPr>
                <w:rFonts w:ascii="Arial" w:cs="Arial" w:eastAsia="Arial" w:hAnsi="Arial"/>
                <w:sz w:val="18"/>
                <w:szCs w:val="18"/>
                <w:color w:val="auto"/>
              </w:rPr>
              <w:t>35,749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33,585</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due 12/2022)</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2.25% PIK)</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(AUD 45,455)</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Insurance</w:t>
            </w:r>
          </w:p>
        </w:tc>
        <w:tc>
          <w:tcPr>
            <w:tcW w:w="2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($62,493 par, due</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10/31/2014</w:t>
            </w:r>
          </w:p>
        </w:tc>
        <w:tc>
          <w:tcPr>
            <w:tcW w:w="1100" w:type="dxa"/>
            <w:vAlign w:val="bottom"/>
          </w:tcPr>
          <w:p>
            <w:pPr>
              <w:jc w:val="right"/>
              <w:spacing w:after="0"/>
              <w:rPr>
                <w:sz w:val="20"/>
                <w:szCs w:val="20"/>
                <w:color w:val="auto"/>
              </w:rPr>
            </w:pPr>
            <w:r>
              <w:rPr>
                <w:rFonts w:ascii="Arial" w:cs="Arial" w:eastAsia="Arial" w:hAnsi="Arial"/>
                <w:sz w:val="18"/>
                <w:szCs w:val="18"/>
                <w:color w:val="auto"/>
              </w:rPr>
              <w:t>L + 6.75%</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9.11%</w:t>
            </w:r>
          </w:p>
        </w:tc>
        <w:tc>
          <w:tcPr>
            <w:tcW w:w="760" w:type="dxa"/>
            <w:vAlign w:val="bottom"/>
          </w:tcPr>
          <w:p>
            <w:pPr>
              <w:jc w:val="right"/>
              <w:spacing w:after="0"/>
              <w:rPr>
                <w:sz w:val="20"/>
                <w:szCs w:val="20"/>
                <w:color w:val="auto"/>
              </w:rPr>
            </w:pPr>
            <w:r>
              <w:rPr>
                <w:rFonts w:ascii="Arial" w:cs="Arial" w:eastAsia="Arial" w:hAnsi="Arial"/>
                <w:sz w:val="18"/>
                <w:szCs w:val="18"/>
                <w:color w:val="auto"/>
              </w:rPr>
              <w:t>62,140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63,587</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10/2020)</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Internet services</w:t>
            </w:r>
          </w:p>
        </w:tc>
        <w:tc>
          <w:tcPr>
            <w:tcW w:w="2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Lithium Technologies, LLC </w:t>
            </w:r>
            <w:r>
              <w:rPr>
                <w:rFonts w:ascii="Arial" w:cs="Arial" w:eastAsia="Arial" w:hAnsi="Arial"/>
                <w:sz w:val="15"/>
                <w:szCs w:val="15"/>
                <w:color w:val="auto"/>
              </w:rPr>
              <w:t>(3)</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($50,000 par, due</w:t>
            </w:r>
          </w:p>
        </w:tc>
        <w:tc>
          <w:tcPr>
            <w:tcW w:w="960" w:type="dxa"/>
            <w:vAlign w:val="bottom"/>
          </w:tcPr>
          <w:p>
            <w:pPr>
              <w:jc w:val="right"/>
              <w:spacing w:after="0"/>
              <w:rPr>
                <w:sz w:val="20"/>
                <w:szCs w:val="20"/>
                <w:color w:val="auto"/>
              </w:rPr>
            </w:pPr>
            <w:r>
              <w:rPr>
                <w:rFonts w:ascii="Arial" w:cs="Arial" w:eastAsia="Arial" w:hAnsi="Arial"/>
                <w:sz w:val="18"/>
                <w:szCs w:val="18"/>
                <w:color w:val="auto"/>
              </w:rPr>
              <w:t>10/3/2017</w:t>
            </w:r>
          </w:p>
        </w:tc>
        <w:tc>
          <w:tcPr>
            <w:tcW w:w="1100" w:type="dxa"/>
            <w:vAlign w:val="bottom"/>
          </w:tcPr>
          <w:p>
            <w:pPr>
              <w:jc w:val="right"/>
              <w:spacing w:after="0"/>
              <w:rPr>
                <w:sz w:val="20"/>
                <w:szCs w:val="20"/>
                <w:color w:val="auto"/>
              </w:rPr>
            </w:pPr>
            <w:r>
              <w:rPr>
                <w:rFonts w:ascii="Arial" w:cs="Arial" w:eastAsia="Arial" w:hAnsi="Arial"/>
                <w:sz w:val="18"/>
                <w:szCs w:val="18"/>
                <w:color w:val="auto"/>
              </w:rPr>
              <w:t>L + 8.00%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10.37%</w:t>
            </w:r>
          </w:p>
        </w:tc>
        <w:tc>
          <w:tcPr>
            <w:tcW w:w="760" w:type="dxa"/>
            <w:vAlign w:val="bottom"/>
          </w:tcPr>
          <w:p>
            <w:pPr>
              <w:jc w:val="right"/>
              <w:spacing w:after="0"/>
              <w:rPr>
                <w:sz w:val="20"/>
                <w:szCs w:val="20"/>
                <w:color w:val="auto"/>
              </w:rPr>
            </w:pPr>
            <w:r>
              <w:rPr>
                <w:rFonts w:ascii="Arial" w:cs="Arial" w:eastAsia="Arial" w:hAnsi="Arial"/>
                <w:sz w:val="18"/>
                <w:szCs w:val="18"/>
                <w:color w:val="auto"/>
              </w:rPr>
              <w:t>48,940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49,463</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10/2022)</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Higher Logic, LLC </w:t>
            </w:r>
            <w:r>
              <w:rPr>
                <w:rFonts w:ascii="Arial" w:cs="Arial" w:eastAsia="Arial" w:hAnsi="Arial"/>
                <w:sz w:val="15"/>
                <w:szCs w:val="15"/>
                <w:color w:val="auto"/>
              </w:rPr>
              <w:t>(3)(5)</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($38,000 par, due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6/18/2018</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+ 6.00%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8.10%</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37,341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37,335</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1/2022)</w:t>
            </w:r>
          </w:p>
        </w:tc>
        <w:tc>
          <w:tcPr>
            <w:tcW w:w="9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86,281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86,798</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Manufacturing</w:t>
            </w:r>
          </w:p>
        </w:tc>
        <w:tc>
          <w:tcPr>
            <w:tcW w:w="25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2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 xml:space="preserve">Industrial Physics, LLC </w:t>
            </w:r>
            <w:r>
              <w:rPr>
                <w:rFonts w:ascii="Arial" w:cs="Arial" w:eastAsia="Arial" w:hAnsi="Arial"/>
                <w:sz w:val="15"/>
                <w:szCs w:val="15"/>
                <w:color w:val="auto"/>
              </w:rPr>
              <w:t>(3)</w:t>
            </w:r>
          </w:p>
        </w:tc>
        <w:tc>
          <w:tcPr>
            <w:tcW w:w="2600" w:type="dxa"/>
            <w:vAlign w:val="bottom"/>
          </w:tcPr>
          <w:p>
            <w:pPr>
              <w:ind w:left="60"/>
              <w:spacing w:after="0"/>
              <w:rPr>
                <w:sz w:val="20"/>
                <w:szCs w:val="20"/>
                <w:color w:val="auto"/>
              </w:rPr>
            </w:pPr>
            <w:r>
              <w:rPr>
                <w:rFonts w:ascii="Arial" w:cs="Arial" w:eastAsia="Arial" w:hAnsi="Arial"/>
                <w:sz w:val="18"/>
                <w:szCs w:val="18"/>
                <w:color w:val="auto"/>
              </w:rPr>
              <w:t>First-lien loan ($9,925 par, due</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10/23/2017</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L + 7.00%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9.09%</w:t>
            </w:r>
          </w:p>
        </w:tc>
        <w:tc>
          <w:tcPr>
            <w:tcW w:w="860" w:type="dxa"/>
            <w:vAlign w:val="bottom"/>
          </w:tcPr>
          <w:p>
            <w:pPr>
              <w:jc w:val="right"/>
              <w:spacing w:after="0"/>
              <w:rPr>
                <w:sz w:val="20"/>
                <w:szCs w:val="20"/>
                <w:color w:val="auto"/>
              </w:rPr>
            </w:pPr>
            <w:r>
              <w:rPr>
                <w:rFonts w:ascii="Arial" w:cs="Arial" w:eastAsia="Arial" w:hAnsi="Arial"/>
                <w:sz w:val="18"/>
                <w:szCs w:val="18"/>
                <w:color w:val="auto"/>
              </w:rPr>
              <w:t>9,749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9,826</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10/2022)</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80" w:type="dxa"/>
            <w:vAlign w:val="bottom"/>
            <w:shd w:val="clear" w:color="auto" w:fill="CFF0FC"/>
          </w:tcPr>
          <w:p>
            <w:pPr>
              <w:spacing w:after="0"/>
              <w:rPr>
                <w:sz w:val="18"/>
                <w:szCs w:val="18"/>
                <w:color w:val="auto"/>
              </w:rPr>
            </w:pP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(EUR 20,959 par,</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10/23/2017</w:t>
            </w:r>
          </w:p>
        </w:tc>
        <w:tc>
          <w:tcPr>
            <w:tcW w:w="12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E + 7.00%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8.00%</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24,181</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24,226</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2580" w:type="dxa"/>
            <w:vAlign w:val="bottom"/>
            <w:shd w:val="clear" w:color="auto" w:fill="CFF0FC"/>
          </w:tcPr>
          <w:p>
            <w:pPr>
              <w:spacing w:after="0"/>
              <w:rPr>
                <w:sz w:val="18"/>
                <w:szCs w:val="18"/>
                <w:color w:val="auto"/>
              </w:rPr>
            </w:pP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10/2022)</w:t>
            </w:r>
          </w:p>
        </w:tc>
        <w:tc>
          <w:tcPr>
            <w:tcW w:w="10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(EUR</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80" w:type="dxa"/>
            <w:vAlign w:val="bottom"/>
            <w:shd w:val="clear" w:color="auto" w:fill="CFF0FC"/>
          </w:tcPr>
          <w:p>
            <w:pPr>
              <w:spacing w:after="0"/>
              <w:rPr>
                <w:sz w:val="20"/>
                <w:szCs w:val="20"/>
                <w:color w:val="auto"/>
              </w:rPr>
            </w:pPr>
          </w:p>
        </w:tc>
        <w:tc>
          <w:tcPr>
            <w:tcW w:w="26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20,749)</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8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First-lien revolving loan ($750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10/23/2017</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L + 7.00%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9.09%</w:t>
            </w:r>
          </w:p>
        </w:tc>
        <w:tc>
          <w:tcPr>
            <w:tcW w:w="860" w:type="dxa"/>
            <w:vAlign w:val="bottom"/>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par, due 10/2022)</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8"/>
              </w:rPr>
              <w:t>First-lien loan ($19,986 par, due</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12/30/2014</w:t>
            </w:r>
          </w:p>
        </w:tc>
        <w:tc>
          <w:tcPr>
            <w:tcW w:w="12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+ 7.25%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9.34%</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19,856</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19,986</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30"/>
        </w:trPr>
        <w:tc>
          <w:tcPr>
            <w:tcW w:w="2580" w:type="dxa"/>
            <w:vAlign w:val="bottom"/>
            <w:shd w:val="clear" w:color="auto" w:fill="CFF0FC"/>
          </w:tcPr>
          <w:p>
            <w:pPr>
              <w:spacing w:after="0"/>
              <w:rPr>
                <w:sz w:val="20"/>
                <w:szCs w:val="20"/>
                <w:color w:val="auto"/>
              </w:rPr>
            </w:pP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12/2019)</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8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First-lien revolving loan ($1,393</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12/30/2014</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L + 7.25%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9.34%</w:t>
            </w:r>
          </w:p>
        </w:tc>
        <w:tc>
          <w:tcPr>
            <w:tcW w:w="860" w:type="dxa"/>
            <w:vAlign w:val="bottom"/>
          </w:tcPr>
          <w:p>
            <w:pPr>
              <w:jc w:val="right"/>
              <w:spacing w:after="0"/>
              <w:rPr>
                <w:sz w:val="20"/>
                <w:szCs w:val="20"/>
                <w:color w:val="auto"/>
              </w:rPr>
            </w:pPr>
            <w:r>
              <w:rPr>
                <w:rFonts w:ascii="Arial" w:cs="Arial" w:eastAsia="Arial" w:hAnsi="Arial"/>
                <w:sz w:val="18"/>
                <w:szCs w:val="18"/>
                <w:color w:val="auto"/>
              </w:rPr>
              <w:t>1,381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1,393</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580" w:type="dxa"/>
            <w:vAlign w:val="bottom"/>
            <w:tcBorders>
              <w:bottom w:val="single" w:sz="8" w:color="CFF0FC"/>
            </w:tcBorders>
          </w:tcPr>
          <w:p>
            <w:pPr>
              <w:spacing w:after="0"/>
              <w:rPr>
                <w:sz w:val="20"/>
                <w:szCs w:val="20"/>
                <w:color w:val="auto"/>
              </w:rPr>
            </w:pPr>
          </w:p>
        </w:tc>
        <w:tc>
          <w:tcPr>
            <w:tcW w:w="2600" w:type="dxa"/>
            <w:vAlign w:val="bottom"/>
            <w:tcBorders>
              <w:bottom w:val="single" w:sz="8" w:color="CFF0FC"/>
            </w:tcBorders>
          </w:tcPr>
          <w:p>
            <w:pPr>
              <w:ind w:left="60"/>
              <w:spacing w:after="0"/>
              <w:rPr>
                <w:sz w:val="20"/>
                <w:szCs w:val="20"/>
                <w:color w:val="auto"/>
              </w:rPr>
            </w:pPr>
            <w:r>
              <w:rPr>
                <w:rFonts w:ascii="Arial" w:cs="Arial" w:eastAsia="Arial" w:hAnsi="Arial"/>
                <w:sz w:val="18"/>
                <w:szCs w:val="18"/>
                <w:color w:val="auto"/>
              </w:rPr>
              <w:t>par, due 12/2019)</w:t>
            </w:r>
          </w:p>
        </w:tc>
        <w:tc>
          <w:tcPr>
            <w:tcW w:w="102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8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55,831</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56,131</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b w:val="1"/>
                <w:bCs w:val="1"/>
                <w:color w:val="auto"/>
              </w:rPr>
              <w:t>Marketing services</w:t>
            </w:r>
          </w:p>
        </w:tc>
        <w:tc>
          <w:tcPr>
            <w:tcW w:w="2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Bazaarvoice, Inc.</w:t>
            </w:r>
            <w:r>
              <w:rPr>
                <w:rFonts w:ascii="Arial" w:cs="Arial" w:eastAsia="Arial" w:hAnsi="Arial"/>
                <w:sz w:val="15"/>
                <w:szCs w:val="15"/>
                <w:color w:val="auto"/>
              </w:rPr>
              <w:t>(3)</w:t>
            </w: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8"/>
              </w:rPr>
              <w:t>First-lien loan ($39,900 par, due</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2/1/2018</w:t>
            </w:r>
          </w:p>
        </w:tc>
        <w:tc>
          <w:tcPr>
            <w:tcW w:w="12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+ 8.00%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10.09%</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39,550</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39,601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30"/>
        </w:trPr>
        <w:tc>
          <w:tcPr>
            <w:tcW w:w="2580" w:type="dxa"/>
            <w:vAlign w:val="bottom"/>
            <w:shd w:val="clear" w:color="auto" w:fill="CFF0FC"/>
          </w:tcPr>
          <w:p>
            <w:pPr>
              <w:spacing w:after="0"/>
              <w:rPr>
                <w:sz w:val="20"/>
                <w:szCs w:val="20"/>
                <w:color w:val="auto"/>
              </w:rPr>
            </w:pP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2/2024)</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8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First-lien revolving loan ($1,000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2/1/2018</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P + 7.00%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12.00%</w:t>
            </w:r>
          </w:p>
        </w:tc>
        <w:tc>
          <w:tcPr>
            <w:tcW w:w="860" w:type="dxa"/>
            <w:vAlign w:val="bottom"/>
          </w:tcPr>
          <w:p>
            <w:pPr>
              <w:jc w:val="right"/>
              <w:spacing w:after="0"/>
              <w:rPr>
                <w:sz w:val="20"/>
                <w:szCs w:val="20"/>
                <w:color w:val="auto"/>
              </w:rPr>
            </w:pPr>
            <w:r>
              <w:rPr>
                <w:rFonts w:ascii="Arial" w:cs="Arial" w:eastAsia="Arial" w:hAnsi="Arial"/>
                <w:sz w:val="18"/>
                <w:szCs w:val="18"/>
                <w:color w:val="auto"/>
              </w:rPr>
              <w:t>926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970</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par, due 2/2024)</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Vivial Inc.</w:t>
            </w:r>
            <w:r>
              <w:rPr>
                <w:rFonts w:ascii="Arial" w:cs="Arial" w:eastAsia="Arial" w:hAnsi="Arial"/>
                <w:sz w:val="15"/>
                <w:szCs w:val="15"/>
                <w:color w:val="auto"/>
              </w:rPr>
              <w:t>(3)</w:t>
            </w: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8"/>
              </w:rPr>
              <w:t>First-lien loan ($31,641 par, due</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9/29/2017</w:t>
            </w:r>
          </w:p>
        </w:tc>
        <w:tc>
          <w:tcPr>
            <w:tcW w:w="12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+ 8.00%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10.09%</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31,159</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30"/>
        </w:trPr>
        <w:tc>
          <w:tcPr>
            <w:tcW w:w="2580" w:type="dxa"/>
            <w:vAlign w:val="bottom"/>
            <w:shd w:val="clear" w:color="auto" w:fill="CFF0FC"/>
          </w:tcPr>
          <w:p>
            <w:pPr>
              <w:spacing w:after="0"/>
              <w:rPr>
                <w:sz w:val="20"/>
                <w:szCs w:val="20"/>
                <w:color w:val="auto"/>
              </w:rPr>
            </w:pP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9/2022)</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71,635</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71,974</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r>
      <w:tr>
        <w:trPr>
          <w:trHeight w:val="22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Office products</w:t>
            </w:r>
          </w:p>
        </w:tc>
        <w:tc>
          <w:tcPr>
            <w:tcW w:w="26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80" w:type="dxa"/>
            <w:vAlign w:val="bottom"/>
          </w:tcPr>
          <w:p>
            <w:pPr>
              <w:spacing w:after="0"/>
              <w:rPr>
                <w:sz w:val="20"/>
                <w:szCs w:val="20"/>
                <w:color w:val="auto"/>
              </w:rPr>
            </w:pPr>
            <w:r>
              <w:rPr>
                <w:rFonts w:ascii="Arial" w:cs="Arial" w:eastAsia="Arial" w:hAnsi="Arial"/>
                <w:sz w:val="18"/>
                <w:szCs w:val="18"/>
                <w:color w:val="auto"/>
              </w:rPr>
              <w:t xml:space="preserve">USR Parent Inc. </w:t>
            </w:r>
            <w:r>
              <w:rPr>
                <w:rFonts w:ascii="Arial" w:cs="Arial" w:eastAsia="Arial" w:hAnsi="Arial"/>
                <w:sz w:val="15"/>
                <w:szCs w:val="15"/>
                <w:color w:val="auto"/>
              </w:rPr>
              <w:t>(3)(5)</w:t>
            </w:r>
          </w:p>
        </w:tc>
        <w:tc>
          <w:tcPr>
            <w:tcW w:w="2600" w:type="dxa"/>
            <w:vAlign w:val="bottom"/>
          </w:tcPr>
          <w:p>
            <w:pPr>
              <w:ind w:left="60"/>
              <w:spacing w:after="0"/>
              <w:rPr>
                <w:sz w:val="20"/>
                <w:szCs w:val="20"/>
                <w:color w:val="auto"/>
              </w:rPr>
            </w:pPr>
            <w:r>
              <w:rPr>
                <w:rFonts w:ascii="Arial" w:cs="Arial" w:eastAsia="Arial" w:hAnsi="Arial"/>
                <w:sz w:val="18"/>
                <w:szCs w:val="18"/>
                <w:color w:val="auto"/>
              </w:rPr>
              <w:t>ABL FILO term loan ($20,000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9/12/2017</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L + 7.75%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9.72%</w:t>
            </w:r>
          </w:p>
        </w:tc>
        <w:tc>
          <w:tcPr>
            <w:tcW w:w="860" w:type="dxa"/>
            <w:vAlign w:val="bottom"/>
          </w:tcPr>
          <w:p>
            <w:pPr>
              <w:jc w:val="right"/>
              <w:spacing w:after="0"/>
              <w:rPr>
                <w:sz w:val="20"/>
                <w:szCs w:val="20"/>
                <w:color w:val="auto"/>
              </w:rPr>
            </w:pPr>
            <w:r>
              <w:rPr>
                <w:rFonts w:ascii="Arial" w:cs="Arial" w:eastAsia="Arial" w:hAnsi="Arial"/>
                <w:sz w:val="18"/>
                <w:szCs w:val="18"/>
                <w:color w:val="auto"/>
              </w:rPr>
              <w:t>19,590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19,800</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par, due 9/2022)</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2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Oil, gas and consumable</w:t>
            </w:r>
          </w:p>
        </w:tc>
        <w:tc>
          <w:tcPr>
            <w:tcW w:w="26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5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fuels</w:t>
            </w:r>
          </w:p>
        </w:tc>
        <w:tc>
          <w:tcPr>
            <w:tcW w:w="26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80" w:type="dxa"/>
            <w:vAlign w:val="bottom"/>
          </w:tcPr>
          <w:p>
            <w:pPr>
              <w:spacing w:after="0"/>
              <w:rPr>
                <w:sz w:val="20"/>
                <w:szCs w:val="20"/>
                <w:color w:val="auto"/>
              </w:rPr>
            </w:pPr>
            <w:r>
              <w:rPr>
                <w:rFonts w:ascii="Arial" w:cs="Arial" w:eastAsia="Arial" w:hAnsi="Arial"/>
                <w:sz w:val="18"/>
                <w:szCs w:val="18"/>
                <w:color w:val="auto"/>
                <w:w w:val="97"/>
              </w:rPr>
              <w:t xml:space="preserve">Mississippi Resources, LLC </w:t>
            </w:r>
            <w:r>
              <w:rPr>
                <w:rFonts w:ascii="Arial" w:cs="Arial" w:eastAsia="Arial" w:hAnsi="Arial"/>
                <w:sz w:val="15"/>
                <w:szCs w:val="15"/>
                <w:color w:val="auto"/>
                <w:w w:val="97"/>
              </w:rPr>
              <w:t>(3)(7)</w:t>
            </w:r>
          </w:p>
        </w:tc>
        <w:tc>
          <w:tcPr>
            <w:tcW w:w="2600" w:type="dxa"/>
            <w:vAlign w:val="bottom"/>
          </w:tcPr>
          <w:p>
            <w:pPr>
              <w:ind w:left="60"/>
              <w:spacing w:after="0"/>
              <w:rPr>
                <w:sz w:val="20"/>
                <w:szCs w:val="20"/>
                <w:color w:val="auto"/>
              </w:rPr>
            </w:pPr>
            <w:r>
              <w:rPr>
                <w:rFonts w:ascii="Arial" w:cs="Arial" w:eastAsia="Arial" w:hAnsi="Arial"/>
                <w:sz w:val="18"/>
                <w:szCs w:val="18"/>
                <w:color w:val="auto"/>
                <w:w w:val="98"/>
              </w:rPr>
              <w:t>First-lien loan ($17,429 par, due</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6/29/2018</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L + 9.00%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11.09%</w:t>
            </w:r>
          </w:p>
        </w:tc>
        <w:tc>
          <w:tcPr>
            <w:tcW w:w="860" w:type="dxa"/>
            <w:vAlign w:val="bottom"/>
          </w:tcPr>
          <w:p>
            <w:pPr>
              <w:jc w:val="right"/>
              <w:spacing w:after="0"/>
              <w:rPr>
                <w:sz w:val="20"/>
                <w:szCs w:val="20"/>
                <w:color w:val="auto"/>
              </w:rPr>
            </w:pPr>
            <w:r>
              <w:rPr>
                <w:rFonts w:ascii="Arial" w:cs="Arial" w:eastAsia="Arial" w:hAnsi="Arial"/>
                <w:sz w:val="18"/>
                <w:szCs w:val="18"/>
                <w:color w:val="auto"/>
              </w:rPr>
              <w:t>17,429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17,429</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6/2020)</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Northern Oil and Gas, Inc. </w:t>
            </w:r>
            <w:r>
              <w:rPr>
                <w:rFonts w:ascii="Arial" w:cs="Arial" w:eastAsia="Arial" w:hAnsi="Arial"/>
                <w:sz w:val="15"/>
                <w:szCs w:val="15"/>
                <w:color w:val="auto"/>
              </w:rPr>
              <w:t>(3)</w:t>
            </w: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8"/>
              </w:rPr>
              <w:t>First-lien loan ($58,500 par, due</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11/1/2017</w:t>
            </w:r>
          </w:p>
        </w:tc>
        <w:tc>
          <w:tcPr>
            <w:tcW w:w="12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+ 7.75%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10.13%</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57,181</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59,475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r>
      <w:tr>
        <w:trPr>
          <w:trHeight w:val="230"/>
        </w:trPr>
        <w:tc>
          <w:tcPr>
            <w:tcW w:w="2580" w:type="dxa"/>
            <w:vAlign w:val="bottom"/>
            <w:shd w:val="clear" w:color="auto" w:fill="CFF0FC"/>
          </w:tcPr>
          <w:p>
            <w:pPr>
              <w:spacing w:after="0"/>
              <w:rPr>
                <w:sz w:val="20"/>
                <w:szCs w:val="20"/>
                <w:color w:val="auto"/>
              </w:rPr>
            </w:pP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11/2022)</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80" w:type="dxa"/>
            <w:vAlign w:val="bottom"/>
          </w:tcPr>
          <w:p>
            <w:pPr>
              <w:spacing w:after="0"/>
              <w:rPr>
                <w:sz w:val="20"/>
                <w:szCs w:val="20"/>
                <w:color w:val="auto"/>
              </w:rPr>
            </w:pPr>
            <w:r>
              <w:rPr>
                <w:rFonts w:ascii="Arial" w:cs="Arial" w:eastAsia="Arial" w:hAnsi="Arial"/>
                <w:sz w:val="18"/>
                <w:szCs w:val="18"/>
                <w:color w:val="auto"/>
              </w:rPr>
              <w:t xml:space="preserve">Rex Energy Corporation </w:t>
            </w:r>
            <w:r>
              <w:rPr>
                <w:rFonts w:ascii="Arial" w:cs="Arial" w:eastAsia="Arial" w:hAnsi="Arial"/>
                <w:sz w:val="15"/>
                <w:szCs w:val="15"/>
                <w:color w:val="auto"/>
              </w:rPr>
              <w:t>(3)</w:t>
            </w:r>
          </w:p>
        </w:tc>
        <w:tc>
          <w:tcPr>
            <w:tcW w:w="2600" w:type="dxa"/>
            <w:vAlign w:val="bottom"/>
          </w:tcPr>
          <w:p>
            <w:pPr>
              <w:ind w:left="60"/>
              <w:spacing w:after="0"/>
              <w:rPr>
                <w:sz w:val="20"/>
                <w:szCs w:val="20"/>
                <w:color w:val="auto"/>
              </w:rPr>
            </w:pPr>
            <w:r>
              <w:rPr>
                <w:rFonts w:ascii="Arial" w:cs="Arial" w:eastAsia="Arial" w:hAnsi="Arial"/>
                <w:sz w:val="18"/>
                <w:szCs w:val="18"/>
                <w:color w:val="auto"/>
                <w:w w:val="98"/>
              </w:rPr>
              <w:t>First-lien loan ($26,132 par, due</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4/28/2017</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L + 8.75%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11.13%</w:t>
            </w:r>
          </w:p>
        </w:tc>
        <w:tc>
          <w:tcPr>
            <w:tcW w:w="860" w:type="dxa"/>
            <w:vAlign w:val="bottom"/>
          </w:tcPr>
          <w:p>
            <w:pPr>
              <w:jc w:val="right"/>
              <w:spacing w:after="0"/>
              <w:rPr>
                <w:sz w:val="20"/>
                <w:szCs w:val="20"/>
                <w:color w:val="auto"/>
              </w:rPr>
            </w:pPr>
            <w:r>
              <w:rPr>
                <w:rFonts w:ascii="Arial" w:cs="Arial" w:eastAsia="Arial" w:hAnsi="Arial"/>
                <w:sz w:val="18"/>
                <w:szCs w:val="18"/>
                <w:color w:val="auto"/>
              </w:rPr>
              <w:t>25,512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26,131</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4/2021)</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80" w:type="dxa"/>
            <w:vAlign w:val="bottom"/>
            <w:shd w:val="clear" w:color="auto" w:fill="CFF0FC"/>
          </w:tcPr>
          <w:p>
            <w:pPr>
              <w:spacing w:after="0"/>
              <w:rPr>
                <w:sz w:val="18"/>
                <w:szCs w:val="18"/>
                <w:color w:val="auto"/>
              </w:rPr>
            </w:pP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DIP term loan ($3,500 par, due</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5/23/2018</w:t>
            </w:r>
          </w:p>
        </w:tc>
        <w:tc>
          <w:tcPr>
            <w:tcW w:w="12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+ 8.75%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11.13%</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30"/>
        </w:trPr>
        <w:tc>
          <w:tcPr>
            <w:tcW w:w="2580" w:type="dxa"/>
            <w:vAlign w:val="bottom"/>
            <w:shd w:val="clear" w:color="auto" w:fill="CFF0FC"/>
          </w:tcPr>
          <w:p>
            <w:pPr>
              <w:spacing w:after="0"/>
              <w:rPr>
                <w:sz w:val="20"/>
                <w:szCs w:val="20"/>
                <w:color w:val="auto"/>
              </w:rPr>
            </w:pP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11/2018)</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103,329</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106,535</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2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Pharmaceuticals</w:t>
            </w:r>
          </w:p>
        </w:tc>
        <w:tc>
          <w:tcPr>
            <w:tcW w:w="26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80" w:type="dxa"/>
            <w:vAlign w:val="bottom"/>
          </w:tcPr>
          <w:p>
            <w:pPr>
              <w:spacing w:after="0"/>
              <w:rPr>
                <w:sz w:val="20"/>
                <w:szCs w:val="20"/>
                <w:color w:val="auto"/>
              </w:rPr>
            </w:pPr>
            <w:r>
              <w:rPr>
                <w:rFonts w:ascii="Arial" w:cs="Arial" w:eastAsia="Arial" w:hAnsi="Arial"/>
                <w:sz w:val="18"/>
                <w:szCs w:val="18"/>
                <w:color w:val="auto"/>
                <w:w w:val="93"/>
              </w:rPr>
              <w:t xml:space="preserve">Ironwood Pharmaceuticals, Inc. </w:t>
            </w:r>
            <w:r>
              <w:rPr>
                <w:rFonts w:ascii="Arial" w:cs="Arial" w:eastAsia="Arial" w:hAnsi="Arial"/>
                <w:sz w:val="15"/>
                <w:szCs w:val="15"/>
                <w:color w:val="auto"/>
                <w:w w:val="93"/>
              </w:rPr>
              <w:t>(4)</w:t>
            </w:r>
          </w:p>
        </w:tc>
        <w:tc>
          <w:tcPr>
            <w:tcW w:w="2600" w:type="dxa"/>
            <w:vAlign w:val="bottom"/>
          </w:tcPr>
          <w:p>
            <w:pPr>
              <w:ind w:left="60"/>
              <w:spacing w:after="0"/>
              <w:rPr>
                <w:sz w:val="20"/>
                <w:szCs w:val="20"/>
                <w:color w:val="auto"/>
              </w:rPr>
            </w:pPr>
            <w:r>
              <w:rPr>
                <w:rFonts w:ascii="Arial" w:cs="Arial" w:eastAsia="Arial" w:hAnsi="Arial"/>
                <w:sz w:val="18"/>
                <w:szCs w:val="18"/>
                <w:color w:val="auto"/>
                <w:w w:val="99"/>
              </w:rPr>
              <w:t>Secured note ($33,333 par, due</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1/5/2017</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8.38%</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8.38%</w:t>
            </w:r>
          </w:p>
        </w:tc>
        <w:tc>
          <w:tcPr>
            <w:tcW w:w="860" w:type="dxa"/>
            <w:vAlign w:val="bottom"/>
          </w:tcPr>
          <w:p>
            <w:pPr>
              <w:jc w:val="right"/>
              <w:spacing w:after="0"/>
              <w:rPr>
                <w:sz w:val="20"/>
                <w:szCs w:val="20"/>
                <w:color w:val="auto"/>
              </w:rPr>
            </w:pPr>
            <w:r>
              <w:rPr>
                <w:rFonts w:ascii="Arial" w:cs="Arial" w:eastAsia="Arial" w:hAnsi="Arial"/>
                <w:sz w:val="18"/>
                <w:szCs w:val="18"/>
                <w:color w:val="auto"/>
              </w:rPr>
              <w:t>33,196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34,000</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5"/>
                <w:szCs w:val="15"/>
                <w:color w:val="auto"/>
              </w:rPr>
              <w:t>(5)(9)</w:t>
            </w:r>
          </w:p>
        </w:tc>
        <w:tc>
          <w:tcPr>
            <w:tcW w:w="2600" w:type="dxa"/>
            <w:vAlign w:val="bottom"/>
          </w:tcPr>
          <w:p>
            <w:pPr>
              <w:ind w:left="60"/>
              <w:spacing w:after="0"/>
              <w:rPr>
                <w:sz w:val="20"/>
                <w:szCs w:val="20"/>
                <w:color w:val="auto"/>
              </w:rPr>
            </w:pPr>
            <w:r>
              <w:rPr>
                <w:rFonts w:ascii="Arial" w:cs="Arial" w:eastAsia="Arial" w:hAnsi="Arial"/>
                <w:sz w:val="18"/>
                <w:szCs w:val="18"/>
                <w:color w:val="auto"/>
              </w:rPr>
              <w:t>9/2026)</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Secured note ($74,950 par, due</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10/5/2015</w:t>
            </w:r>
          </w:p>
        </w:tc>
        <w:tc>
          <w:tcPr>
            <w:tcW w:w="12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7.75%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74,459</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78,135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r>
      <w:tr>
        <w:trPr>
          <w:trHeight w:val="230"/>
        </w:trPr>
        <w:tc>
          <w:tcPr>
            <w:tcW w:w="2580" w:type="dxa"/>
            <w:vAlign w:val="bottom"/>
            <w:shd w:val="clear" w:color="auto" w:fill="CFF0FC"/>
          </w:tcPr>
          <w:p>
            <w:pPr>
              <w:spacing w:after="0"/>
              <w:rPr>
                <w:sz w:val="20"/>
                <w:szCs w:val="20"/>
                <w:color w:val="auto"/>
              </w:rPr>
            </w:pP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10/2020)</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107,655</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112,135</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r>
      <w:tr>
        <w:trPr>
          <w:trHeight w:val="205"/>
        </w:trPr>
        <w:tc>
          <w:tcPr>
            <w:tcW w:w="25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Retail and consumer</w:t>
            </w:r>
          </w:p>
        </w:tc>
        <w:tc>
          <w:tcPr>
            <w:tcW w:w="26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5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products</w:t>
            </w:r>
          </w:p>
        </w:tc>
        <w:tc>
          <w:tcPr>
            <w:tcW w:w="26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80" w:type="dxa"/>
            <w:vAlign w:val="bottom"/>
          </w:tcPr>
          <w:p>
            <w:pPr>
              <w:spacing w:after="0"/>
              <w:rPr>
                <w:sz w:val="20"/>
                <w:szCs w:val="20"/>
                <w:color w:val="auto"/>
              </w:rPr>
            </w:pPr>
            <w:r>
              <w:rPr>
                <w:rFonts w:ascii="Arial" w:cs="Arial" w:eastAsia="Arial" w:hAnsi="Arial"/>
                <w:sz w:val="18"/>
                <w:szCs w:val="18"/>
                <w:color w:val="auto"/>
              </w:rPr>
              <w:t xml:space="preserve">99 Cents Only Stores LLC </w:t>
            </w:r>
            <w:r>
              <w:rPr>
                <w:rFonts w:ascii="Arial" w:cs="Arial" w:eastAsia="Arial" w:hAnsi="Arial"/>
                <w:sz w:val="15"/>
                <w:szCs w:val="15"/>
                <w:color w:val="auto"/>
              </w:rPr>
              <w:t>(3)</w:t>
            </w:r>
          </w:p>
        </w:tc>
        <w:tc>
          <w:tcPr>
            <w:tcW w:w="2600" w:type="dxa"/>
            <w:vAlign w:val="bottom"/>
          </w:tcPr>
          <w:p>
            <w:pPr>
              <w:ind w:left="60"/>
              <w:spacing w:after="0"/>
              <w:rPr>
                <w:sz w:val="20"/>
                <w:szCs w:val="20"/>
                <w:color w:val="auto"/>
              </w:rPr>
            </w:pPr>
            <w:r>
              <w:rPr>
                <w:rFonts w:ascii="Arial" w:cs="Arial" w:eastAsia="Arial" w:hAnsi="Arial"/>
                <w:sz w:val="18"/>
                <w:szCs w:val="18"/>
                <w:color w:val="auto"/>
              </w:rPr>
              <w:t>ABL FILO term loan ($25,000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9/6/2017</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L + 7.75%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10.06%</w:t>
            </w:r>
          </w:p>
        </w:tc>
        <w:tc>
          <w:tcPr>
            <w:tcW w:w="860" w:type="dxa"/>
            <w:vAlign w:val="bottom"/>
          </w:tcPr>
          <w:p>
            <w:pPr>
              <w:jc w:val="right"/>
              <w:spacing w:after="0"/>
              <w:rPr>
                <w:sz w:val="20"/>
                <w:szCs w:val="20"/>
                <w:color w:val="auto"/>
              </w:rPr>
            </w:pPr>
            <w:r>
              <w:rPr>
                <w:rFonts w:ascii="Arial" w:cs="Arial" w:eastAsia="Arial" w:hAnsi="Arial"/>
                <w:sz w:val="18"/>
                <w:szCs w:val="18"/>
                <w:color w:val="auto"/>
              </w:rPr>
              <w:t>24,700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25,063</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par, due 4/2021)</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American Achievement</w:t>
            </w: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8"/>
              </w:rPr>
              <w:t>First-lien loan ($22,782 par, due</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9/30/2015</w:t>
            </w:r>
          </w:p>
        </w:tc>
        <w:tc>
          <w:tcPr>
            <w:tcW w:w="12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+ 8.25%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10.24%</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22,620</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9/2020)</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80" w:type="dxa"/>
            <w:vAlign w:val="bottom"/>
          </w:tcPr>
          <w:p>
            <w:pPr>
              <w:spacing w:after="0"/>
              <w:rPr>
                <w:sz w:val="20"/>
                <w:szCs w:val="20"/>
                <w:color w:val="auto"/>
              </w:rPr>
            </w:pPr>
            <w:r>
              <w:rPr>
                <w:rFonts w:ascii="Arial" w:cs="Arial" w:eastAsia="Arial" w:hAnsi="Arial"/>
                <w:sz w:val="18"/>
                <w:szCs w:val="18"/>
                <w:color w:val="auto"/>
              </w:rPr>
              <w:t xml:space="preserve">Eddie Bauer LLC </w:t>
            </w:r>
            <w:r>
              <w:rPr>
                <w:rFonts w:ascii="Arial" w:cs="Arial" w:eastAsia="Arial" w:hAnsi="Arial"/>
                <w:sz w:val="15"/>
                <w:szCs w:val="15"/>
                <w:color w:val="auto"/>
              </w:rPr>
              <w:t>(3)</w:t>
            </w:r>
          </w:p>
        </w:tc>
        <w:tc>
          <w:tcPr>
            <w:tcW w:w="2600" w:type="dxa"/>
            <w:vAlign w:val="bottom"/>
          </w:tcPr>
          <w:p>
            <w:pPr>
              <w:ind w:left="60"/>
              <w:spacing w:after="0"/>
              <w:rPr>
                <w:sz w:val="20"/>
                <w:szCs w:val="20"/>
                <w:color w:val="auto"/>
              </w:rPr>
            </w:pPr>
            <w:r>
              <w:rPr>
                <w:rFonts w:ascii="Arial" w:cs="Arial" w:eastAsia="Arial" w:hAnsi="Arial"/>
                <w:sz w:val="18"/>
                <w:szCs w:val="18"/>
                <w:color w:val="auto"/>
              </w:rPr>
              <w:t>ABL FILO term loan ($28,500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3/31/2017</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L + 9.25%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11.58%</w:t>
            </w:r>
          </w:p>
        </w:tc>
        <w:tc>
          <w:tcPr>
            <w:tcW w:w="860" w:type="dxa"/>
            <w:vAlign w:val="bottom"/>
          </w:tcPr>
          <w:p>
            <w:pPr>
              <w:jc w:val="right"/>
              <w:spacing w:after="0"/>
              <w:rPr>
                <w:sz w:val="20"/>
                <w:szCs w:val="20"/>
                <w:color w:val="auto"/>
              </w:rPr>
            </w:pPr>
            <w:r>
              <w:rPr>
                <w:rFonts w:ascii="Arial" w:cs="Arial" w:eastAsia="Arial" w:hAnsi="Arial"/>
                <w:sz w:val="18"/>
                <w:szCs w:val="18"/>
                <w:color w:val="auto"/>
              </w:rPr>
              <w:t>28,232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29,070</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par, due 6/2019)</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PayLess Inc. </w:t>
            </w:r>
            <w:r>
              <w:rPr>
                <w:rFonts w:ascii="Arial" w:cs="Arial" w:eastAsia="Arial" w:hAnsi="Arial"/>
                <w:sz w:val="15"/>
                <w:szCs w:val="15"/>
                <w:color w:val="auto"/>
              </w:rPr>
              <w:t>(3)(5)</w:t>
            </w: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ABL FILO term loan ($14,813</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3/1/2018</w:t>
            </w:r>
          </w:p>
        </w:tc>
        <w:tc>
          <w:tcPr>
            <w:tcW w:w="12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+ 8.00%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10.00%</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14,511</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30"/>
        </w:trPr>
        <w:tc>
          <w:tcPr>
            <w:tcW w:w="2580" w:type="dxa"/>
            <w:vAlign w:val="bottom"/>
            <w:shd w:val="clear" w:color="auto" w:fill="CFF0FC"/>
          </w:tcPr>
          <w:p>
            <w:pPr>
              <w:spacing w:after="0"/>
              <w:rPr>
                <w:sz w:val="20"/>
                <w:szCs w:val="20"/>
                <w:color w:val="auto"/>
              </w:rPr>
            </w:pP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par, due 8/2022)</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80" w:type="dxa"/>
            <w:vAlign w:val="bottom"/>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(3)(4)(11)</w:t>
            </w:r>
          </w:p>
        </w:tc>
        <w:tc>
          <w:tcPr>
            <w:tcW w:w="2600" w:type="dxa"/>
            <w:vAlign w:val="bottom"/>
          </w:tcPr>
          <w:p>
            <w:pPr>
              <w:ind w:left="60"/>
              <w:spacing w:after="0"/>
              <w:rPr>
                <w:sz w:val="20"/>
                <w:szCs w:val="20"/>
                <w:color w:val="auto"/>
              </w:rPr>
            </w:pPr>
            <w:r>
              <w:rPr>
                <w:rFonts w:ascii="Arial" w:cs="Arial" w:eastAsia="Arial" w:hAnsi="Arial"/>
                <w:sz w:val="18"/>
                <w:szCs w:val="18"/>
                <w:color w:val="auto"/>
                <w:w w:val="97"/>
              </w:rPr>
              <w:t>First-lien ABL loan ($17,296 par,</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3/18/2016</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L + 7.50%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860" w:type="dxa"/>
            <w:vAlign w:val="bottom"/>
          </w:tcPr>
          <w:p>
            <w:pPr>
              <w:jc w:val="right"/>
              <w:spacing w:after="0"/>
              <w:rPr>
                <w:sz w:val="20"/>
                <w:szCs w:val="20"/>
                <w:color w:val="auto"/>
              </w:rPr>
            </w:pPr>
            <w:r>
              <w:rPr>
                <w:rFonts w:ascii="Arial" w:cs="Arial" w:eastAsia="Arial" w:hAnsi="Arial"/>
                <w:sz w:val="18"/>
                <w:szCs w:val="18"/>
                <w:color w:val="auto"/>
              </w:rPr>
              <w:t>17,021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17,448</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30"/>
        </w:trPr>
        <w:tc>
          <w:tcPr>
            <w:tcW w:w="2580" w:type="dxa"/>
            <w:vAlign w:val="bottom"/>
            <w:tcBorders>
              <w:bottom w:val="single" w:sz="8" w:color="CFF0FC"/>
            </w:tcBorders>
          </w:tcPr>
          <w:p>
            <w:pPr>
              <w:spacing w:after="0"/>
              <w:rPr>
                <w:sz w:val="20"/>
                <w:szCs w:val="20"/>
                <w:color w:val="auto"/>
              </w:rPr>
            </w:pPr>
          </w:p>
        </w:tc>
        <w:tc>
          <w:tcPr>
            <w:tcW w:w="2600" w:type="dxa"/>
            <w:vAlign w:val="bottom"/>
            <w:tcBorders>
              <w:bottom w:val="single" w:sz="8" w:color="CFF0FC"/>
            </w:tcBorders>
          </w:tcPr>
          <w:p>
            <w:pPr>
              <w:ind w:left="60"/>
              <w:spacing w:after="0"/>
              <w:rPr>
                <w:sz w:val="20"/>
                <w:szCs w:val="20"/>
                <w:color w:val="auto"/>
              </w:rPr>
            </w:pPr>
            <w:r>
              <w:rPr>
                <w:rFonts w:ascii="Arial" w:cs="Arial" w:eastAsia="Arial" w:hAnsi="Arial"/>
                <w:sz w:val="18"/>
                <w:szCs w:val="18"/>
                <w:color w:val="auto"/>
              </w:rPr>
              <w:t>due 7/2020)</w:t>
            </w:r>
          </w:p>
        </w:tc>
        <w:tc>
          <w:tcPr>
            <w:tcW w:w="102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8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107,084</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108,802</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b w:val="1"/>
                <w:bCs w:val="1"/>
                <w:color w:val="auto"/>
              </w:rPr>
              <w:t>Transportation</w:t>
            </w:r>
          </w:p>
        </w:tc>
        <w:tc>
          <w:tcPr>
            <w:tcW w:w="2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Ferrellgas, L.P. </w:t>
            </w:r>
            <w:r>
              <w:rPr>
                <w:rFonts w:ascii="Arial" w:cs="Arial" w:eastAsia="Arial" w:hAnsi="Arial"/>
                <w:sz w:val="15"/>
                <w:szCs w:val="15"/>
                <w:color w:val="auto"/>
              </w:rPr>
              <w:t>(3)(4)(5)</w:t>
            </w: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8"/>
              </w:rPr>
              <w:t>First-lien loan ($82,500 par, due</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5/4/2018</w:t>
            </w:r>
          </w:p>
        </w:tc>
        <w:tc>
          <w:tcPr>
            <w:tcW w:w="12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+ 5.75%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7.86%</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80,876</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82,781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r>
      <w:tr>
        <w:trPr>
          <w:trHeight w:val="230"/>
        </w:trPr>
        <w:tc>
          <w:tcPr>
            <w:tcW w:w="2580" w:type="dxa"/>
            <w:vAlign w:val="bottom"/>
            <w:shd w:val="clear" w:color="auto" w:fill="CFF0FC"/>
          </w:tcPr>
          <w:p>
            <w:pPr>
              <w:spacing w:after="0"/>
              <w:rPr>
                <w:sz w:val="20"/>
                <w:szCs w:val="20"/>
                <w:color w:val="auto"/>
              </w:rPr>
            </w:pPr>
          </w:p>
        </w:tc>
        <w:tc>
          <w:tcPr>
            <w:tcW w:w="2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5/2023)</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580" w:type="dxa"/>
            <w:vAlign w:val="bottom"/>
            <w:tcBorders>
              <w:bottom w:val="single" w:sz="8" w:color="CFF0FC"/>
            </w:tcBorders>
          </w:tcPr>
          <w:p>
            <w:pPr>
              <w:spacing w:after="0"/>
              <w:rPr>
                <w:sz w:val="19"/>
                <w:szCs w:val="19"/>
                <w:color w:val="auto"/>
              </w:rPr>
            </w:pPr>
          </w:p>
        </w:tc>
        <w:tc>
          <w:tcPr>
            <w:tcW w:w="260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Debt Investments</w:t>
            </w:r>
          </w:p>
        </w:tc>
        <w:tc>
          <w:tcPr>
            <w:tcW w:w="26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1,880,828</w:t>
            </w:r>
          </w:p>
        </w:tc>
        <w:tc>
          <w:tcPr>
            <w:tcW w:w="2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1,894,964</w:t>
            </w:r>
          </w:p>
        </w:tc>
        <w:tc>
          <w:tcPr>
            <w:tcW w:w="2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426"/>
        </w:trPr>
        <w:tc>
          <w:tcPr>
            <w:tcW w:w="2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58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3"/>
        </w:trPr>
        <w:tc>
          <w:tcPr>
            <w:tcW w:w="2660" w:type="dxa"/>
            <w:vAlign w:val="bottom"/>
          </w:tcPr>
          <w:p>
            <w:pPr>
              <w:spacing w:after="0"/>
              <w:rPr>
                <w:sz w:val="20"/>
                <w:szCs w:val="20"/>
                <w:color w:val="auto"/>
              </w:rPr>
            </w:pPr>
            <w:r>
              <w:rPr>
                <w:rFonts w:ascii="Arial" w:cs="Arial" w:eastAsia="Arial" w:hAnsi="Arial"/>
                <w:sz w:val="18"/>
                <w:szCs w:val="18"/>
                <w:b w:val="1"/>
                <w:bCs w:val="1"/>
                <w:color w:val="auto"/>
              </w:rPr>
              <w:t>Equity and Other Investments</w:t>
            </w:r>
          </w:p>
        </w:tc>
        <w:tc>
          <w:tcPr>
            <w:tcW w:w="27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Beverage, food and tobacco</w:t>
            </w:r>
          </w:p>
        </w:tc>
        <w:tc>
          <w:tcPr>
            <w:tcW w:w="2780" w:type="dxa"/>
            <w:vAlign w:val="bottom"/>
            <w:shd w:val="clear" w:color="auto" w:fill="CFF0FC"/>
          </w:tcPr>
          <w:p>
            <w:pPr>
              <w:spacing w:after="0"/>
              <w:rPr>
                <w:sz w:val="19"/>
                <w:szCs w:val="19"/>
                <w:color w:val="auto"/>
              </w:rPr>
            </w:pPr>
          </w:p>
        </w:tc>
        <w:tc>
          <w:tcPr>
            <w:tcW w:w="3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(7)(13)(14)</w:t>
            </w:r>
          </w:p>
        </w:tc>
        <w:tc>
          <w:tcPr>
            <w:tcW w:w="2780" w:type="dxa"/>
            <w:vAlign w:val="bottom"/>
          </w:tcPr>
          <w:p>
            <w:pPr>
              <w:ind w:left="100"/>
              <w:spacing w:after="0"/>
              <w:rPr>
                <w:sz w:val="20"/>
                <w:szCs w:val="20"/>
                <w:color w:val="auto"/>
              </w:rPr>
            </w:pPr>
            <w:r>
              <w:rPr>
                <w:rFonts w:ascii="Arial" w:cs="Arial" w:eastAsia="Arial" w:hAnsi="Arial"/>
                <w:sz w:val="18"/>
                <w:szCs w:val="18"/>
                <w:color w:val="auto"/>
              </w:rPr>
              <w:t>Class A Preferred Units (128,000</w:t>
            </w:r>
          </w:p>
        </w:tc>
        <w:tc>
          <w:tcPr>
            <w:tcW w:w="3100" w:type="dxa"/>
            <w:vAlign w:val="bottom"/>
          </w:tcPr>
          <w:p>
            <w:pPr>
              <w:jc w:val="right"/>
              <w:ind w:right="2130"/>
              <w:spacing w:after="0"/>
              <w:rPr>
                <w:sz w:val="20"/>
                <w:szCs w:val="20"/>
                <w:color w:val="auto"/>
              </w:rPr>
            </w:pPr>
            <w:r>
              <w:rPr>
                <w:rFonts w:ascii="Arial" w:cs="Arial" w:eastAsia="Arial" w:hAnsi="Arial"/>
                <w:sz w:val="18"/>
                <w:szCs w:val="18"/>
                <w:color w:val="auto"/>
              </w:rPr>
              <w:t>6/30/2017</w:t>
            </w:r>
          </w:p>
        </w:tc>
        <w:tc>
          <w:tcPr>
            <w:tcW w:w="780" w:type="dxa"/>
            <w:vAlign w:val="bottom"/>
          </w:tcPr>
          <w:p>
            <w:pPr>
              <w:jc w:val="right"/>
              <w:spacing w:after="0"/>
              <w:rPr>
                <w:sz w:val="20"/>
                <w:szCs w:val="20"/>
                <w:color w:val="auto"/>
              </w:rPr>
            </w:pPr>
            <w:r>
              <w:rPr>
                <w:rFonts w:ascii="Arial" w:cs="Arial" w:eastAsia="Arial" w:hAnsi="Arial"/>
                <w:sz w:val="18"/>
                <w:szCs w:val="18"/>
                <w:color w:val="auto"/>
              </w:rPr>
              <w:t>12,800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15,680</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units)</w:t>
            </w:r>
          </w:p>
        </w:tc>
        <w:tc>
          <w:tcPr>
            <w:tcW w:w="3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60" w:type="dxa"/>
            <w:vAlign w:val="bottom"/>
            <w:shd w:val="clear" w:color="auto" w:fill="CFF0FC"/>
          </w:tcPr>
          <w:p>
            <w:pPr>
              <w:spacing w:after="0"/>
              <w:rPr>
                <w:sz w:val="18"/>
                <w:szCs w:val="18"/>
                <w:color w:val="auto"/>
              </w:rPr>
            </w:pPr>
          </w:p>
        </w:tc>
        <w:tc>
          <w:tcPr>
            <w:tcW w:w="2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Class B Common Units (90,000</w:t>
            </w:r>
          </w:p>
        </w:tc>
        <w:tc>
          <w:tcPr>
            <w:tcW w:w="310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rPr>
              <w:t>6/30/2017</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5,008</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30"/>
        </w:trPr>
        <w:tc>
          <w:tcPr>
            <w:tcW w:w="2660" w:type="dxa"/>
            <w:vAlign w:val="bottom"/>
            <w:shd w:val="clear" w:color="auto" w:fill="CFF0FC"/>
          </w:tcPr>
          <w:p>
            <w:pPr>
              <w:spacing w:after="0"/>
              <w:rPr>
                <w:sz w:val="20"/>
                <w:szCs w:val="20"/>
                <w:color w:val="auto"/>
              </w:rPr>
            </w:pPr>
          </w:p>
        </w:tc>
        <w:tc>
          <w:tcPr>
            <w:tcW w:w="2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units)</w:t>
            </w:r>
          </w:p>
        </w:tc>
        <w:tc>
          <w:tcPr>
            <w:tcW w:w="310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6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12,802</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20,688</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223"/>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Business Services</w:t>
            </w:r>
          </w:p>
        </w:tc>
        <w:tc>
          <w:tcPr>
            <w:tcW w:w="2780" w:type="dxa"/>
            <w:vAlign w:val="bottom"/>
            <w:tcBorders>
              <w:top w:val="single" w:sz="8" w:color="CFF0FC"/>
            </w:tcBorders>
            <w:shd w:val="clear" w:color="auto" w:fill="CFF0FC"/>
          </w:tcPr>
          <w:p>
            <w:pPr>
              <w:spacing w:after="0"/>
              <w:rPr>
                <w:sz w:val="19"/>
                <w:szCs w:val="19"/>
                <w:color w:val="auto"/>
              </w:rPr>
            </w:pPr>
          </w:p>
        </w:tc>
        <w:tc>
          <w:tcPr>
            <w:tcW w:w="3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(13)(14)</w:t>
            </w:r>
          </w:p>
        </w:tc>
        <w:tc>
          <w:tcPr>
            <w:tcW w:w="2780" w:type="dxa"/>
            <w:vAlign w:val="bottom"/>
          </w:tcPr>
          <w:p>
            <w:pPr>
              <w:ind w:left="100"/>
              <w:spacing w:after="0"/>
              <w:rPr>
                <w:sz w:val="20"/>
                <w:szCs w:val="20"/>
                <w:color w:val="auto"/>
              </w:rPr>
            </w:pPr>
            <w:r>
              <w:rPr>
                <w:rFonts w:ascii="Arial" w:cs="Arial" w:eastAsia="Arial" w:hAnsi="Arial"/>
                <w:sz w:val="18"/>
                <w:szCs w:val="18"/>
                <w:color w:val="auto"/>
              </w:rPr>
              <w:t>Class A Units (1,262 units)</w:t>
            </w:r>
          </w:p>
        </w:tc>
        <w:tc>
          <w:tcPr>
            <w:tcW w:w="3100" w:type="dxa"/>
            <w:vAlign w:val="bottom"/>
          </w:tcPr>
          <w:p>
            <w:pPr>
              <w:jc w:val="right"/>
              <w:ind w:right="2130"/>
              <w:spacing w:after="0"/>
              <w:rPr>
                <w:sz w:val="20"/>
                <w:szCs w:val="20"/>
                <w:color w:val="auto"/>
              </w:rPr>
            </w:pPr>
            <w:r>
              <w:rPr>
                <w:rFonts w:ascii="Arial" w:cs="Arial" w:eastAsia="Arial" w:hAnsi="Arial"/>
                <w:sz w:val="18"/>
                <w:szCs w:val="18"/>
                <w:color w:val="auto"/>
              </w:rPr>
              <w:t>1/17/2018</w:t>
            </w:r>
          </w:p>
        </w:tc>
        <w:tc>
          <w:tcPr>
            <w:tcW w:w="780" w:type="dxa"/>
            <w:vAlign w:val="bottom"/>
          </w:tcPr>
          <w:p>
            <w:pPr>
              <w:jc w:val="right"/>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30"/>
        </w:trPr>
        <w:tc>
          <w:tcPr>
            <w:tcW w:w="2660" w:type="dxa"/>
            <w:vAlign w:val="bottom"/>
            <w:shd w:val="clear" w:color="auto" w:fill="CFF0FC"/>
          </w:tcPr>
          <w:p>
            <w:pPr>
              <w:spacing w:after="0"/>
              <w:rPr>
                <w:sz w:val="19"/>
                <w:szCs w:val="19"/>
                <w:color w:val="auto"/>
              </w:rPr>
            </w:pPr>
          </w:p>
        </w:tc>
        <w:tc>
          <w:tcPr>
            <w:tcW w:w="2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Class B Units (517,020 units)</w:t>
            </w:r>
          </w:p>
        </w:tc>
        <w:tc>
          <w:tcPr>
            <w:tcW w:w="310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rPr>
              <w:t>1/17/2018</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 xml:space="preserve">Nintex Global Limited </w:t>
            </w:r>
            <w:r>
              <w:rPr>
                <w:rFonts w:ascii="Arial" w:cs="Arial" w:eastAsia="Arial" w:hAnsi="Arial"/>
                <w:sz w:val="15"/>
                <w:szCs w:val="15"/>
                <w:color w:val="auto"/>
              </w:rPr>
              <w:t>(13)(14)</w:t>
            </w:r>
          </w:p>
        </w:tc>
        <w:tc>
          <w:tcPr>
            <w:tcW w:w="2780" w:type="dxa"/>
            <w:vAlign w:val="bottom"/>
          </w:tcPr>
          <w:p>
            <w:pPr>
              <w:ind w:left="100"/>
              <w:spacing w:after="0"/>
              <w:rPr>
                <w:sz w:val="20"/>
                <w:szCs w:val="20"/>
                <w:color w:val="auto"/>
              </w:rPr>
            </w:pPr>
            <w:r>
              <w:rPr>
                <w:rFonts w:ascii="Arial" w:cs="Arial" w:eastAsia="Arial" w:hAnsi="Arial"/>
                <w:sz w:val="18"/>
                <w:szCs w:val="18"/>
                <w:color w:val="auto"/>
              </w:rPr>
              <w:t>Class A Shares (1,197 shares)</w:t>
            </w:r>
          </w:p>
        </w:tc>
        <w:tc>
          <w:tcPr>
            <w:tcW w:w="3100" w:type="dxa"/>
            <w:vAlign w:val="bottom"/>
          </w:tcPr>
          <w:p>
            <w:pPr>
              <w:jc w:val="right"/>
              <w:ind w:right="2130"/>
              <w:spacing w:after="0"/>
              <w:rPr>
                <w:sz w:val="20"/>
                <w:szCs w:val="20"/>
                <w:color w:val="auto"/>
              </w:rPr>
            </w:pPr>
            <w:r>
              <w:rPr>
                <w:rFonts w:ascii="Arial" w:cs="Arial" w:eastAsia="Arial" w:hAnsi="Arial"/>
                <w:sz w:val="18"/>
                <w:szCs w:val="18"/>
                <w:color w:val="auto"/>
              </w:rPr>
              <w:t>3/30/2018</w:t>
            </w:r>
          </w:p>
        </w:tc>
        <w:tc>
          <w:tcPr>
            <w:tcW w:w="780" w:type="dxa"/>
            <w:vAlign w:val="bottom"/>
          </w:tcPr>
          <w:p>
            <w:pPr>
              <w:jc w:val="right"/>
              <w:spacing w:after="0"/>
              <w:rPr>
                <w:sz w:val="20"/>
                <w:szCs w:val="20"/>
                <w:color w:val="auto"/>
              </w:rPr>
            </w:pPr>
            <w:r>
              <w:rPr>
                <w:rFonts w:ascii="Arial" w:cs="Arial" w:eastAsia="Arial" w:hAnsi="Arial"/>
                <w:sz w:val="18"/>
                <w:szCs w:val="18"/>
                <w:color w:val="auto"/>
              </w:rPr>
              <w:t>1,197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1,197</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30"/>
        </w:trPr>
        <w:tc>
          <w:tcPr>
            <w:tcW w:w="2660" w:type="dxa"/>
            <w:vAlign w:val="bottom"/>
            <w:shd w:val="clear" w:color="auto" w:fill="CFF0FC"/>
          </w:tcPr>
          <w:p>
            <w:pPr>
              <w:spacing w:after="0"/>
              <w:rPr>
                <w:sz w:val="19"/>
                <w:szCs w:val="19"/>
                <w:color w:val="auto"/>
              </w:rPr>
            </w:pPr>
          </w:p>
        </w:tc>
        <w:tc>
          <w:tcPr>
            <w:tcW w:w="2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Class B Shares (398,557 shares)</w:t>
            </w:r>
          </w:p>
        </w:tc>
        <w:tc>
          <w:tcPr>
            <w:tcW w:w="310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rPr>
              <w:t>3/30/2018</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(13)(14)</w:t>
            </w:r>
          </w:p>
        </w:tc>
        <w:tc>
          <w:tcPr>
            <w:tcW w:w="2780" w:type="dxa"/>
            <w:vAlign w:val="bottom"/>
          </w:tcPr>
          <w:p>
            <w:pPr>
              <w:ind w:left="100"/>
              <w:spacing w:after="0"/>
              <w:rPr>
                <w:sz w:val="20"/>
                <w:szCs w:val="20"/>
                <w:color w:val="auto"/>
              </w:rPr>
            </w:pPr>
            <w:r>
              <w:rPr>
                <w:rFonts w:ascii="Arial" w:cs="Arial" w:eastAsia="Arial" w:hAnsi="Arial"/>
                <w:sz w:val="18"/>
                <w:szCs w:val="18"/>
                <w:color w:val="auto"/>
                <w:w w:val="95"/>
              </w:rPr>
              <w:t>Preferred Class A Units (990 units)</w:t>
            </w:r>
          </w:p>
        </w:tc>
        <w:tc>
          <w:tcPr>
            <w:tcW w:w="3100" w:type="dxa"/>
            <w:vAlign w:val="bottom"/>
          </w:tcPr>
          <w:p>
            <w:pPr>
              <w:jc w:val="right"/>
              <w:ind w:right="2130"/>
              <w:spacing w:after="0"/>
              <w:rPr>
                <w:sz w:val="20"/>
                <w:szCs w:val="20"/>
                <w:color w:val="auto"/>
              </w:rPr>
            </w:pPr>
            <w:r>
              <w:rPr>
                <w:rFonts w:ascii="Arial" w:cs="Arial" w:eastAsia="Arial" w:hAnsi="Arial"/>
                <w:sz w:val="18"/>
                <w:szCs w:val="18"/>
                <w:color w:val="auto"/>
              </w:rPr>
              <w:t>6/30/2017</w:t>
            </w:r>
          </w:p>
        </w:tc>
        <w:tc>
          <w:tcPr>
            <w:tcW w:w="780" w:type="dxa"/>
            <w:vAlign w:val="bottom"/>
          </w:tcPr>
          <w:p>
            <w:pPr>
              <w:jc w:val="right"/>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15"/>
        </w:trPr>
        <w:tc>
          <w:tcPr>
            <w:tcW w:w="2660" w:type="dxa"/>
            <w:vAlign w:val="bottom"/>
            <w:shd w:val="clear" w:color="auto" w:fill="CFF0FC"/>
          </w:tcPr>
          <w:p>
            <w:pPr>
              <w:spacing w:after="0"/>
              <w:rPr>
                <w:sz w:val="18"/>
                <w:szCs w:val="18"/>
                <w:color w:val="auto"/>
              </w:rPr>
            </w:pPr>
          </w:p>
        </w:tc>
        <w:tc>
          <w:tcPr>
            <w:tcW w:w="2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Common Class B Units (959,018</w:t>
            </w:r>
          </w:p>
        </w:tc>
        <w:tc>
          <w:tcPr>
            <w:tcW w:w="310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rPr>
              <w:t>6/30/2017</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30"/>
        </w:trPr>
        <w:tc>
          <w:tcPr>
            <w:tcW w:w="2660" w:type="dxa"/>
            <w:vAlign w:val="bottom"/>
            <w:shd w:val="clear" w:color="auto" w:fill="CFF0FC"/>
          </w:tcPr>
          <w:p>
            <w:pPr>
              <w:spacing w:after="0"/>
              <w:rPr>
                <w:sz w:val="20"/>
                <w:szCs w:val="20"/>
                <w:color w:val="auto"/>
              </w:rPr>
            </w:pPr>
          </w:p>
        </w:tc>
        <w:tc>
          <w:tcPr>
            <w:tcW w:w="2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units)</w:t>
            </w:r>
          </w:p>
        </w:tc>
        <w:tc>
          <w:tcPr>
            <w:tcW w:w="3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8"/>
                <w:szCs w:val="18"/>
                <w:color w:val="auto"/>
              </w:rPr>
              <w:t xml:space="preserve">Validity, Inc. </w:t>
            </w:r>
            <w:r>
              <w:rPr>
                <w:rFonts w:ascii="Arial" w:cs="Arial" w:eastAsia="Arial" w:hAnsi="Arial"/>
                <w:sz w:val="15"/>
                <w:szCs w:val="15"/>
                <w:color w:val="auto"/>
              </w:rPr>
              <w:t>(6)(13)(14)</w:t>
            </w:r>
          </w:p>
        </w:tc>
        <w:tc>
          <w:tcPr>
            <w:tcW w:w="2780" w:type="dxa"/>
            <w:vAlign w:val="bottom"/>
          </w:tcPr>
          <w:p>
            <w:pPr>
              <w:ind w:left="100"/>
              <w:spacing w:after="0"/>
              <w:rPr>
                <w:sz w:val="20"/>
                <w:szCs w:val="20"/>
                <w:color w:val="auto"/>
              </w:rPr>
            </w:pPr>
            <w:r>
              <w:rPr>
                <w:rFonts w:ascii="Arial" w:cs="Arial" w:eastAsia="Arial" w:hAnsi="Arial"/>
                <w:sz w:val="18"/>
                <w:szCs w:val="18"/>
                <w:color w:val="auto"/>
              </w:rPr>
              <w:t>Series A Preferred Shares</w:t>
            </w:r>
          </w:p>
        </w:tc>
        <w:tc>
          <w:tcPr>
            <w:tcW w:w="3100" w:type="dxa"/>
            <w:vAlign w:val="bottom"/>
          </w:tcPr>
          <w:p>
            <w:pPr>
              <w:jc w:val="right"/>
              <w:ind w:right="2130"/>
              <w:spacing w:after="0"/>
              <w:rPr>
                <w:sz w:val="20"/>
                <w:szCs w:val="20"/>
                <w:color w:val="auto"/>
              </w:rPr>
            </w:pPr>
            <w:r>
              <w:rPr>
                <w:rFonts w:ascii="Arial" w:cs="Arial" w:eastAsia="Arial" w:hAnsi="Arial"/>
                <w:sz w:val="18"/>
                <w:szCs w:val="18"/>
                <w:color w:val="auto"/>
              </w:rPr>
              <w:t>5/31/2018</w:t>
            </w:r>
          </w:p>
        </w:tc>
        <w:tc>
          <w:tcPr>
            <w:tcW w:w="780" w:type="dxa"/>
            <w:vAlign w:val="bottom"/>
          </w:tcPr>
          <w:p>
            <w:pPr>
              <w:jc w:val="right"/>
              <w:spacing w:after="0"/>
              <w:rPr>
                <w:sz w:val="20"/>
                <w:szCs w:val="20"/>
                <w:color w:val="auto"/>
              </w:rPr>
            </w:pPr>
            <w:r>
              <w:rPr>
                <w:rFonts w:ascii="Arial" w:cs="Arial" w:eastAsia="Arial" w:hAnsi="Arial"/>
                <w:sz w:val="18"/>
                <w:szCs w:val="18"/>
                <w:color w:val="auto"/>
              </w:rPr>
              <w:t>3,840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3,840</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30"/>
        </w:trPr>
        <w:tc>
          <w:tcPr>
            <w:tcW w:w="2660" w:type="dxa"/>
            <w:vAlign w:val="bottom"/>
            <w:tcBorders>
              <w:bottom w:val="single" w:sz="8" w:color="CFF0FC"/>
            </w:tcBorders>
          </w:tcPr>
          <w:p>
            <w:pPr>
              <w:spacing w:after="0"/>
              <w:rPr>
                <w:sz w:val="20"/>
                <w:szCs w:val="20"/>
                <w:color w:val="auto"/>
              </w:rPr>
            </w:pPr>
          </w:p>
        </w:tc>
        <w:tc>
          <w:tcPr>
            <w:tcW w:w="278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(3,840,000 shares)</w:t>
            </w:r>
          </w:p>
        </w:tc>
        <w:tc>
          <w:tcPr>
            <w:tcW w:w="310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66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3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7,311</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7,311</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8"/>
                <w:szCs w:val="18"/>
                <w:b w:val="1"/>
                <w:bCs w:val="1"/>
                <w:color w:val="auto"/>
              </w:rPr>
              <w:t>Chemicals</w:t>
            </w:r>
          </w:p>
        </w:tc>
        <w:tc>
          <w:tcPr>
            <w:tcW w:w="27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(13)</w:t>
            </w:r>
          </w:p>
        </w:tc>
        <w:tc>
          <w:tcPr>
            <w:tcW w:w="2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Common Units (2,672,990 units)</w:t>
            </w:r>
          </w:p>
        </w:tc>
        <w:tc>
          <w:tcPr>
            <w:tcW w:w="310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w w:val="95"/>
              </w:rPr>
              <w:t>10/31/2016</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b w:val="1"/>
                <w:bCs w:val="1"/>
                <w:color w:val="auto"/>
              </w:rPr>
              <w:t>Financial services</w:t>
            </w:r>
          </w:p>
        </w:tc>
        <w:tc>
          <w:tcPr>
            <w:tcW w:w="27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(13)</w:t>
            </w:r>
          </w:p>
        </w:tc>
        <w:tc>
          <w:tcPr>
            <w:tcW w:w="27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2"/>
              </w:rPr>
              <w:t>Series E Preferred Shares (214,132</w:t>
            </w:r>
          </w:p>
        </w:tc>
        <w:tc>
          <w:tcPr>
            <w:tcW w:w="310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rPr>
              <w:t>8/7/2015</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r>
      <w:tr>
        <w:trPr>
          <w:trHeight w:val="230"/>
        </w:trPr>
        <w:tc>
          <w:tcPr>
            <w:tcW w:w="2660" w:type="dxa"/>
            <w:vAlign w:val="bottom"/>
            <w:shd w:val="clear" w:color="auto" w:fill="CFF0FC"/>
          </w:tcPr>
          <w:p>
            <w:pPr>
              <w:spacing w:after="0"/>
              <w:rPr>
                <w:sz w:val="20"/>
                <w:szCs w:val="20"/>
                <w:color w:val="auto"/>
              </w:rPr>
            </w:pPr>
          </w:p>
        </w:tc>
        <w:tc>
          <w:tcPr>
            <w:tcW w:w="2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shares)</w:t>
            </w:r>
          </w:p>
        </w:tc>
        <w:tc>
          <w:tcPr>
            <w:tcW w:w="3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(13)(14)</w:t>
            </w:r>
          </w:p>
        </w:tc>
        <w:tc>
          <w:tcPr>
            <w:tcW w:w="2780" w:type="dxa"/>
            <w:vAlign w:val="bottom"/>
          </w:tcPr>
          <w:p>
            <w:pPr>
              <w:ind w:left="100"/>
              <w:spacing w:after="0"/>
              <w:rPr>
                <w:sz w:val="20"/>
                <w:szCs w:val="20"/>
                <w:color w:val="auto"/>
              </w:rPr>
            </w:pPr>
            <w:r>
              <w:rPr>
                <w:rFonts w:ascii="Arial" w:cs="Arial" w:eastAsia="Arial" w:hAnsi="Arial"/>
                <w:sz w:val="18"/>
                <w:szCs w:val="18"/>
                <w:color w:val="auto"/>
                <w:w w:val="99"/>
              </w:rPr>
              <w:t>Common Shares (35,000 shares)</w:t>
            </w:r>
          </w:p>
        </w:tc>
        <w:tc>
          <w:tcPr>
            <w:tcW w:w="3100" w:type="dxa"/>
            <w:vAlign w:val="bottom"/>
          </w:tcPr>
          <w:p>
            <w:pPr>
              <w:jc w:val="right"/>
              <w:ind w:right="2130"/>
              <w:spacing w:after="0"/>
              <w:rPr>
                <w:sz w:val="20"/>
                <w:szCs w:val="20"/>
                <w:color w:val="auto"/>
              </w:rPr>
            </w:pPr>
            <w:r>
              <w:rPr>
                <w:rFonts w:ascii="Arial" w:cs="Arial" w:eastAsia="Arial" w:hAnsi="Arial"/>
                <w:sz w:val="18"/>
                <w:szCs w:val="18"/>
                <w:color w:val="auto"/>
              </w:rPr>
              <w:t>7/31/2017</w:t>
            </w:r>
          </w:p>
        </w:tc>
        <w:tc>
          <w:tcPr>
            <w:tcW w:w="780" w:type="dxa"/>
            <w:vAlign w:val="bottom"/>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7,096</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w w:val="95"/>
              </w:rPr>
              <w:t xml:space="preserve">Oxford Square Capital Corp. </w:t>
            </w:r>
            <w:r>
              <w:rPr>
                <w:rFonts w:ascii="Arial" w:cs="Arial" w:eastAsia="Arial" w:hAnsi="Arial"/>
                <w:sz w:val="15"/>
                <w:szCs w:val="15"/>
                <w:color w:val="auto"/>
                <w:w w:val="95"/>
              </w:rPr>
              <w:t>(4)(12)</w:t>
            </w:r>
          </w:p>
        </w:tc>
        <w:tc>
          <w:tcPr>
            <w:tcW w:w="2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Common Shares (1,059 shares)</w:t>
            </w:r>
          </w:p>
        </w:tc>
        <w:tc>
          <w:tcPr>
            <w:tcW w:w="310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rPr>
              <w:t>8/5/2015</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7,353</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14,584</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23"/>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Healthcare</w:t>
            </w:r>
          </w:p>
        </w:tc>
        <w:tc>
          <w:tcPr>
            <w:tcW w:w="2780" w:type="dxa"/>
            <w:vAlign w:val="bottom"/>
            <w:tcBorders>
              <w:top w:val="single" w:sz="8" w:color="CFF0FC"/>
            </w:tcBorders>
            <w:shd w:val="clear" w:color="auto" w:fill="CFF0FC"/>
          </w:tcPr>
          <w:p>
            <w:pPr>
              <w:spacing w:after="0"/>
              <w:rPr>
                <w:sz w:val="19"/>
                <w:szCs w:val="19"/>
                <w:color w:val="auto"/>
              </w:rPr>
            </w:pPr>
          </w:p>
        </w:tc>
        <w:tc>
          <w:tcPr>
            <w:tcW w:w="3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8"/>
                <w:szCs w:val="18"/>
                <w:color w:val="auto"/>
              </w:rPr>
              <w:t xml:space="preserve">SRS Parent Corp. </w:t>
            </w:r>
            <w:r>
              <w:rPr>
                <w:rFonts w:ascii="Arial" w:cs="Arial" w:eastAsia="Arial" w:hAnsi="Arial"/>
                <w:sz w:val="15"/>
                <w:szCs w:val="15"/>
                <w:color w:val="auto"/>
              </w:rPr>
              <w:t>(13)</w:t>
            </w:r>
          </w:p>
        </w:tc>
        <w:tc>
          <w:tcPr>
            <w:tcW w:w="2780" w:type="dxa"/>
            <w:vAlign w:val="bottom"/>
          </w:tcPr>
          <w:p>
            <w:pPr>
              <w:ind w:left="100"/>
              <w:spacing w:after="0"/>
              <w:rPr>
                <w:sz w:val="20"/>
                <w:szCs w:val="20"/>
                <w:color w:val="auto"/>
              </w:rPr>
            </w:pPr>
            <w:r>
              <w:rPr>
                <w:rFonts w:ascii="Arial" w:cs="Arial" w:eastAsia="Arial" w:hAnsi="Arial"/>
                <w:sz w:val="18"/>
                <w:szCs w:val="18"/>
                <w:color w:val="auto"/>
              </w:rPr>
              <w:t>Common Shares Class A</w:t>
            </w:r>
          </w:p>
        </w:tc>
        <w:tc>
          <w:tcPr>
            <w:tcW w:w="3100" w:type="dxa"/>
            <w:vAlign w:val="bottom"/>
          </w:tcPr>
          <w:p>
            <w:pPr>
              <w:jc w:val="right"/>
              <w:ind w:right="2130"/>
              <w:spacing w:after="0"/>
              <w:rPr>
                <w:sz w:val="20"/>
                <w:szCs w:val="20"/>
                <w:color w:val="auto"/>
              </w:rPr>
            </w:pPr>
            <w:r>
              <w:rPr>
                <w:rFonts w:ascii="Arial" w:cs="Arial" w:eastAsia="Arial" w:hAnsi="Arial"/>
                <w:sz w:val="18"/>
                <w:szCs w:val="18"/>
                <w:color w:val="auto"/>
                <w:w w:val="95"/>
              </w:rPr>
              <w:t>12/28/2012</w:t>
            </w:r>
          </w:p>
        </w:tc>
        <w:tc>
          <w:tcPr>
            <w:tcW w:w="780" w:type="dxa"/>
            <w:vAlign w:val="bottom"/>
          </w:tcPr>
          <w:p>
            <w:pPr>
              <w:jc w:val="right"/>
              <w:spacing w:after="0"/>
              <w:rPr>
                <w:sz w:val="20"/>
                <w:szCs w:val="20"/>
                <w:color w:val="auto"/>
              </w:rPr>
            </w:pPr>
            <w:r>
              <w:rPr>
                <w:rFonts w:ascii="Arial" w:cs="Arial" w:eastAsia="Arial" w:hAnsi="Arial"/>
                <w:sz w:val="18"/>
                <w:szCs w:val="18"/>
                <w:color w:val="auto"/>
              </w:rPr>
              <w:t>1,980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1,168</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(1,980 shares)</w:t>
            </w:r>
          </w:p>
        </w:tc>
        <w:tc>
          <w:tcPr>
            <w:tcW w:w="3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60" w:type="dxa"/>
            <w:vAlign w:val="bottom"/>
            <w:shd w:val="clear" w:color="auto" w:fill="CFF0FC"/>
          </w:tcPr>
          <w:p>
            <w:pPr>
              <w:spacing w:after="0"/>
              <w:rPr>
                <w:sz w:val="18"/>
                <w:szCs w:val="18"/>
                <w:color w:val="auto"/>
              </w:rPr>
            </w:pPr>
          </w:p>
        </w:tc>
        <w:tc>
          <w:tcPr>
            <w:tcW w:w="27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0"/>
              </w:rPr>
              <w:t>Common Shares Class B (2,953,020</w:t>
            </w:r>
          </w:p>
        </w:tc>
        <w:tc>
          <w:tcPr>
            <w:tcW w:w="310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w w:val="95"/>
              </w:rPr>
              <w:t>12/28/2012</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30"/>
        </w:trPr>
        <w:tc>
          <w:tcPr>
            <w:tcW w:w="2660" w:type="dxa"/>
            <w:vAlign w:val="bottom"/>
            <w:shd w:val="clear" w:color="auto" w:fill="CFF0FC"/>
          </w:tcPr>
          <w:p>
            <w:pPr>
              <w:spacing w:after="0"/>
              <w:rPr>
                <w:sz w:val="20"/>
                <w:szCs w:val="20"/>
                <w:color w:val="auto"/>
              </w:rPr>
            </w:pPr>
          </w:p>
        </w:tc>
        <w:tc>
          <w:tcPr>
            <w:tcW w:w="2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shares)</w:t>
            </w:r>
          </w:p>
        </w:tc>
        <w:tc>
          <w:tcPr>
            <w:tcW w:w="310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6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1,180</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23"/>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Hotel, gaming, and leisure</w:t>
            </w:r>
          </w:p>
        </w:tc>
        <w:tc>
          <w:tcPr>
            <w:tcW w:w="2780" w:type="dxa"/>
            <w:vAlign w:val="bottom"/>
            <w:tcBorders>
              <w:top w:val="single" w:sz="8" w:color="CFF0FC"/>
            </w:tcBorders>
            <w:shd w:val="clear" w:color="auto" w:fill="CFF0FC"/>
          </w:tcPr>
          <w:p>
            <w:pPr>
              <w:spacing w:after="0"/>
              <w:rPr>
                <w:sz w:val="19"/>
                <w:szCs w:val="19"/>
                <w:color w:val="auto"/>
              </w:rPr>
            </w:pPr>
          </w:p>
        </w:tc>
        <w:tc>
          <w:tcPr>
            <w:tcW w:w="3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(7)(13)</w:t>
            </w:r>
          </w:p>
        </w:tc>
        <w:tc>
          <w:tcPr>
            <w:tcW w:w="2780" w:type="dxa"/>
            <w:vAlign w:val="bottom"/>
          </w:tcPr>
          <w:p>
            <w:pPr>
              <w:ind w:left="100"/>
              <w:spacing w:after="0"/>
              <w:rPr>
                <w:sz w:val="20"/>
                <w:szCs w:val="20"/>
                <w:color w:val="auto"/>
              </w:rPr>
            </w:pPr>
            <w:r>
              <w:rPr>
                <w:rFonts w:ascii="Arial" w:cs="Arial" w:eastAsia="Arial" w:hAnsi="Arial"/>
                <w:sz w:val="18"/>
                <w:szCs w:val="18"/>
                <w:color w:val="auto"/>
              </w:rPr>
              <w:t>Class A Units (5,000,000 units)</w:t>
            </w:r>
          </w:p>
        </w:tc>
        <w:tc>
          <w:tcPr>
            <w:tcW w:w="3100" w:type="dxa"/>
            <w:vAlign w:val="bottom"/>
          </w:tcPr>
          <w:p>
            <w:pPr>
              <w:jc w:val="right"/>
              <w:ind w:right="2130"/>
              <w:spacing w:after="0"/>
              <w:rPr>
                <w:sz w:val="20"/>
                <w:szCs w:val="20"/>
                <w:color w:val="auto"/>
              </w:rPr>
            </w:pPr>
            <w:r>
              <w:rPr>
                <w:rFonts w:ascii="Arial" w:cs="Arial" w:eastAsia="Arial" w:hAnsi="Arial"/>
                <w:sz w:val="18"/>
                <w:szCs w:val="18"/>
                <w:color w:val="auto"/>
              </w:rPr>
              <w:t>9/29/2015</w:t>
            </w:r>
          </w:p>
        </w:tc>
        <w:tc>
          <w:tcPr>
            <w:tcW w:w="780" w:type="dxa"/>
            <w:vAlign w:val="bottom"/>
          </w:tcPr>
          <w:p>
            <w:pPr>
              <w:jc w:val="right"/>
              <w:spacing w:after="0"/>
              <w:rPr>
                <w:sz w:val="20"/>
                <w:szCs w:val="20"/>
                <w:color w:val="auto"/>
              </w:rPr>
            </w:pPr>
            <w:r>
              <w:rPr>
                <w:rFonts w:ascii="Arial" w:cs="Arial" w:eastAsia="Arial" w:hAnsi="Arial"/>
                <w:sz w:val="18"/>
                <w:szCs w:val="18"/>
                <w:color w:val="auto"/>
              </w:rPr>
              <w:t>3,896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30"/>
        </w:trPr>
        <w:tc>
          <w:tcPr>
            <w:tcW w:w="2660" w:type="dxa"/>
            <w:vAlign w:val="bottom"/>
            <w:shd w:val="clear" w:color="auto" w:fill="CFF0FC"/>
          </w:tcPr>
          <w:p>
            <w:pPr>
              <w:spacing w:after="0"/>
              <w:rPr>
                <w:sz w:val="19"/>
                <w:szCs w:val="19"/>
                <w:color w:val="auto"/>
              </w:rPr>
            </w:pPr>
          </w:p>
        </w:tc>
        <w:tc>
          <w:tcPr>
            <w:tcW w:w="2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Class C-1 Units (8,800,000 units)</w:t>
            </w:r>
          </w:p>
        </w:tc>
        <w:tc>
          <w:tcPr>
            <w:tcW w:w="310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rPr>
              <w:t>9/29/2015</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05"/>
        </w:trPr>
        <w:tc>
          <w:tcPr>
            <w:tcW w:w="26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2780" w:type="dxa"/>
            <w:vAlign w:val="bottom"/>
            <w:tcBorders>
              <w:top w:val="single" w:sz="8" w:color="CFF0FC"/>
            </w:tcBorders>
            <w:shd w:val="clear" w:color="auto" w:fill="CFF0FC"/>
          </w:tcPr>
          <w:p>
            <w:pPr>
              <w:spacing w:after="0"/>
              <w:rPr>
                <w:sz w:val="17"/>
                <w:szCs w:val="17"/>
                <w:color w:val="auto"/>
              </w:rPr>
            </w:pPr>
          </w:p>
        </w:tc>
        <w:tc>
          <w:tcPr>
            <w:tcW w:w="31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6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fuels</w:t>
            </w:r>
          </w:p>
        </w:tc>
        <w:tc>
          <w:tcPr>
            <w:tcW w:w="2780" w:type="dxa"/>
            <w:vAlign w:val="bottom"/>
            <w:shd w:val="clear" w:color="auto" w:fill="CFF0FC"/>
          </w:tcPr>
          <w:p>
            <w:pPr>
              <w:spacing w:after="0"/>
              <w:rPr>
                <w:sz w:val="20"/>
                <w:szCs w:val="20"/>
                <w:color w:val="auto"/>
              </w:rPr>
            </w:pPr>
          </w:p>
        </w:tc>
        <w:tc>
          <w:tcPr>
            <w:tcW w:w="3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8"/>
                <w:szCs w:val="18"/>
                <w:color w:val="auto"/>
                <w:w w:val="97"/>
              </w:rPr>
              <w:t xml:space="preserve">Mississippi Resources, LLC </w:t>
            </w:r>
            <w:r>
              <w:rPr>
                <w:rFonts w:ascii="Arial" w:cs="Arial" w:eastAsia="Arial" w:hAnsi="Arial"/>
                <w:sz w:val="15"/>
                <w:szCs w:val="15"/>
                <w:color w:val="auto"/>
                <w:w w:val="97"/>
              </w:rPr>
              <w:t>(7)(13)</w:t>
            </w:r>
          </w:p>
        </w:tc>
        <w:tc>
          <w:tcPr>
            <w:tcW w:w="2780" w:type="dxa"/>
            <w:vAlign w:val="bottom"/>
          </w:tcPr>
          <w:p>
            <w:pPr>
              <w:ind w:left="100"/>
              <w:spacing w:after="0"/>
              <w:rPr>
                <w:sz w:val="20"/>
                <w:szCs w:val="20"/>
                <w:color w:val="auto"/>
              </w:rPr>
            </w:pPr>
            <w:r>
              <w:rPr>
                <w:rFonts w:ascii="Arial" w:cs="Arial" w:eastAsia="Arial" w:hAnsi="Arial"/>
                <w:sz w:val="18"/>
                <w:szCs w:val="18"/>
                <w:color w:val="auto"/>
              </w:rPr>
              <w:t>Class A-1 Member Units (1,360</w:t>
            </w:r>
          </w:p>
        </w:tc>
        <w:tc>
          <w:tcPr>
            <w:tcW w:w="3100" w:type="dxa"/>
            <w:vAlign w:val="bottom"/>
          </w:tcPr>
          <w:p>
            <w:pPr>
              <w:jc w:val="right"/>
              <w:ind w:right="2130"/>
              <w:spacing w:after="0"/>
              <w:rPr>
                <w:sz w:val="20"/>
                <w:szCs w:val="20"/>
                <w:color w:val="auto"/>
              </w:rPr>
            </w:pPr>
            <w:r>
              <w:rPr>
                <w:rFonts w:ascii="Arial" w:cs="Arial" w:eastAsia="Arial" w:hAnsi="Arial"/>
                <w:sz w:val="18"/>
                <w:szCs w:val="18"/>
                <w:color w:val="auto"/>
              </w:rPr>
              <w:t>5/3/2017</w:t>
            </w:r>
          </w:p>
        </w:tc>
        <w:tc>
          <w:tcPr>
            <w:tcW w:w="780" w:type="dxa"/>
            <w:vAlign w:val="bottom"/>
          </w:tcPr>
          <w:p>
            <w:pPr>
              <w:jc w:val="right"/>
              <w:spacing w:after="0"/>
              <w:rPr>
                <w:sz w:val="20"/>
                <w:szCs w:val="20"/>
                <w:color w:val="auto"/>
              </w:rPr>
            </w:pPr>
            <w:r>
              <w:rPr>
                <w:rFonts w:ascii="Arial" w:cs="Arial" w:eastAsia="Arial" w:hAnsi="Arial"/>
                <w:sz w:val="18"/>
                <w:szCs w:val="18"/>
                <w:color w:val="auto"/>
              </w:rPr>
              <w:t>10,366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8,354</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5"/>
                <w:szCs w:val="15"/>
                <w:color w:val="auto"/>
              </w:rPr>
              <w:t>(14)</w:t>
            </w:r>
          </w:p>
        </w:tc>
        <w:tc>
          <w:tcPr>
            <w:tcW w:w="2780" w:type="dxa"/>
            <w:vAlign w:val="bottom"/>
          </w:tcPr>
          <w:p>
            <w:pPr>
              <w:ind w:left="100"/>
              <w:spacing w:after="0"/>
              <w:rPr>
                <w:sz w:val="20"/>
                <w:szCs w:val="20"/>
                <w:color w:val="auto"/>
              </w:rPr>
            </w:pPr>
            <w:r>
              <w:rPr>
                <w:rFonts w:ascii="Arial" w:cs="Arial" w:eastAsia="Arial" w:hAnsi="Arial"/>
                <w:sz w:val="18"/>
                <w:szCs w:val="18"/>
                <w:color w:val="auto"/>
              </w:rPr>
              <w:t>units)</w:t>
            </w:r>
          </w:p>
        </w:tc>
        <w:tc>
          <w:tcPr>
            <w:tcW w:w="3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60" w:type="dxa"/>
            <w:vAlign w:val="bottom"/>
            <w:shd w:val="clear" w:color="auto" w:fill="CFF0FC"/>
          </w:tcPr>
          <w:p>
            <w:pPr>
              <w:spacing w:after="0"/>
              <w:rPr>
                <w:sz w:val="18"/>
                <w:szCs w:val="18"/>
                <w:color w:val="auto"/>
              </w:rPr>
            </w:pPr>
          </w:p>
        </w:tc>
        <w:tc>
          <w:tcPr>
            <w:tcW w:w="2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Class A-2 Member Units (933</w:t>
            </w:r>
          </w:p>
        </w:tc>
        <w:tc>
          <w:tcPr>
            <w:tcW w:w="310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rPr>
              <w:t>6/4/2014</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30"/>
        </w:trPr>
        <w:tc>
          <w:tcPr>
            <w:tcW w:w="2660" w:type="dxa"/>
            <w:vAlign w:val="bottom"/>
            <w:shd w:val="clear" w:color="auto" w:fill="CFF0FC"/>
          </w:tcPr>
          <w:p>
            <w:pPr>
              <w:spacing w:after="0"/>
              <w:rPr>
                <w:sz w:val="20"/>
                <w:szCs w:val="20"/>
                <w:color w:val="auto"/>
              </w:rPr>
            </w:pPr>
          </w:p>
        </w:tc>
        <w:tc>
          <w:tcPr>
            <w:tcW w:w="2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units)</w:t>
            </w:r>
          </w:p>
        </w:tc>
        <w:tc>
          <w:tcPr>
            <w:tcW w:w="3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w w:val="98"/>
              </w:rPr>
              <w:t xml:space="preserve">Northern Oil and Gas, Inc. </w:t>
            </w:r>
            <w:r>
              <w:rPr>
                <w:rFonts w:ascii="Arial" w:cs="Arial" w:eastAsia="Arial" w:hAnsi="Arial"/>
                <w:sz w:val="15"/>
                <w:szCs w:val="15"/>
                <w:color w:val="auto"/>
                <w:w w:val="98"/>
              </w:rPr>
              <w:t>(12)(13)</w:t>
            </w:r>
          </w:p>
        </w:tc>
        <w:tc>
          <w:tcPr>
            <w:tcW w:w="2780" w:type="dxa"/>
            <w:vAlign w:val="bottom"/>
          </w:tcPr>
          <w:p>
            <w:pPr>
              <w:ind w:left="100"/>
              <w:spacing w:after="0"/>
              <w:rPr>
                <w:sz w:val="20"/>
                <w:szCs w:val="20"/>
                <w:color w:val="auto"/>
              </w:rPr>
            </w:pPr>
            <w:r>
              <w:rPr>
                <w:rFonts w:ascii="Arial" w:cs="Arial" w:eastAsia="Arial" w:hAnsi="Arial"/>
                <w:sz w:val="18"/>
                <w:szCs w:val="18"/>
                <w:color w:val="auto"/>
                <w:w w:val="91"/>
              </w:rPr>
              <w:t>Common Shares (1,300,000 shares)</w:t>
            </w:r>
          </w:p>
        </w:tc>
        <w:tc>
          <w:tcPr>
            <w:tcW w:w="3100" w:type="dxa"/>
            <w:vAlign w:val="bottom"/>
          </w:tcPr>
          <w:p>
            <w:pPr>
              <w:jc w:val="right"/>
              <w:ind w:right="2130"/>
              <w:spacing w:after="0"/>
              <w:rPr>
                <w:sz w:val="20"/>
                <w:szCs w:val="20"/>
                <w:color w:val="auto"/>
              </w:rPr>
            </w:pPr>
            <w:r>
              <w:rPr>
                <w:rFonts w:ascii="Arial" w:cs="Arial" w:eastAsia="Arial" w:hAnsi="Arial"/>
                <w:sz w:val="18"/>
                <w:szCs w:val="18"/>
                <w:color w:val="auto"/>
              </w:rPr>
              <w:t>5/15/2018</w:t>
            </w:r>
          </w:p>
        </w:tc>
        <w:tc>
          <w:tcPr>
            <w:tcW w:w="780" w:type="dxa"/>
            <w:vAlign w:val="bottom"/>
          </w:tcPr>
          <w:p>
            <w:pPr>
              <w:jc w:val="right"/>
              <w:spacing w:after="0"/>
              <w:rPr>
                <w:sz w:val="20"/>
                <w:szCs w:val="20"/>
                <w:color w:val="auto"/>
              </w:rPr>
            </w:pPr>
            <w:r>
              <w:rPr>
                <w:rFonts w:ascii="Arial" w:cs="Arial" w:eastAsia="Arial" w:hAnsi="Arial"/>
                <w:sz w:val="18"/>
                <w:szCs w:val="18"/>
                <w:color w:val="auto"/>
              </w:rPr>
              <w:t>1,950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4,095</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6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3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21,190</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12,449</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426"/>
        </w:trPr>
        <w:tc>
          <w:tcPr>
            <w:tcW w:w="26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100" w:type="dxa"/>
            <w:vAlign w:val="bottom"/>
          </w:tcPr>
          <w:p>
            <w:pPr>
              <w:jc w:val="right"/>
              <w:ind w:right="2690"/>
              <w:spacing w:after="0"/>
              <w:rPr>
                <w:sz w:val="20"/>
                <w:szCs w:val="20"/>
                <w:color w:val="auto"/>
              </w:rPr>
            </w:pPr>
            <w:r>
              <w:rPr>
                <w:rFonts w:ascii="Arial" w:cs="Arial" w:eastAsia="Arial" w:hAnsi="Arial"/>
                <w:sz w:val="18"/>
                <w:szCs w:val="18"/>
                <w:color w:val="auto"/>
              </w:rPr>
              <w:t>9</w:t>
            </w: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66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
        </w:trPr>
        <w:tc>
          <w:tcPr>
            <w:tcW w:w="1880" w:type="dxa"/>
            <w:vAlign w:val="bottom"/>
            <w:vMerge w:val="restart"/>
          </w:tcPr>
          <w:p>
            <w:pPr>
              <w:spacing w:after="0"/>
              <w:rPr>
                <w:sz w:val="20"/>
                <w:szCs w:val="20"/>
                <w:color w:val="auto"/>
              </w:rPr>
            </w:pPr>
            <w:r>
              <w:rPr>
                <w:rFonts w:ascii="Arial" w:cs="Arial" w:eastAsia="Arial" w:hAnsi="Arial"/>
                <w:sz w:val="18"/>
                <w:szCs w:val="18"/>
                <w:b w:val="1"/>
                <w:bCs w:val="1"/>
                <w:color w:val="auto"/>
                <w:w w:val="96"/>
              </w:rPr>
              <w:t>Total Equity and Other</w:t>
            </w: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88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58,480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60,118</w:t>
            </w:r>
          </w:p>
        </w:tc>
        <w:tc>
          <w:tcPr>
            <w:tcW w:w="200" w:type="dxa"/>
            <w:vAlign w:val="bottom"/>
          </w:tcPr>
          <w:p>
            <w:pPr>
              <w:spacing w:after="0"/>
              <w:rPr>
                <w:sz w:val="16"/>
                <w:szCs w:val="16"/>
                <w:color w:val="auto"/>
              </w:rPr>
            </w:pPr>
          </w:p>
        </w:tc>
        <w:tc>
          <w:tcPr>
            <w:tcW w:w="920" w:type="dxa"/>
            <w:vAlign w:val="bottom"/>
            <w:gridSpan w:val="3"/>
          </w:tcPr>
          <w:p>
            <w:pPr>
              <w:jc w:val="right"/>
              <w:ind w:right="60"/>
              <w:spacing w:after="0" w:line="191"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4"/>
        </w:trPr>
        <w:tc>
          <w:tcPr>
            <w:tcW w:w="188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Investments</w:t>
            </w:r>
          </w:p>
        </w:tc>
        <w:tc>
          <w:tcPr>
            <w:tcW w:w="14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0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6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14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right w:val="single" w:sz="8" w:color="CFF0FC"/>
            </w:tcBorders>
            <w:shd w:val="clear" w:color="auto" w:fill="CFF0FC"/>
          </w:tcPr>
          <w:p>
            <w:pPr>
              <w:spacing w:after="0"/>
              <w:rPr>
                <w:sz w:val="19"/>
                <w:szCs w:val="19"/>
                <w:color w:val="auto"/>
              </w:rPr>
            </w:pP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w w:val="81"/>
              </w:rPr>
              <w:t>$ 1,939,308</w:t>
            </w:r>
          </w:p>
        </w:tc>
        <w:tc>
          <w:tcPr>
            <w:tcW w:w="2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$ 1,955,082</w:t>
            </w:r>
          </w:p>
        </w:tc>
        <w:tc>
          <w:tcPr>
            <w:tcW w:w="2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184.4</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5"/>
              </w:rPr>
              <w:t>Interest Rate Swaps as of June 30, 2018</w:t>
            </w: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1"/>
                <w:szCs w:val="11"/>
                <w:color w:val="auto"/>
              </w:rPr>
            </w:pPr>
          </w:p>
        </w:tc>
        <w:tc>
          <w:tcPr>
            <w:tcW w:w="780" w:type="dxa"/>
            <w:vAlign w:val="bottom"/>
            <w:gridSpan w:val="2"/>
          </w:tcPr>
          <w:p>
            <w:pPr>
              <w:jc w:val="center"/>
              <w:ind w:right="190"/>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740" w:type="dxa"/>
            <w:vAlign w:val="bottom"/>
            <w:gridSpan w:val="2"/>
          </w:tcPr>
          <w:p>
            <w:pPr>
              <w:jc w:val="center"/>
              <w:ind w:left="141"/>
              <w:spacing w:after="0" w:line="133" w:lineRule="exact"/>
              <w:rPr>
                <w:sz w:val="20"/>
                <w:szCs w:val="20"/>
                <w:color w:val="auto"/>
              </w:rPr>
            </w:pPr>
            <w:r>
              <w:rPr>
                <w:rFonts w:ascii="Arial" w:cs="Arial" w:eastAsia="Arial" w:hAnsi="Arial"/>
                <w:sz w:val="14"/>
                <w:szCs w:val="14"/>
                <w:b w:val="1"/>
                <w:bCs w:val="1"/>
                <w:color w:val="auto"/>
                <w:w w:val="94"/>
              </w:rPr>
              <w:t>Upfront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w w:val="92"/>
              </w:rPr>
              <w:t>Change in Unrealized</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Company Receives</w:t>
            </w: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Company Pays</w:t>
            </w:r>
          </w:p>
        </w:tc>
        <w:tc>
          <w:tcPr>
            <w:tcW w:w="1380" w:type="dxa"/>
            <w:vAlign w:val="bottom"/>
            <w:gridSpan w:val="3"/>
            <w:vMerge w:val="restart"/>
          </w:tcPr>
          <w:p>
            <w:pPr>
              <w:jc w:val="right"/>
              <w:ind w:right="330"/>
              <w:spacing w:after="0"/>
              <w:rPr>
                <w:sz w:val="20"/>
                <w:szCs w:val="20"/>
                <w:color w:val="auto"/>
              </w:rPr>
            </w:pPr>
            <w:r>
              <w:rPr>
                <w:rFonts w:ascii="Arial" w:cs="Arial" w:eastAsia="Arial" w:hAnsi="Arial"/>
                <w:sz w:val="14"/>
                <w:szCs w:val="14"/>
                <w:b w:val="1"/>
                <w:bCs w:val="1"/>
                <w:color w:val="auto"/>
              </w:rPr>
              <w:t>Maturity Date</w:t>
            </w: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Payments /</w:t>
            </w:r>
          </w:p>
        </w:tc>
        <w:tc>
          <w:tcPr>
            <w:tcW w:w="26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7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gridSpan w:val="2"/>
          </w:tcPr>
          <w:p>
            <w:pPr>
              <w:jc w:val="center"/>
              <w:ind w:left="141"/>
              <w:spacing w:after="0"/>
              <w:rPr>
                <w:sz w:val="20"/>
                <w:szCs w:val="20"/>
                <w:color w:val="auto"/>
              </w:rPr>
            </w:pPr>
            <w:r>
              <w:rPr>
                <w:rFonts w:ascii="Arial" w:cs="Arial" w:eastAsia="Arial" w:hAnsi="Arial"/>
                <w:sz w:val="14"/>
                <w:szCs w:val="14"/>
                <w:b w:val="1"/>
                <w:bCs w:val="1"/>
                <w:color w:val="auto"/>
                <w:w w:val="89"/>
              </w:rPr>
              <w:t>Receipts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Gains / (Losses)</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L</w:t>
            </w: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1.16%</w:t>
            </w: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6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 + 2.86%</w:t>
            </w:r>
          </w:p>
        </w:tc>
        <w:tc>
          <w:tcPr>
            <w:tcW w:w="1080" w:type="dxa"/>
            <w:vAlign w:val="bottom"/>
          </w:tcPr>
          <w:p>
            <w:pPr>
              <w:jc w:val="right"/>
              <w:spacing w:after="0"/>
              <w:rPr>
                <w:sz w:val="20"/>
                <w:szCs w:val="20"/>
                <w:color w:val="auto"/>
              </w:rPr>
            </w:pPr>
            <w:r>
              <w:rPr>
                <w:rFonts w:ascii="Arial" w:cs="Arial" w:eastAsia="Arial" w:hAnsi="Arial"/>
                <w:sz w:val="18"/>
                <w:szCs w:val="18"/>
                <w:color w:val="auto"/>
              </w:rPr>
              <w:t>12/15/2019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7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rPr>
              <w:t>L</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1.72%</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 + 2.37%</w:t>
            </w:r>
          </w:p>
        </w:tc>
        <w:tc>
          <w:tcPr>
            <w:tcW w:w="1080" w:type="dxa"/>
            <w:vAlign w:val="bottom"/>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+ 1.59%</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 + 1.60%</w:t>
            </w:r>
          </w:p>
        </w:tc>
        <w:tc>
          <w:tcPr>
            <w:tcW w:w="1080" w:type="dxa"/>
            <w:vAlign w:val="bottom"/>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+ 1.99%</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Cash collateral</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563,333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6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(5,979)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040" w:hanging="519"/>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Contract terms are shown net of Company receiving 6.65% and paying 8.38%.</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Contains a variable rate structure. Interest rate determined by three-month LIBOR.</w:t>
      </w:r>
    </w:p>
    <w:p>
      <w:pPr>
        <w:spacing w:after="0" w:line="237"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20" w:hanging="512"/>
        <w:spacing w:after="0" w:line="281" w:lineRule="auto"/>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Offered Rate (“EURIBOR” or “E”),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June 30, 2018.</w:t>
      </w:r>
    </w:p>
    <w:p>
      <w:pPr>
        <w:spacing w:after="0" w:line="3" w:lineRule="exact"/>
        <w:rPr>
          <w:rFonts w:ascii="Arial" w:cs="Arial" w:eastAsia="Arial" w:hAnsi="Arial"/>
          <w:sz w:val="16"/>
          <w:szCs w:val="16"/>
          <w:color w:val="auto"/>
        </w:rPr>
      </w:pPr>
    </w:p>
    <w:p>
      <w:pPr>
        <w:jc w:val="both"/>
        <w:ind w:left="520" w:right="4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14.6% of total assets as of June 30, 2018.</w:t>
      </w:r>
    </w:p>
    <w:p>
      <w:pPr>
        <w:spacing w:after="0" w:line="1" w:lineRule="exact"/>
        <w:rPr>
          <w:rFonts w:ascii="Arial" w:cs="Arial" w:eastAsia="Arial" w:hAnsi="Arial"/>
          <w:sz w:val="18"/>
          <w:szCs w:val="18"/>
          <w:color w:val="auto"/>
        </w:rPr>
      </w:pPr>
    </w:p>
    <w:p>
      <w:pPr>
        <w:ind w:left="520" w:right="2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 w:lineRule="exact"/>
        <w:rPr>
          <w:rFonts w:ascii="Arial" w:cs="Arial" w:eastAsia="Arial" w:hAnsi="Arial"/>
          <w:sz w:val="18"/>
          <w:szCs w:val="18"/>
          <w:color w:val="auto"/>
        </w:rPr>
      </w:pPr>
    </w:p>
    <w:p>
      <w:pPr>
        <w:ind w:left="520" w:right="20" w:hanging="512"/>
        <w:spacing w:after="0" w:line="255"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six months ended June 30, 2018 in which the issuer was an Affiliated Person of the portfolio company are as follows: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six months ended June 30,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Change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Value at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58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Company</w:t>
            </w:r>
          </w:p>
        </w:tc>
        <w:tc>
          <w:tcPr>
            <w:tcW w:w="140" w:type="dxa"/>
            <w:vAlign w:val="bottom"/>
            <w:vMerge w:val="restart"/>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Unrealized</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Value at</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Additions (a)</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Reductions</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Gain/(Loss)</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Gain/(Losses)</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June 30, 2018</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Income</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7"/>
              </w:rPr>
              <w:t>Income</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Validity, Inc.</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39,219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ind w:left="5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39,210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2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ind w:left="560"/>
              <w:spacing w:after="0"/>
              <w:rPr>
                <w:sz w:val="20"/>
                <w:szCs w:val="20"/>
                <w:color w:val="auto"/>
              </w:rPr>
            </w:pPr>
            <w:r>
              <w:rPr>
                <w:rFonts w:ascii="Arial" w:cs="Arial" w:eastAsia="Arial" w:hAnsi="Arial"/>
                <w:sz w:val="18"/>
                <w:szCs w:val="18"/>
                <w:b w:val="1"/>
                <w:bCs w:val="1"/>
                <w:color w:val="auto"/>
                <w:w w:val="99"/>
              </w:rPr>
              <w:t>—</w:t>
            </w:r>
          </w:p>
        </w:tc>
        <w:tc>
          <w:tcPr>
            <w:tcW w:w="240" w:type="dxa"/>
            <w:vAlign w:val="bottom"/>
            <w:vMerge w:val="continue"/>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39,219</w:t>
            </w: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ind w:left="660"/>
              <w:spacing w:after="0"/>
              <w:rPr>
                <w:sz w:val="20"/>
                <w:szCs w:val="20"/>
                <w:color w:val="auto"/>
              </w:rPr>
            </w:pPr>
            <w:r>
              <w:rPr>
                <w:rFonts w:ascii="Arial" w:cs="Arial" w:eastAsia="Arial" w:hAnsi="Arial"/>
                <w:sz w:val="18"/>
                <w:szCs w:val="18"/>
                <w:b w:val="1"/>
                <w:bCs w:val="1"/>
                <w:color w:val="auto"/>
                <w:w w:val="99"/>
              </w:rPr>
              <w:t>—</w:t>
            </w:r>
          </w:p>
        </w:tc>
        <w:tc>
          <w:tcPr>
            <w:tcW w:w="220" w:type="dxa"/>
            <w:vAlign w:val="bottom"/>
            <w:vMerge w:val="continue"/>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ind w:left="560"/>
              <w:spacing w:after="0"/>
              <w:rPr>
                <w:sz w:val="20"/>
                <w:szCs w:val="20"/>
                <w:color w:val="auto"/>
              </w:rPr>
            </w:pPr>
            <w:r>
              <w:rPr>
                <w:rFonts w:ascii="Arial" w:cs="Arial" w:eastAsia="Arial" w:hAnsi="Arial"/>
                <w:sz w:val="18"/>
                <w:szCs w:val="18"/>
                <w:b w:val="1"/>
                <w:bCs w:val="1"/>
                <w:color w:val="auto"/>
                <w:w w:val="88"/>
              </w:rPr>
              <w:t>—</w:t>
            </w:r>
          </w:p>
        </w:tc>
        <w:tc>
          <w:tcPr>
            <w:tcW w:w="2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39,210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216</w:t>
            </w:r>
          </w:p>
        </w:tc>
        <w:tc>
          <w:tcPr>
            <w:tcW w:w="2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right="260" w:hanging="519"/>
        <w:spacing w:after="0" w:line="277"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70" w:lineRule="exact"/>
        <w:rPr>
          <w:rFonts w:ascii="Arial" w:cs="Arial" w:eastAsia="Arial" w:hAnsi="Arial"/>
          <w:sz w:val="18"/>
          <w:szCs w:val="18"/>
          <w:color w:val="auto"/>
        </w:rPr>
      </w:pPr>
    </w:p>
    <w:p>
      <w:pPr>
        <w:ind w:left="520" w:right="60" w:hanging="512"/>
        <w:spacing w:after="0" w:line="279"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six months ended June 30, 2018 in which the issuer was an Affiliated Person of and was deemed to Control a portfolio company are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six months ended June 30,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8"/>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Net Change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Realized</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76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Company</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Additions (a)</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Reductions (b)</w:t>
            </w:r>
          </w:p>
        </w:tc>
        <w:tc>
          <w:tcPr>
            <w:tcW w:w="6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Gain/(Loss)</w:t>
            </w:r>
          </w:p>
        </w:tc>
        <w:tc>
          <w:tcPr>
            <w:tcW w:w="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Gain/(Losses)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75,780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78,669</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IRGSE Holding Corp.</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(3,275)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35,062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(9,589)</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25,783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135,920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8,081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(9,589</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139,514</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040" w:right="260" w:hanging="519"/>
        <w:spacing w:after="0" w:line="258"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90"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June 30, 2018, the tax cost of the Company’s investments approximates the amortized cost.</w:t>
      </w:r>
    </w:p>
    <w:p>
      <w:pPr>
        <w:spacing w:after="0" w:line="23"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20" w:right="160" w:hanging="512"/>
        <w:spacing w:after="0" w:line="290"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Security acquired in transaction exempt from registration under the Securities Act of 1933, and may be deemed to be “restricted securities” under the Securities Act. As of June 30, 2018, the aggregate fair value of these securities is $43,449, or 4.1% of the Company’s net assets.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December 31, 2017</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Reference</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6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Investment</w:t>
            </w:r>
          </w:p>
        </w:tc>
        <w:tc>
          <w:tcPr>
            <w:tcW w:w="9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11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Rate and</w:t>
            </w: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Interest Rate</w:t>
            </w:r>
          </w:p>
        </w:tc>
        <w:tc>
          <w:tcPr>
            <w:tcW w:w="60" w:type="dxa"/>
            <w:vAlign w:val="bottom"/>
          </w:tcPr>
          <w:p>
            <w:pPr>
              <w:spacing w:after="0"/>
              <w:rPr>
                <w:sz w:val="13"/>
                <w:szCs w:val="13"/>
                <w:color w:val="auto"/>
              </w:rPr>
            </w:pPr>
          </w:p>
        </w:tc>
        <w:tc>
          <w:tcPr>
            <w:tcW w:w="7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3"/>
                <w:szCs w:val="13"/>
                <w:color w:val="auto"/>
              </w:rPr>
            </w:pPr>
          </w:p>
        </w:tc>
        <w:tc>
          <w:tcPr>
            <w:tcW w:w="9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980" w:type="dxa"/>
            <w:vAlign w:val="bottom"/>
            <w:gridSpan w:val="2"/>
          </w:tcPr>
          <w:p>
            <w:pPr>
              <w:jc w:val="right"/>
              <w:ind w:right="150"/>
              <w:spacing w:after="0" w:line="158" w:lineRule="exact"/>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gridSpan w:val="2"/>
            <w:vMerge w:val="continue"/>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Spread</w:t>
            </w: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(2)(7)</w:t>
            </w:r>
          </w:p>
        </w:tc>
        <w:tc>
          <w:tcPr>
            <w:tcW w:w="960" w:type="dxa"/>
            <w:vAlign w:val="bottom"/>
            <w:gridSpan w:val="2"/>
          </w:tcPr>
          <w:p>
            <w:pPr>
              <w:jc w:val="right"/>
              <w:ind w:right="234"/>
              <w:spacing w:after="0"/>
              <w:rPr>
                <w:sz w:val="20"/>
                <w:szCs w:val="20"/>
                <w:color w:val="auto"/>
              </w:rPr>
            </w:pPr>
            <w:r>
              <w:rPr>
                <w:rFonts w:ascii="Arial" w:cs="Arial" w:eastAsia="Arial" w:hAnsi="Arial"/>
                <w:sz w:val="12"/>
                <w:szCs w:val="12"/>
                <w:b w:val="1"/>
                <w:bCs w:val="1"/>
                <w:color w:val="auto"/>
              </w:rPr>
              <w:t>(9)</w:t>
            </w:r>
          </w:p>
        </w:tc>
        <w:tc>
          <w:tcPr>
            <w:tcW w:w="200" w:type="dxa"/>
            <w:vAlign w:val="bottom"/>
          </w:tcPr>
          <w:p>
            <w:pPr>
              <w:spacing w:after="0"/>
              <w:rPr>
                <w:sz w:val="14"/>
                <w:szCs w:val="14"/>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Automotive</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Heartland Automotive</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($25,725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8/28/2012</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+ 10.25%</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25,724</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25,789</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Holdings, LLC </w:t>
            </w:r>
            <w:r>
              <w:rPr>
                <w:rFonts w:ascii="Arial" w:cs="Arial" w:eastAsia="Arial" w:hAnsi="Arial"/>
                <w:sz w:val="15"/>
                <w:szCs w:val="15"/>
                <w:color w:val="auto"/>
              </w:rPr>
              <w:t>(3)</w:t>
            </w: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1/2018)</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revolving loan ($4,056</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8/28/2012</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P + 9.00%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4,066</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par, due 1/2018)</w:t>
            </w:r>
          </w:p>
        </w:tc>
        <w:tc>
          <w:tcPr>
            <w:tcW w:w="8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29,780</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29,855</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Beverage, food and tobacco</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(3)(6)</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Second-lien loan ($59,621 par,</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6/30/2017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+ 9.05%</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10.74%</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59,621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57,534</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9/2021)</w:t>
            </w: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Business services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Jive Software, Inc. </w:t>
            </w:r>
            <w:r>
              <w:rPr>
                <w:rFonts w:ascii="Arial" w:cs="Arial" w:eastAsia="Arial" w:hAnsi="Arial"/>
                <w:sz w:val="15"/>
                <w:szCs w:val="15"/>
                <w:color w:val="auto"/>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($53,730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6/12/2017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+ 9.25%</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51,900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53,730</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6/2022)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($33,221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6/30/2014</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+ 8.00%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9.69%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32,879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33,221</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6/2020)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($20,879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7/29/2016</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+ 10.00%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20,496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21,975</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7/2021)</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(incl. 3.00%</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PIK)</w:t>
            </w: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(3)</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($42,800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6/30/2017</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+ 7.75%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41,920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42,203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6/2022)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($34,323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7/1/2016</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+ 6.00%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33,862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34,421</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3/2022)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Tangoe, Inc. </w:t>
            </w:r>
            <w:r>
              <w:rPr>
                <w:rFonts w:ascii="Arial" w:cs="Arial" w:eastAsia="Arial" w:hAnsi="Arial"/>
                <w:sz w:val="15"/>
                <w:szCs w:val="15"/>
                <w:color w:val="auto"/>
              </w:rPr>
              <w:t>(3)(5)</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($49,975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6/16/2017</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+ 8.50%</w:t>
            </w:r>
          </w:p>
        </w:tc>
        <w:tc>
          <w:tcPr>
            <w:tcW w:w="940" w:type="dxa"/>
            <w:vAlign w:val="bottom"/>
          </w:tcPr>
          <w:p>
            <w:pPr>
              <w:jc w:val="right"/>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48,196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48,725</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6/2022)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(incl. 0.50%</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14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8"/>
                <w:szCs w:val="18"/>
                <w:color w:val="auto"/>
              </w:rPr>
              <w:t>PIK)</w:t>
            </w:r>
          </w:p>
        </w:tc>
        <w:tc>
          <w:tcPr>
            <w:tcW w:w="6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229,253</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234,275</w:t>
            </w: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Chemicals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($4,967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10/31/2016</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+ 9.00%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4,967</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4/2018)</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5"/>
              </w:rPr>
              <w:t>Second-lien loan ($3,341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10/31/2016</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+ 12.00%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13.57%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3,366</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10/2021)</w:t>
            </w: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8,333</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Communications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iHeart Communications </w:t>
            </w:r>
            <w:r>
              <w:rPr>
                <w:rFonts w:ascii="Arial" w:cs="Arial" w:eastAsia="Arial" w:hAnsi="Arial"/>
                <w:sz w:val="15"/>
                <w:szCs w:val="15"/>
                <w:color w:val="auto"/>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ABL FILO term loan ($115,000</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11/30/2017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+ 4.75%</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111,613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112,700</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 due 11/2020)</w:t>
            </w: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Education</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Finalsite Holdings, Inc. </w:t>
            </w:r>
            <w:r>
              <w:rPr>
                <w:rFonts w:ascii="Arial" w:cs="Arial" w:eastAsia="Arial" w:hAnsi="Arial"/>
                <w:sz w:val="15"/>
                <w:szCs w:val="15"/>
                <w:color w:val="auto"/>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($45,000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8/31/2016</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+ 7.00%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44,029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45,450</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8/2022)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Frontline Technologies Group,</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($47,703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9/18/2017</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+ 6.50%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8.09%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47,039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47,132</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520" w:type="dxa"/>
            <w:vAlign w:val="bottom"/>
          </w:tcPr>
          <w:p>
            <w:pPr>
              <w:spacing w:after="0"/>
              <w:rPr>
                <w:sz w:val="20"/>
                <w:szCs w:val="20"/>
                <w:color w:val="auto"/>
              </w:rPr>
            </w:pPr>
            <w:r>
              <w:rPr>
                <w:rFonts w:ascii="Arial" w:cs="Arial" w:eastAsia="Arial" w:hAnsi="Arial"/>
                <w:sz w:val="18"/>
                <w:szCs w:val="18"/>
                <w:color w:val="auto"/>
              </w:rPr>
              <w:t>9/2023)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Illuminate Education, Inc.</w:t>
            </w:r>
            <w:r>
              <w:rPr>
                <w:rFonts w:ascii="Arial" w:cs="Arial" w:eastAsia="Arial" w:hAnsi="Arial"/>
                <w:sz w:val="15"/>
                <w:szCs w:val="15"/>
                <w:color w:val="auto"/>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($56,900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8/25/2017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+ 8.00%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55,772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55,971</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8/2022)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146,840</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148,553</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services</w:t>
            </w:r>
          </w:p>
        </w:tc>
        <w:tc>
          <w:tcPr>
            <w:tcW w:w="25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620" w:type="dxa"/>
            <w:vAlign w:val="bottom"/>
            <w:gridSpan w:val="2"/>
          </w:tcPr>
          <w:p>
            <w:pPr>
              <w:spacing w:after="0"/>
              <w:rPr>
                <w:sz w:val="20"/>
                <w:szCs w:val="20"/>
                <w:color w:val="auto"/>
              </w:rPr>
            </w:pPr>
            <w:r>
              <w:rPr>
                <w:rFonts w:ascii="Arial" w:cs="Arial" w:eastAsia="Arial" w:hAnsi="Arial"/>
                <w:sz w:val="18"/>
                <w:szCs w:val="18"/>
                <w:color w:val="auto"/>
              </w:rPr>
              <w:t>First-lien loan ($20,364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8/18/2015</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+ 8.00%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20,071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20,643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8/2020)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($54,449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11.06%</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53,879</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55,266</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8/2020)</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($56,525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7/28/2017</w:t>
            </w:r>
          </w:p>
        </w:tc>
        <w:tc>
          <w:tcPr>
            <w:tcW w:w="1080" w:type="dxa"/>
            <w:vAlign w:val="bottom"/>
          </w:tcPr>
          <w:p>
            <w:pPr>
              <w:jc w:val="right"/>
              <w:spacing w:after="0"/>
              <w:rPr>
                <w:sz w:val="20"/>
                <w:szCs w:val="20"/>
                <w:color w:val="auto"/>
              </w:rPr>
            </w:pPr>
            <w:r>
              <w:rPr>
                <w:rFonts w:ascii="Arial" w:cs="Arial" w:eastAsia="Arial" w:hAnsi="Arial"/>
                <w:sz w:val="18"/>
                <w:szCs w:val="18"/>
                <w:color w:val="auto"/>
              </w:rPr>
              <w:t>L + 7.00%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780" w:type="dxa"/>
            <w:vAlign w:val="bottom"/>
          </w:tcPr>
          <w:p>
            <w:pPr>
              <w:jc w:val="right"/>
              <w:spacing w:after="0"/>
              <w:rPr>
                <w:sz w:val="20"/>
                <w:szCs w:val="20"/>
                <w:color w:val="auto"/>
              </w:rPr>
            </w:pPr>
            <w:r>
              <w:rPr>
                <w:rFonts w:ascii="Arial" w:cs="Arial" w:eastAsia="Arial" w:hAnsi="Arial"/>
                <w:sz w:val="18"/>
                <w:szCs w:val="18"/>
                <w:color w:val="auto"/>
              </w:rPr>
              <w:t>55,413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55,627</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7/2022)</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PaySimple, Inc. </w:t>
            </w:r>
            <w:r>
              <w:rPr>
                <w:rFonts w:ascii="Arial" w:cs="Arial" w:eastAsia="Arial" w:hAnsi="Arial"/>
                <w:sz w:val="15"/>
                <w:szCs w:val="15"/>
                <w:color w:val="auto"/>
              </w:rPr>
              <w:t>(3)</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($50,601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3/7/2017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+ 8.25%</w:t>
            </w: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49,633</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50,045</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rPr>
                <w:sz w:val="18"/>
                <w:szCs w:val="18"/>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3/2022)</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(incl. 1.75%</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PIK)</w:t>
            </w: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(3)(5)</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($29,167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7/31/2017</w:t>
            </w:r>
          </w:p>
        </w:tc>
        <w:tc>
          <w:tcPr>
            <w:tcW w:w="1080" w:type="dxa"/>
            <w:vAlign w:val="bottom"/>
          </w:tcPr>
          <w:p>
            <w:pPr>
              <w:jc w:val="right"/>
              <w:spacing w:after="0"/>
              <w:rPr>
                <w:sz w:val="20"/>
                <w:szCs w:val="20"/>
                <w:color w:val="auto"/>
              </w:rPr>
            </w:pPr>
            <w:r>
              <w:rPr>
                <w:rFonts w:ascii="Arial" w:cs="Arial" w:eastAsia="Arial" w:hAnsi="Arial"/>
                <w:sz w:val="18"/>
                <w:szCs w:val="18"/>
                <w:color w:val="auto"/>
              </w:rPr>
              <w:t>L + 6.50%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8.13%</w:t>
            </w:r>
          </w:p>
        </w:tc>
        <w:tc>
          <w:tcPr>
            <w:tcW w:w="780" w:type="dxa"/>
            <w:vAlign w:val="bottom"/>
          </w:tcPr>
          <w:p>
            <w:pPr>
              <w:jc w:val="right"/>
              <w:spacing w:after="0"/>
              <w:rPr>
                <w:sz w:val="20"/>
                <w:szCs w:val="20"/>
                <w:color w:val="auto"/>
              </w:rPr>
            </w:pPr>
            <w:r>
              <w:rPr>
                <w:rFonts w:ascii="Arial" w:cs="Arial" w:eastAsia="Arial" w:hAnsi="Arial"/>
                <w:sz w:val="18"/>
                <w:szCs w:val="18"/>
                <w:color w:val="auto"/>
              </w:rPr>
              <w:t>28,472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29,458</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500" w:type="dxa"/>
            <w:vAlign w:val="bottom"/>
            <w:tcBorders>
              <w:bottom w:val="single" w:sz="8" w:color="CFF0FC"/>
            </w:tcBorders>
          </w:tcPr>
          <w:p>
            <w:pPr>
              <w:ind w:left="60"/>
              <w:spacing w:after="0"/>
              <w:rPr>
                <w:sz w:val="20"/>
                <w:szCs w:val="20"/>
                <w:color w:val="auto"/>
              </w:rPr>
            </w:pPr>
            <w:r>
              <w:rPr>
                <w:rFonts w:ascii="Arial" w:cs="Arial" w:eastAsia="Arial" w:hAnsi="Arial"/>
                <w:sz w:val="18"/>
                <w:szCs w:val="18"/>
                <w:color w:val="auto"/>
              </w:rPr>
              <w:t>1/2022)</w:t>
            </w:r>
          </w:p>
        </w:tc>
        <w:tc>
          <w:tcPr>
            <w:tcW w:w="10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207,468</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211,039</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Healthcare</w:t>
            </w: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w w:val="92"/>
              </w:rPr>
              <w:t>Integrated Practice Solutions, Inc.</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($32,338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+ 8.00%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9.57%</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31,486</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31,691</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5"/>
                <w:szCs w:val="15"/>
                <w:color w:val="auto"/>
              </w:rPr>
              <w:t>(3)(5)</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6/2022)</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2500" w:type="dxa"/>
            <w:vAlign w:val="bottom"/>
          </w:tcPr>
          <w:p>
            <w:pPr>
              <w:ind w:left="60"/>
              <w:spacing w:after="0"/>
              <w:rPr>
                <w:sz w:val="20"/>
                <w:szCs w:val="20"/>
                <w:color w:val="auto"/>
              </w:rPr>
            </w:pPr>
            <w:r>
              <w:rPr>
                <w:rFonts w:ascii="Arial" w:cs="Arial" w:eastAsia="Arial" w:hAnsi="Arial"/>
                <w:sz w:val="18"/>
                <w:szCs w:val="18"/>
                <w:color w:val="auto"/>
                <w:w w:val="95"/>
              </w:rPr>
              <w:t>First-lien loan (EUR 38,019 par,</w:t>
            </w:r>
          </w:p>
        </w:tc>
        <w:tc>
          <w:tcPr>
            <w:tcW w:w="1000" w:type="dxa"/>
            <w:vAlign w:val="bottom"/>
          </w:tcPr>
          <w:p>
            <w:pPr>
              <w:jc w:val="right"/>
              <w:spacing w:after="0"/>
              <w:rPr>
                <w:sz w:val="20"/>
                <w:szCs w:val="20"/>
                <w:color w:val="auto"/>
              </w:rPr>
            </w:pPr>
            <w:r>
              <w:rPr>
                <w:rFonts w:ascii="Arial" w:cs="Arial" w:eastAsia="Arial" w:hAnsi="Arial"/>
                <w:sz w:val="18"/>
                <w:szCs w:val="18"/>
                <w:color w:val="auto"/>
              </w:rPr>
              <w:t>9/30/2014</w:t>
            </w:r>
          </w:p>
        </w:tc>
        <w:tc>
          <w:tcPr>
            <w:tcW w:w="1080" w:type="dxa"/>
            <w:vAlign w:val="bottom"/>
          </w:tcPr>
          <w:p>
            <w:pPr>
              <w:jc w:val="right"/>
              <w:spacing w:after="0"/>
              <w:rPr>
                <w:sz w:val="20"/>
                <w:szCs w:val="20"/>
                <w:color w:val="auto"/>
              </w:rPr>
            </w:pPr>
            <w:r>
              <w:rPr>
                <w:rFonts w:ascii="Arial" w:cs="Arial" w:eastAsia="Arial" w:hAnsi="Arial"/>
                <w:sz w:val="18"/>
                <w:szCs w:val="18"/>
                <w:color w:val="auto"/>
              </w:rPr>
              <w:t>E + 10.50%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11.50%</w:t>
            </w:r>
          </w:p>
        </w:tc>
        <w:tc>
          <w:tcPr>
            <w:tcW w:w="780" w:type="dxa"/>
            <w:vAlign w:val="bottom"/>
          </w:tcPr>
          <w:p>
            <w:pPr>
              <w:jc w:val="right"/>
              <w:spacing w:after="0"/>
              <w:rPr>
                <w:sz w:val="20"/>
                <w:szCs w:val="20"/>
                <w:color w:val="auto"/>
              </w:rPr>
            </w:pPr>
            <w:r>
              <w:rPr>
                <w:rFonts w:ascii="Arial" w:cs="Arial" w:eastAsia="Arial" w:hAnsi="Arial"/>
                <w:sz w:val="18"/>
                <w:szCs w:val="18"/>
                <w:color w:val="auto"/>
              </w:rPr>
              <w:t>45,164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47,366</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due 9/2019)</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(EUR 39,445)</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18"/>
                <w:szCs w:val="18"/>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First-lien revolving loan (EUR</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9/30/2014</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E + 10.50%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11.50%</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300 par, due 9/2019)</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(EUR 450)</w:t>
            </w: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($57,305 par, due</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12/17/2015</w:t>
            </w:r>
          </w:p>
        </w:tc>
        <w:tc>
          <w:tcPr>
            <w:tcW w:w="1080" w:type="dxa"/>
            <w:vAlign w:val="bottom"/>
          </w:tcPr>
          <w:p>
            <w:pPr>
              <w:jc w:val="right"/>
              <w:spacing w:after="0"/>
              <w:rPr>
                <w:sz w:val="20"/>
                <w:szCs w:val="20"/>
                <w:color w:val="auto"/>
              </w:rPr>
            </w:pPr>
            <w:r>
              <w:rPr>
                <w:rFonts w:ascii="Arial" w:cs="Arial" w:eastAsia="Arial" w:hAnsi="Arial"/>
                <w:sz w:val="18"/>
                <w:szCs w:val="18"/>
                <w:color w:val="auto"/>
              </w:rPr>
              <w:t>L + 5.25%</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6.94%</w:t>
            </w:r>
          </w:p>
        </w:tc>
        <w:tc>
          <w:tcPr>
            <w:tcW w:w="780" w:type="dxa"/>
            <w:vAlign w:val="bottom"/>
          </w:tcPr>
          <w:p>
            <w:pPr>
              <w:jc w:val="right"/>
              <w:spacing w:after="0"/>
              <w:rPr>
                <w:sz w:val="20"/>
                <w:szCs w:val="20"/>
                <w:color w:val="auto"/>
              </w:rPr>
            </w:pPr>
            <w:r>
              <w:rPr>
                <w:rFonts w:ascii="Arial" w:cs="Arial" w:eastAsia="Arial" w:hAnsi="Arial"/>
                <w:sz w:val="18"/>
                <w:szCs w:val="18"/>
                <w:color w:val="auto"/>
              </w:rPr>
              <w:t>56,455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58,021</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12/2021)</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($43,262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9/30/2015</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+ 8.50%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10.19%</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42,483</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43,478</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9/2020)</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($29,475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2/29/2016</w:t>
            </w:r>
          </w:p>
        </w:tc>
        <w:tc>
          <w:tcPr>
            <w:tcW w:w="1080" w:type="dxa"/>
            <w:vAlign w:val="bottom"/>
          </w:tcPr>
          <w:p>
            <w:pPr>
              <w:jc w:val="right"/>
              <w:spacing w:after="0"/>
              <w:rPr>
                <w:sz w:val="20"/>
                <w:szCs w:val="20"/>
                <w:color w:val="auto"/>
              </w:rPr>
            </w:pPr>
            <w:r>
              <w:rPr>
                <w:rFonts w:ascii="Arial" w:cs="Arial" w:eastAsia="Arial" w:hAnsi="Arial"/>
                <w:sz w:val="18"/>
                <w:szCs w:val="18"/>
                <w:color w:val="auto"/>
              </w:rPr>
              <w:t>L + 7.75%</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9.44%</w:t>
            </w:r>
          </w:p>
        </w:tc>
        <w:tc>
          <w:tcPr>
            <w:tcW w:w="780" w:type="dxa"/>
            <w:vAlign w:val="bottom"/>
          </w:tcPr>
          <w:p>
            <w:pPr>
              <w:jc w:val="right"/>
              <w:spacing w:after="0"/>
              <w:rPr>
                <w:sz w:val="20"/>
                <w:szCs w:val="20"/>
                <w:color w:val="auto"/>
              </w:rPr>
            </w:pPr>
            <w:r>
              <w:rPr>
                <w:rFonts w:ascii="Arial" w:cs="Arial" w:eastAsia="Arial" w:hAnsi="Arial"/>
                <w:sz w:val="18"/>
                <w:szCs w:val="18"/>
                <w:color w:val="auto"/>
              </w:rPr>
              <w:t>28,772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30,212</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500" w:type="dxa"/>
            <w:vAlign w:val="bottom"/>
            <w:tcBorders>
              <w:bottom w:val="single" w:sz="8" w:color="CFF0FC"/>
            </w:tcBorders>
          </w:tcPr>
          <w:p>
            <w:pPr>
              <w:ind w:left="60"/>
              <w:spacing w:after="0"/>
              <w:rPr>
                <w:sz w:val="20"/>
                <w:szCs w:val="20"/>
                <w:color w:val="auto"/>
              </w:rPr>
            </w:pPr>
            <w:r>
              <w:rPr>
                <w:rFonts w:ascii="Arial" w:cs="Arial" w:eastAsia="Arial" w:hAnsi="Arial"/>
                <w:sz w:val="18"/>
                <w:szCs w:val="18"/>
                <w:color w:val="auto"/>
              </w:rPr>
              <w:t>2/2021)</w:t>
            </w:r>
          </w:p>
        </w:tc>
        <w:tc>
          <w:tcPr>
            <w:tcW w:w="10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204,653</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211,308</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Hotel, gaming, and leisure</w:t>
            </w: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(3)(6)</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($22,414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+ 9.50%</w:t>
            </w: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11.19%</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22,414</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17,596</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rPr>
                <w:sz w:val="18"/>
                <w:szCs w:val="18"/>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9/2019)</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(incl. 5.00%</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PIK)</w:t>
            </w: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First-lien revolving loan</w:t>
            </w:r>
          </w:p>
        </w:tc>
        <w:tc>
          <w:tcPr>
            <w:tcW w:w="1000" w:type="dxa"/>
            <w:vAlign w:val="bottom"/>
          </w:tcPr>
          <w:p>
            <w:pPr>
              <w:jc w:val="right"/>
              <w:spacing w:after="0"/>
              <w:rPr>
                <w:sz w:val="20"/>
                <w:szCs w:val="20"/>
                <w:color w:val="auto"/>
              </w:rPr>
            </w:pPr>
            <w:r>
              <w:rPr>
                <w:rFonts w:ascii="Arial" w:cs="Arial" w:eastAsia="Arial" w:hAnsi="Arial"/>
                <w:sz w:val="18"/>
                <w:szCs w:val="18"/>
                <w:color w:val="auto"/>
              </w:rPr>
              <w:t>9/29/2015</w:t>
            </w:r>
          </w:p>
        </w:tc>
        <w:tc>
          <w:tcPr>
            <w:tcW w:w="1080" w:type="dxa"/>
            <w:vAlign w:val="bottom"/>
          </w:tcPr>
          <w:p>
            <w:pPr>
              <w:jc w:val="right"/>
              <w:spacing w:after="0"/>
              <w:rPr>
                <w:sz w:val="20"/>
                <w:szCs w:val="20"/>
                <w:color w:val="auto"/>
              </w:rPr>
            </w:pPr>
            <w:r>
              <w:rPr>
                <w:rFonts w:ascii="Arial" w:cs="Arial" w:eastAsia="Arial" w:hAnsi="Arial"/>
                <w:sz w:val="18"/>
                <w:szCs w:val="18"/>
                <w:color w:val="auto"/>
              </w:rPr>
              <w:t>L + 9.50%</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11.06%</w:t>
            </w:r>
          </w:p>
        </w:tc>
        <w:tc>
          <w:tcPr>
            <w:tcW w:w="780" w:type="dxa"/>
            <w:vAlign w:val="bottom"/>
          </w:tcPr>
          <w:p>
            <w:pPr>
              <w:jc w:val="right"/>
              <w:spacing w:after="0"/>
              <w:rPr>
                <w:sz w:val="20"/>
                <w:szCs w:val="20"/>
                <w:color w:val="auto"/>
              </w:rPr>
            </w:pPr>
            <w:r>
              <w:rPr>
                <w:rFonts w:ascii="Arial" w:cs="Arial" w:eastAsia="Arial" w:hAnsi="Arial"/>
                <w:sz w:val="18"/>
                <w:szCs w:val="18"/>
                <w:color w:val="auto"/>
              </w:rPr>
              <w:t>21,665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17,007</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($21,665 par, due 9/2019)</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w w:val="99"/>
              </w:rPr>
              <w:t>(incl. 5.00%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50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jc w:val="right"/>
              <w:ind w:right="190"/>
              <w:spacing w:after="0"/>
              <w:rPr>
                <w:sz w:val="20"/>
                <w:szCs w:val="20"/>
                <w:color w:val="auto"/>
              </w:rPr>
            </w:pPr>
            <w:r>
              <w:rPr>
                <w:rFonts w:ascii="Arial" w:cs="Arial" w:eastAsia="Arial" w:hAnsi="Arial"/>
                <w:sz w:val="18"/>
                <w:szCs w:val="18"/>
                <w:color w:val="auto"/>
              </w:rPr>
              <w:t>PIK)</w:t>
            </w: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44,079</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34,603</w:t>
            </w:r>
          </w:p>
        </w:tc>
        <w:tc>
          <w:tcPr>
            <w:tcW w:w="2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Insurance</w:t>
            </w: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($63,321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10/31/2014</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+ 6.50%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8.25%</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62,899</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64,904</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10/2020)</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b w:val="1"/>
                <w:bCs w:val="1"/>
                <w:color w:val="auto"/>
              </w:rPr>
              <w:t>Internet services</w:t>
            </w: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Lithium Technologies, LLC </w:t>
            </w:r>
            <w:r>
              <w:rPr>
                <w:rFonts w:ascii="Arial" w:cs="Arial" w:eastAsia="Arial" w:hAnsi="Arial"/>
                <w:sz w:val="15"/>
                <w:szCs w:val="15"/>
                <w:color w:val="auto"/>
              </w:rPr>
              <w:t>(3)</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($50,000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10/3/2017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+ 8.00%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9.39%</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48,840</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48,927</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10/2022)</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b w:val="1"/>
                <w:bCs w:val="1"/>
                <w:color w:val="auto"/>
              </w:rPr>
              <w:t>Manufacturing</w:t>
            </w: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Industrial Physics, LLC </w:t>
            </w:r>
            <w:r>
              <w:rPr>
                <w:rFonts w:ascii="Arial" w:cs="Arial" w:eastAsia="Arial" w:hAnsi="Arial"/>
                <w:sz w:val="15"/>
                <w:szCs w:val="15"/>
                <w:color w:val="auto"/>
              </w:rPr>
              <w:t>(3)</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8"/>
              </w:rPr>
              <w:t>First-lien loan ($9,975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10/23/2017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+ 7.00%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8.55%</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9,686</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10/2022)</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w w:val="95"/>
              </w:rPr>
              <w:t>First-lien loan (EUR 21,065 par,</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10/23/2017</w:t>
            </w:r>
          </w:p>
        </w:tc>
        <w:tc>
          <w:tcPr>
            <w:tcW w:w="1080" w:type="dxa"/>
            <w:vAlign w:val="bottom"/>
          </w:tcPr>
          <w:p>
            <w:pPr>
              <w:jc w:val="right"/>
              <w:spacing w:after="0"/>
              <w:rPr>
                <w:sz w:val="20"/>
                <w:szCs w:val="20"/>
                <w:color w:val="auto"/>
              </w:rPr>
            </w:pPr>
            <w:r>
              <w:rPr>
                <w:rFonts w:ascii="Arial" w:cs="Arial" w:eastAsia="Arial" w:hAnsi="Arial"/>
                <w:sz w:val="18"/>
                <w:szCs w:val="18"/>
                <w:color w:val="auto"/>
              </w:rPr>
              <w:t>E + 7.00%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780" w:type="dxa"/>
            <w:vAlign w:val="bottom"/>
          </w:tcPr>
          <w:p>
            <w:pPr>
              <w:jc w:val="right"/>
              <w:spacing w:after="0"/>
              <w:rPr>
                <w:sz w:val="20"/>
                <w:szCs w:val="20"/>
                <w:color w:val="auto"/>
              </w:rPr>
            </w:pPr>
            <w:r>
              <w:rPr>
                <w:rFonts w:ascii="Arial" w:cs="Arial" w:eastAsia="Arial" w:hAnsi="Arial"/>
                <w:sz w:val="18"/>
                <w:szCs w:val="18"/>
                <w:color w:val="auto"/>
              </w:rPr>
              <w:t>24,260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24,915</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due 10/2022)</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(EUR</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20,749)</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($19,986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12/30/2014</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+ 7.00%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8.57%</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19,816</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20,086</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12/2019)</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w w:val="96"/>
              </w:rPr>
              <w:t>First-lien revolving loan ($1,393</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12/30/2014</w:t>
            </w:r>
          </w:p>
        </w:tc>
        <w:tc>
          <w:tcPr>
            <w:tcW w:w="1080" w:type="dxa"/>
            <w:vAlign w:val="bottom"/>
          </w:tcPr>
          <w:p>
            <w:pPr>
              <w:jc w:val="right"/>
              <w:spacing w:after="0"/>
              <w:rPr>
                <w:sz w:val="20"/>
                <w:szCs w:val="20"/>
                <w:color w:val="auto"/>
              </w:rPr>
            </w:pPr>
            <w:r>
              <w:rPr>
                <w:rFonts w:ascii="Arial" w:cs="Arial" w:eastAsia="Arial" w:hAnsi="Arial"/>
                <w:sz w:val="18"/>
                <w:szCs w:val="18"/>
                <w:color w:val="auto"/>
              </w:rPr>
              <w:t>L + 7.00%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780" w:type="dxa"/>
            <w:vAlign w:val="bottom"/>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1,404</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500" w:type="dxa"/>
            <w:vAlign w:val="bottom"/>
            <w:tcBorders>
              <w:bottom w:val="single" w:sz="8" w:color="CFF0FC"/>
            </w:tcBorders>
          </w:tcPr>
          <w:p>
            <w:pPr>
              <w:ind w:left="60"/>
              <w:spacing w:after="0"/>
              <w:rPr>
                <w:sz w:val="20"/>
                <w:szCs w:val="20"/>
                <w:color w:val="auto"/>
              </w:rPr>
            </w:pPr>
            <w:r>
              <w:rPr>
                <w:rFonts w:ascii="Arial" w:cs="Arial" w:eastAsia="Arial" w:hAnsi="Arial"/>
                <w:sz w:val="18"/>
                <w:szCs w:val="18"/>
                <w:color w:val="auto"/>
              </w:rPr>
              <w:t>par, due 12/2019)</w:t>
            </w:r>
          </w:p>
        </w:tc>
        <w:tc>
          <w:tcPr>
            <w:tcW w:w="10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55,139</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56,155</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Marketing services</w:t>
            </w: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Marketo, Inc. </w:t>
            </w:r>
            <w:r>
              <w:rPr>
                <w:rFonts w:ascii="Arial" w:cs="Arial" w:eastAsia="Arial" w:hAnsi="Arial"/>
                <w:sz w:val="15"/>
                <w:szCs w:val="15"/>
                <w:color w:val="auto"/>
              </w:rPr>
              <w:t>(3)</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($28,125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8/16/2016</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+ 9.50%</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11.19%</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27,428</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29,025</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8/2021)</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Vivial Inc.</w:t>
            </w:r>
            <w:r>
              <w:rPr>
                <w:rFonts w:ascii="Arial" w:cs="Arial" w:eastAsia="Arial" w:hAnsi="Arial"/>
                <w:sz w:val="15"/>
                <w:szCs w:val="15"/>
                <w:color w:val="auto"/>
              </w:rPr>
              <w:t>(3)</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($32,463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9/29/2017</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L + 8.00%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9.69%</w:t>
            </w:r>
          </w:p>
        </w:tc>
        <w:tc>
          <w:tcPr>
            <w:tcW w:w="780" w:type="dxa"/>
            <w:vAlign w:val="bottom"/>
          </w:tcPr>
          <w:p>
            <w:pPr>
              <w:jc w:val="right"/>
              <w:spacing w:after="0"/>
              <w:rPr>
                <w:sz w:val="20"/>
                <w:szCs w:val="20"/>
                <w:color w:val="auto"/>
              </w:rPr>
            </w:pPr>
            <w:r>
              <w:rPr>
                <w:rFonts w:ascii="Arial" w:cs="Arial" w:eastAsia="Arial" w:hAnsi="Arial"/>
                <w:sz w:val="18"/>
                <w:szCs w:val="18"/>
                <w:color w:val="auto"/>
              </w:rPr>
              <w:t>31,918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31,976</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500" w:type="dxa"/>
            <w:vAlign w:val="bottom"/>
            <w:tcBorders>
              <w:bottom w:val="single" w:sz="8" w:color="CFF0FC"/>
            </w:tcBorders>
          </w:tcPr>
          <w:p>
            <w:pPr>
              <w:ind w:left="60"/>
              <w:spacing w:after="0"/>
              <w:rPr>
                <w:sz w:val="20"/>
                <w:szCs w:val="20"/>
                <w:color w:val="auto"/>
              </w:rPr>
            </w:pPr>
            <w:r>
              <w:rPr>
                <w:rFonts w:ascii="Arial" w:cs="Arial" w:eastAsia="Arial" w:hAnsi="Arial"/>
                <w:sz w:val="18"/>
                <w:szCs w:val="18"/>
                <w:color w:val="auto"/>
              </w:rPr>
              <w:t>9/2022)</w:t>
            </w:r>
          </w:p>
        </w:tc>
        <w:tc>
          <w:tcPr>
            <w:tcW w:w="10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59,346</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61,001</w:t>
            </w:r>
          </w:p>
        </w:tc>
        <w:tc>
          <w:tcPr>
            <w:tcW w:w="2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426"/>
        </w:trPr>
        <w:tc>
          <w:tcPr>
            <w:tcW w:w="2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3"/>
        </w:trPr>
        <w:tc>
          <w:tcPr>
            <w:tcW w:w="2520" w:type="dxa"/>
            <w:vAlign w:val="bottom"/>
          </w:tcPr>
          <w:p>
            <w:pPr>
              <w:spacing w:after="0"/>
              <w:rPr>
                <w:sz w:val="20"/>
                <w:szCs w:val="20"/>
                <w:color w:val="auto"/>
              </w:rPr>
            </w:pPr>
            <w:r>
              <w:rPr>
                <w:rFonts w:ascii="Arial" w:cs="Arial" w:eastAsia="Arial" w:hAnsi="Arial"/>
                <w:sz w:val="18"/>
                <w:szCs w:val="18"/>
                <w:b w:val="1"/>
                <w:bCs w:val="1"/>
                <w:color w:val="auto"/>
              </w:rPr>
              <w:t>Office products</w:t>
            </w:r>
          </w:p>
        </w:tc>
        <w:tc>
          <w:tcPr>
            <w:tcW w:w="2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USR Parent Inc. </w:t>
            </w:r>
            <w:r>
              <w:rPr>
                <w:rFonts w:ascii="Arial" w:cs="Arial" w:eastAsia="Arial" w:hAnsi="Arial"/>
                <w:sz w:val="15"/>
                <w:szCs w:val="15"/>
                <w:color w:val="auto"/>
              </w:rPr>
              <w:t>(3)(5)</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 ($20,000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9/12/2017</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+ 7.75%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8.99%</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19,553</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9/2022)</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2520" w:type="dxa"/>
            <w:vAlign w:val="bottom"/>
          </w:tcPr>
          <w:p>
            <w:pPr>
              <w:spacing w:after="0"/>
              <w:rPr>
                <w:sz w:val="20"/>
                <w:szCs w:val="20"/>
                <w:color w:val="auto"/>
              </w:rPr>
            </w:pPr>
            <w:r>
              <w:rPr>
                <w:rFonts w:ascii="Arial" w:cs="Arial" w:eastAsia="Arial" w:hAnsi="Arial"/>
                <w:sz w:val="18"/>
                <w:szCs w:val="18"/>
                <w:b w:val="1"/>
                <w:bCs w:val="1"/>
                <w:color w:val="auto"/>
              </w:rPr>
              <w:t>Oil, gas and consumable</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520" w:type="dxa"/>
            <w:vAlign w:val="bottom"/>
          </w:tcPr>
          <w:p>
            <w:pPr>
              <w:ind w:left="140"/>
              <w:spacing w:after="0"/>
              <w:rPr>
                <w:sz w:val="20"/>
                <w:szCs w:val="20"/>
                <w:color w:val="auto"/>
              </w:rPr>
            </w:pPr>
            <w:r>
              <w:rPr>
                <w:rFonts w:ascii="Arial" w:cs="Arial" w:eastAsia="Arial" w:hAnsi="Arial"/>
                <w:sz w:val="18"/>
                <w:szCs w:val="18"/>
                <w:b w:val="1"/>
                <w:bCs w:val="1"/>
                <w:color w:val="auto"/>
              </w:rPr>
              <w:t>fuels</w:t>
            </w:r>
          </w:p>
        </w:tc>
        <w:tc>
          <w:tcPr>
            <w:tcW w:w="2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w w:val="95"/>
              </w:rPr>
              <w:t xml:space="preserve">Mississippi Resources, LLC </w:t>
            </w:r>
            <w:r>
              <w:rPr>
                <w:rFonts w:ascii="Arial" w:cs="Arial" w:eastAsia="Arial" w:hAnsi="Arial"/>
                <w:sz w:val="15"/>
                <w:szCs w:val="15"/>
                <w:color w:val="auto"/>
                <w:w w:val="95"/>
              </w:rPr>
              <w:t>(3)(6)</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($25,229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5/3/2017</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+ 10.50%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25,180</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25,229</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6/2018)</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Northern Oil and Gas, Inc. </w:t>
            </w:r>
            <w:r>
              <w:rPr>
                <w:rFonts w:ascii="Arial" w:cs="Arial" w:eastAsia="Arial" w:hAnsi="Arial"/>
                <w:sz w:val="15"/>
                <w:szCs w:val="15"/>
                <w:color w:val="auto"/>
              </w:rPr>
              <w:t>(3)</w:t>
            </w:r>
          </w:p>
        </w:tc>
        <w:tc>
          <w:tcPr>
            <w:tcW w:w="2600" w:type="dxa"/>
            <w:vAlign w:val="bottom"/>
          </w:tcPr>
          <w:p>
            <w:pPr>
              <w:ind w:left="100"/>
              <w:spacing w:after="0"/>
              <w:rPr>
                <w:sz w:val="20"/>
                <w:szCs w:val="20"/>
                <w:color w:val="auto"/>
              </w:rPr>
            </w:pPr>
            <w:r>
              <w:rPr>
                <w:rFonts w:ascii="Arial" w:cs="Arial" w:eastAsia="Arial" w:hAnsi="Arial"/>
                <w:sz w:val="18"/>
                <w:szCs w:val="18"/>
                <w:color w:val="auto"/>
                <w:w w:val="97"/>
              </w:rPr>
              <w:t>First-lien loan ($48,750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11/1/2017</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L + 7.75%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840" w:type="dxa"/>
            <w:vAlign w:val="bottom"/>
          </w:tcPr>
          <w:p>
            <w:pPr>
              <w:jc w:val="right"/>
              <w:spacing w:after="0"/>
              <w:rPr>
                <w:sz w:val="20"/>
                <w:szCs w:val="20"/>
                <w:color w:val="auto"/>
              </w:rPr>
            </w:pPr>
            <w:r>
              <w:rPr>
                <w:rFonts w:ascii="Arial" w:cs="Arial" w:eastAsia="Arial" w:hAnsi="Arial"/>
                <w:sz w:val="18"/>
                <w:szCs w:val="18"/>
                <w:color w:val="auto"/>
              </w:rPr>
              <w:t>47,563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47,450</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11/2022)</w:t>
            </w: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Rex Energy Corporation </w:t>
            </w:r>
            <w:r>
              <w:rPr>
                <w:rFonts w:ascii="Arial" w:cs="Arial" w:eastAsia="Arial" w:hAnsi="Arial"/>
                <w:sz w:val="15"/>
                <w:szCs w:val="15"/>
                <w:color w:val="auto"/>
              </w:rPr>
              <w:t>(3)</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($18,950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4/28/2017</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+ 8.75%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10.50%</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18,467</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20,525</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4/2021)</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91,210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93,204</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Pharmaceuticals</w:t>
            </w:r>
          </w:p>
        </w:tc>
        <w:tc>
          <w:tcPr>
            <w:tcW w:w="26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9"/>
              </w:rPr>
              <w:t>Ironwood Pharmaceuticals, Inc.</w:t>
            </w:r>
          </w:p>
        </w:tc>
        <w:tc>
          <w:tcPr>
            <w:tcW w:w="2600" w:type="dxa"/>
            <w:vAlign w:val="bottom"/>
          </w:tcPr>
          <w:p>
            <w:pPr>
              <w:ind w:left="100"/>
              <w:spacing w:after="0"/>
              <w:rPr>
                <w:sz w:val="20"/>
                <w:szCs w:val="20"/>
                <w:color w:val="auto"/>
              </w:rPr>
            </w:pPr>
            <w:r>
              <w:rPr>
                <w:rFonts w:ascii="Arial" w:cs="Arial" w:eastAsia="Arial" w:hAnsi="Arial"/>
                <w:sz w:val="18"/>
                <w:szCs w:val="18"/>
                <w:color w:val="auto"/>
                <w:w w:val="97"/>
              </w:rPr>
              <w:t>Secured note ($33,333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1/5/2017</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8.38%</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8.38%</w:t>
            </w:r>
          </w:p>
        </w:tc>
        <w:tc>
          <w:tcPr>
            <w:tcW w:w="840" w:type="dxa"/>
            <w:vAlign w:val="bottom"/>
          </w:tcPr>
          <w:p>
            <w:pPr>
              <w:jc w:val="right"/>
              <w:spacing w:after="0"/>
              <w:rPr>
                <w:sz w:val="20"/>
                <w:szCs w:val="20"/>
                <w:color w:val="auto"/>
              </w:rPr>
            </w:pPr>
            <w:r>
              <w:rPr>
                <w:rFonts w:ascii="Arial" w:cs="Arial" w:eastAsia="Arial" w:hAnsi="Arial"/>
                <w:sz w:val="18"/>
                <w:szCs w:val="18"/>
                <w:color w:val="auto"/>
              </w:rPr>
              <w:t>33,191</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33,250</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5"/>
                <w:szCs w:val="15"/>
                <w:color w:val="auto"/>
              </w:rPr>
              <w:t>(4)(5)(8)</w:t>
            </w:r>
          </w:p>
        </w:tc>
        <w:tc>
          <w:tcPr>
            <w:tcW w:w="2600" w:type="dxa"/>
            <w:vAlign w:val="bottom"/>
          </w:tcPr>
          <w:p>
            <w:pPr>
              <w:ind w:left="100"/>
              <w:spacing w:after="0"/>
              <w:rPr>
                <w:sz w:val="20"/>
                <w:szCs w:val="20"/>
                <w:color w:val="auto"/>
              </w:rPr>
            </w:pPr>
            <w:r>
              <w:rPr>
                <w:rFonts w:ascii="Arial" w:cs="Arial" w:eastAsia="Arial" w:hAnsi="Arial"/>
                <w:sz w:val="18"/>
                <w:szCs w:val="18"/>
                <w:color w:val="auto"/>
              </w:rPr>
              <w:t>9/2026)</w:t>
            </w: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Model N, Inc. </w:t>
            </w:r>
            <w:r>
              <w:rPr>
                <w:rFonts w:ascii="Arial" w:cs="Arial" w:eastAsia="Arial" w:hAnsi="Arial"/>
                <w:sz w:val="15"/>
                <w:szCs w:val="15"/>
                <w:color w:val="auto"/>
              </w:rPr>
              <w:t>(3)(4)</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($30,000 par, due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1/5/2017</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+ 8.25%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9.88%</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29,497</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29,925</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1/2022)</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(4)(5)(8)</w:t>
            </w:r>
          </w:p>
        </w:tc>
        <w:tc>
          <w:tcPr>
            <w:tcW w:w="2600" w:type="dxa"/>
            <w:vAlign w:val="bottom"/>
          </w:tcPr>
          <w:p>
            <w:pPr>
              <w:ind w:left="100"/>
              <w:spacing w:after="0"/>
              <w:rPr>
                <w:sz w:val="20"/>
                <w:szCs w:val="20"/>
                <w:color w:val="auto"/>
              </w:rPr>
            </w:pPr>
            <w:r>
              <w:rPr>
                <w:rFonts w:ascii="Arial" w:cs="Arial" w:eastAsia="Arial" w:hAnsi="Arial"/>
                <w:sz w:val="18"/>
                <w:szCs w:val="18"/>
                <w:color w:val="auto"/>
                <w:w w:val="97"/>
              </w:rPr>
              <w:t>Secured note ($74,950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10/5/2015</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7.75%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7.75%</w:t>
            </w:r>
          </w:p>
        </w:tc>
        <w:tc>
          <w:tcPr>
            <w:tcW w:w="840" w:type="dxa"/>
            <w:vAlign w:val="bottom"/>
          </w:tcPr>
          <w:p>
            <w:pPr>
              <w:jc w:val="right"/>
              <w:spacing w:after="0"/>
              <w:rPr>
                <w:sz w:val="20"/>
                <w:szCs w:val="20"/>
                <w:color w:val="auto"/>
              </w:rPr>
            </w:pPr>
            <w:r>
              <w:rPr>
                <w:rFonts w:ascii="Arial" w:cs="Arial" w:eastAsia="Arial" w:hAnsi="Arial"/>
                <w:sz w:val="18"/>
                <w:szCs w:val="18"/>
                <w:color w:val="auto"/>
              </w:rPr>
              <w:t>74,363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76,449</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6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10/2020)</w:t>
            </w:r>
          </w:p>
        </w:tc>
        <w:tc>
          <w:tcPr>
            <w:tcW w:w="100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137,051</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139,624</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r>
      <w:tr>
        <w:trPr>
          <w:trHeight w:val="205"/>
        </w:trPr>
        <w:tc>
          <w:tcPr>
            <w:tcW w:w="2520" w:type="dxa"/>
            <w:vAlign w:val="bottom"/>
          </w:tcPr>
          <w:p>
            <w:pPr>
              <w:spacing w:after="0" w:line="205" w:lineRule="exact"/>
              <w:rPr>
                <w:sz w:val="20"/>
                <w:szCs w:val="20"/>
                <w:color w:val="auto"/>
              </w:rPr>
            </w:pPr>
            <w:r>
              <w:rPr>
                <w:rFonts w:ascii="Arial" w:cs="Arial" w:eastAsia="Arial" w:hAnsi="Arial"/>
                <w:sz w:val="18"/>
                <w:szCs w:val="18"/>
                <w:b w:val="1"/>
                <w:bCs w:val="1"/>
                <w:color w:val="auto"/>
              </w:rPr>
              <w:t>Retail and consumer</w:t>
            </w:r>
          </w:p>
        </w:tc>
        <w:tc>
          <w:tcPr>
            <w:tcW w:w="2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520" w:type="dxa"/>
            <w:vAlign w:val="bottom"/>
          </w:tcPr>
          <w:p>
            <w:pPr>
              <w:ind w:left="140"/>
              <w:spacing w:after="0"/>
              <w:rPr>
                <w:sz w:val="20"/>
                <w:szCs w:val="20"/>
                <w:color w:val="auto"/>
              </w:rPr>
            </w:pPr>
            <w:r>
              <w:rPr>
                <w:rFonts w:ascii="Arial" w:cs="Arial" w:eastAsia="Arial" w:hAnsi="Arial"/>
                <w:sz w:val="18"/>
                <w:szCs w:val="18"/>
                <w:b w:val="1"/>
                <w:bCs w:val="1"/>
                <w:color w:val="auto"/>
              </w:rPr>
              <w:t>products</w:t>
            </w:r>
          </w:p>
        </w:tc>
        <w:tc>
          <w:tcPr>
            <w:tcW w:w="2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99 Cents Only Stores LLC </w:t>
            </w:r>
            <w:r>
              <w:rPr>
                <w:rFonts w:ascii="Arial" w:cs="Arial" w:eastAsia="Arial" w:hAnsi="Arial"/>
                <w:sz w:val="15"/>
                <w:szCs w:val="15"/>
                <w:color w:val="auto"/>
              </w:rPr>
              <w:t>(3)</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 ($25,000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9/6/2017</w:t>
            </w:r>
          </w:p>
        </w:tc>
        <w:tc>
          <w:tcPr>
            <w:tcW w:w="132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L + 7.75%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9.26%</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24,654</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24,875</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4/2021)</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American Achievement</w:t>
            </w:r>
          </w:p>
        </w:tc>
        <w:tc>
          <w:tcPr>
            <w:tcW w:w="2600" w:type="dxa"/>
            <w:vAlign w:val="bottom"/>
          </w:tcPr>
          <w:p>
            <w:pPr>
              <w:ind w:left="100"/>
              <w:spacing w:after="0"/>
              <w:rPr>
                <w:sz w:val="20"/>
                <w:szCs w:val="20"/>
                <w:color w:val="auto"/>
              </w:rPr>
            </w:pPr>
            <w:r>
              <w:rPr>
                <w:rFonts w:ascii="Arial" w:cs="Arial" w:eastAsia="Arial" w:hAnsi="Arial"/>
                <w:sz w:val="18"/>
                <w:szCs w:val="18"/>
                <w:color w:val="auto"/>
                <w:w w:val="97"/>
              </w:rPr>
              <w:t>First-lien loan ($23,161 par, due</w:t>
            </w:r>
          </w:p>
        </w:tc>
        <w:tc>
          <w:tcPr>
            <w:tcW w:w="1000" w:type="dxa"/>
            <w:vAlign w:val="bottom"/>
          </w:tcPr>
          <w:p>
            <w:pPr>
              <w:jc w:val="right"/>
              <w:spacing w:after="0"/>
              <w:rPr>
                <w:sz w:val="20"/>
                <w:szCs w:val="20"/>
                <w:color w:val="auto"/>
              </w:rPr>
            </w:pPr>
            <w:r>
              <w:rPr>
                <w:rFonts w:ascii="Arial" w:cs="Arial" w:eastAsia="Arial" w:hAnsi="Arial"/>
                <w:sz w:val="18"/>
                <w:szCs w:val="18"/>
                <w:color w:val="auto"/>
              </w:rPr>
              <w:t>9/30/2015</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L + 8.25%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9.62%</w:t>
            </w:r>
          </w:p>
        </w:tc>
        <w:tc>
          <w:tcPr>
            <w:tcW w:w="840" w:type="dxa"/>
            <w:vAlign w:val="bottom"/>
          </w:tcPr>
          <w:p>
            <w:pPr>
              <w:jc w:val="right"/>
              <w:spacing w:after="0"/>
              <w:rPr>
                <w:sz w:val="20"/>
                <w:szCs w:val="20"/>
                <w:color w:val="auto"/>
              </w:rPr>
            </w:pPr>
            <w:r>
              <w:rPr>
                <w:rFonts w:ascii="Arial" w:cs="Arial" w:eastAsia="Arial" w:hAnsi="Arial"/>
                <w:sz w:val="18"/>
                <w:szCs w:val="18"/>
                <w:color w:val="auto"/>
              </w:rPr>
              <w:t>22,964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23,219</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30"/>
        </w:trPr>
        <w:tc>
          <w:tcPr>
            <w:tcW w:w="2520" w:type="dxa"/>
            <w:vAlign w:val="bottom"/>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600" w:type="dxa"/>
            <w:vAlign w:val="bottom"/>
          </w:tcPr>
          <w:p>
            <w:pPr>
              <w:ind w:left="100"/>
              <w:spacing w:after="0"/>
              <w:rPr>
                <w:sz w:val="20"/>
                <w:szCs w:val="20"/>
                <w:color w:val="auto"/>
              </w:rPr>
            </w:pPr>
            <w:r>
              <w:rPr>
                <w:rFonts w:ascii="Arial" w:cs="Arial" w:eastAsia="Arial" w:hAnsi="Arial"/>
                <w:sz w:val="18"/>
                <w:szCs w:val="18"/>
                <w:color w:val="auto"/>
              </w:rPr>
              <w:t>9/2020)</w:t>
            </w: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Destination Maternity</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 ($15,420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3/25/2016</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+ 7.50%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15,165</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15,767</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3/2021)</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Eddie Bauer LLC </w:t>
            </w:r>
            <w:r>
              <w:rPr>
                <w:rFonts w:ascii="Arial" w:cs="Arial" w:eastAsia="Arial" w:hAnsi="Arial"/>
                <w:sz w:val="15"/>
                <w:szCs w:val="15"/>
                <w:color w:val="auto"/>
              </w:rPr>
              <w:t>(3)</w:t>
            </w:r>
          </w:p>
        </w:tc>
        <w:tc>
          <w:tcPr>
            <w:tcW w:w="2600" w:type="dxa"/>
            <w:vAlign w:val="bottom"/>
          </w:tcPr>
          <w:p>
            <w:pPr>
              <w:ind w:left="100"/>
              <w:spacing w:after="0"/>
              <w:rPr>
                <w:sz w:val="20"/>
                <w:szCs w:val="20"/>
                <w:color w:val="auto"/>
              </w:rPr>
            </w:pPr>
            <w:r>
              <w:rPr>
                <w:rFonts w:ascii="Arial" w:cs="Arial" w:eastAsia="Arial" w:hAnsi="Arial"/>
                <w:sz w:val="18"/>
                <w:szCs w:val="18"/>
                <w:color w:val="auto"/>
              </w:rPr>
              <w:t>ABL FILO term loan ($29,250</w:t>
            </w:r>
          </w:p>
        </w:tc>
        <w:tc>
          <w:tcPr>
            <w:tcW w:w="1000" w:type="dxa"/>
            <w:vAlign w:val="bottom"/>
          </w:tcPr>
          <w:p>
            <w:pPr>
              <w:jc w:val="right"/>
              <w:spacing w:after="0"/>
              <w:rPr>
                <w:sz w:val="20"/>
                <w:szCs w:val="20"/>
                <w:color w:val="auto"/>
              </w:rPr>
            </w:pPr>
            <w:r>
              <w:rPr>
                <w:rFonts w:ascii="Arial" w:cs="Arial" w:eastAsia="Arial" w:hAnsi="Arial"/>
                <w:sz w:val="18"/>
                <w:szCs w:val="18"/>
                <w:color w:val="auto"/>
              </w:rPr>
              <w:t>3/31/2017</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L + 9.25%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10.94%</w:t>
            </w:r>
          </w:p>
        </w:tc>
        <w:tc>
          <w:tcPr>
            <w:tcW w:w="840" w:type="dxa"/>
            <w:vAlign w:val="bottom"/>
          </w:tcPr>
          <w:p>
            <w:pPr>
              <w:jc w:val="right"/>
              <w:spacing w:after="0"/>
              <w:rPr>
                <w:sz w:val="20"/>
                <w:szCs w:val="20"/>
                <w:color w:val="auto"/>
              </w:rPr>
            </w:pPr>
            <w:r>
              <w:rPr>
                <w:rFonts w:ascii="Arial" w:cs="Arial" w:eastAsia="Arial" w:hAnsi="Arial"/>
                <w:sz w:val="18"/>
                <w:szCs w:val="18"/>
                <w:color w:val="auto"/>
              </w:rPr>
              <w:t>28,847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29,396</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par, due 6/2019)</w:t>
            </w: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(3)(4)(10)</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5"/>
              </w:rPr>
              <w:t>First-lien ABL loan ($17,296 par,</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3/18/2016</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+ 7.50%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8.89%</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16,962</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17,383</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due 7/2020)</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108,592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110,640</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r>
      <w:tr>
        <w:trPr>
          <w:trHeight w:val="223"/>
        </w:trPr>
        <w:tc>
          <w:tcPr>
            <w:tcW w:w="2520" w:type="dxa"/>
            <w:vAlign w:val="bottom"/>
            <w:tcBorders>
              <w:top w:val="single" w:sz="8" w:color="CFF0FC"/>
            </w:tcBorders>
            <w:shd w:val="clear" w:color="auto" w:fill="CFF0FC"/>
          </w:tcPr>
          <w:p>
            <w:pPr>
              <w:spacing w:after="0"/>
              <w:rPr>
                <w:sz w:val="19"/>
                <w:szCs w:val="19"/>
                <w:color w:val="auto"/>
              </w:rPr>
            </w:pPr>
          </w:p>
        </w:tc>
        <w:tc>
          <w:tcPr>
            <w:tcW w:w="26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5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Debt Investments</w:t>
            </w:r>
          </w:p>
        </w:tc>
        <w:tc>
          <w:tcPr>
            <w:tcW w:w="26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1,624,237</w:t>
            </w:r>
          </w:p>
        </w:tc>
        <w:tc>
          <w:tcPr>
            <w:tcW w:w="2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1,642,255</w:t>
            </w:r>
          </w:p>
        </w:tc>
        <w:tc>
          <w:tcPr>
            <w:tcW w:w="2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7"/>
              </w:rPr>
              <w:t>Equity and Other Investments</w:t>
            </w: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b w:val="1"/>
                <w:bCs w:val="1"/>
                <w:color w:val="auto"/>
              </w:rPr>
              <w:t>Beverage, food and tobacco</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w w:val="95"/>
              </w:rPr>
              <w:t xml:space="preserve">AFS Technologies, Inc. </w:t>
            </w:r>
            <w:r>
              <w:rPr>
                <w:rFonts w:ascii="Arial" w:cs="Arial" w:eastAsia="Arial" w:hAnsi="Arial"/>
                <w:sz w:val="15"/>
                <w:szCs w:val="15"/>
                <w:color w:val="auto"/>
                <w:w w:val="95"/>
              </w:rPr>
              <w:t>(6)(12)(13)</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3"/>
              </w:rPr>
              <w:t>Class A Preferred Units (125,000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1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14,031</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units)</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w w:val="98"/>
              </w:rPr>
              <w:t>Class B Common Units (90,000</w:t>
            </w:r>
          </w:p>
        </w:tc>
        <w:tc>
          <w:tcPr>
            <w:tcW w:w="1000" w:type="dxa"/>
            <w:vAlign w:val="bottom"/>
          </w:tcPr>
          <w:p>
            <w:pPr>
              <w:jc w:val="right"/>
              <w:spacing w:after="0"/>
              <w:rPr>
                <w:sz w:val="20"/>
                <w:szCs w:val="20"/>
                <w:color w:val="auto"/>
              </w:rPr>
            </w:pPr>
            <w:r>
              <w:rPr>
                <w:rFonts w:ascii="Arial" w:cs="Arial" w:eastAsia="Arial" w:hAnsi="Arial"/>
                <w:sz w:val="18"/>
                <w:szCs w:val="18"/>
                <w:color w:val="auto"/>
              </w:rPr>
              <w:t>6/30/2017</w:t>
            </w: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4,215</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6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units)</w:t>
            </w:r>
          </w:p>
        </w:tc>
        <w:tc>
          <w:tcPr>
            <w:tcW w:w="100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12,502</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18,246</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Business Services</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(12)(13)</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Preferred Class A Units (990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1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units)</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18"/>
                <w:szCs w:val="18"/>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w w:val="94"/>
              </w:rPr>
              <w:t>Common Class B Units (959,018</w:t>
            </w:r>
          </w:p>
        </w:tc>
        <w:tc>
          <w:tcPr>
            <w:tcW w:w="1000" w:type="dxa"/>
            <w:vAlign w:val="bottom"/>
          </w:tcPr>
          <w:p>
            <w:pPr>
              <w:jc w:val="right"/>
              <w:spacing w:after="0"/>
              <w:rPr>
                <w:sz w:val="20"/>
                <w:szCs w:val="20"/>
                <w:color w:val="auto"/>
              </w:rPr>
            </w:pPr>
            <w:r>
              <w:rPr>
                <w:rFonts w:ascii="Arial" w:cs="Arial" w:eastAsia="Arial" w:hAnsi="Arial"/>
                <w:sz w:val="18"/>
                <w:szCs w:val="18"/>
                <w:color w:val="auto"/>
              </w:rPr>
              <w:t>6/30/2017</w:t>
            </w: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6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units)</w:t>
            </w:r>
          </w:p>
        </w:tc>
        <w:tc>
          <w:tcPr>
            <w:tcW w:w="100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Chemicals</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(12)</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5"/>
              </w:rPr>
              <w:t>Common Units (2,672,990 units)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10/31/2016</w:t>
            </w:r>
          </w:p>
        </w:tc>
        <w:tc>
          <w:tcPr>
            <w:tcW w:w="1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3,780</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b w:val="1"/>
                <w:bCs w:val="1"/>
                <w:color w:val="auto"/>
              </w:rPr>
              <w:t>Financial services</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(12)</w:t>
            </w: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Series E Preferred Equity</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(214,132 shares)</w:t>
            </w:r>
          </w:p>
        </w:tc>
        <w:tc>
          <w:tcPr>
            <w:tcW w:w="10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(12)(13)</w:t>
            </w:r>
          </w:p>
        </w:tc>
        <w:tc>
          <w:tcPr>
            <w:tcW w:w="2600" w:type="dxa"/>
            <w:vAlign w:val="bottom"/>
          </w:tcPr>
          <w:p>
            <w:pPr>
              <w:ind w:left="100"/>
              <w:spacing w:after="0"/>
              <w:rPr>
                <w:sz w:val="20"/>
                <w:szCs w:val="20"/>
                <w:color w:val="auto"/>
              </w:rPr>
            </w:pPr>
            <w:r>
              <w:rPr>
                <w:rFonts w:ascii="Arial" w:cs="Arial" w:eastAsia="Arial" w:hAnsi="Arial"/>
                <w:sz w:val="18"/>
                <w:szCs w:val="18"/>
                <w:color w:val="auto"/>
                <w:w w:val="93"/>
              </w:rPr>
              <w:t>Common Shares (35,000 shares)</w:t>
            </w:r>
          </w:p>
        </w:tc>
        <w:tc>
          <w:tcPr>
            <w:tcW w:w="1000" w:type="dxa"/>
            <w:vAlign w:val="bottom"/>
          </w:tcPr>
          <w:p>
            <w:pPr>
              <w:jc w:val="right"/>
              <w:spacing w:after="0"/>
              <w:rPr>
                <w:sz w:val="20"/>
                <w:szCs w:val="20"/>
                <w:color w:val="auto"/>
              </w:rPr>
            </w:pPr>
            <w:r>
              <w:rPr>
                <w:rFonts w:ascii="Arial" w:cs="Arial" w:eastAsia="Arial" w:hAnsi="Arial"/>
                <w:sz w:val="18"/>
                <w:szCs w:val="18"/>
                <w:color w:val="auto"/>
              </w:rPr>
              <w:t>7/31/2017</w:t>
            </w: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5,066</w:t>
            </w: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431"/>
        </w:trPr>
        <w:tc>
          <w:tcPr>
            <w:tcW w:w="2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14</w:t>
            </w: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22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(4)(11)</w:t>
            </w:r>
          </w:p>
        </w:tc>
        <w:tc>
          <w:tcPr>
            <w:tcW w:w="2740" w:type="dxa"/>
            <w:vAlign w:val="bottom"/>
            <w:gridSpan w:val="5"/>
            <w:shd w:val="clear" w:color="auto" w:fill="CFF0FC"/>
          </w:tcPr>
          <w:p>
            <w:pPr>
              <w:ind w:left="460"/>
              <w:spacing w:after="0"/>
              <w:rPr>
                <w:sz w:val="20"/>
                <w:szCs w:val="20"/>
                <w:color w:val="auto"/>
              </w:rPr>
            </w:pPr>
            <w:r>
              <w:rPr>
                <w:rFonts w:ascii="Arial" w:cs="Arial" w:eastAsia="Arial" w:hAnsi="Arial"/>
                <w:sz w:val="18"/>
                <w:szCs w:val="18"/>
                <w:color w:val="auto"/>
                <w:w w:val="88"/>
              </w:rPr>
              <w:t>Common Shares (1,059 shares)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8/5/2015</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92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8"/>
                <w:szCs w:val="18"/>
                <w:color w:val="auto"/>
                <w:w w:val="96"/>
              </w:rPr>
              <w:t xml:space="preserve">Triangle Capital Corp. </w:t>
            </w:r>
            <w:r>
              <w:rPr>
                <w:rFonts w:ascii="Arial" w:cs="Arial" w:eastAsia="Arial" w:hAnsi="Arial"/>
                <w:sz w:val="15"/>
                <w:szCs w:val="15"/>
                <w:color w:val="auto"/>
                <w:w w:val="96"/>
              </w:rPr>
              <w:t>(4)(11)</w:t>
            </w:r>
          </w:p>
        </w:tc>
        <w:tc>
          <w:tcPr>
            <w:tcW w:w="2740" w:type="dxa"/>
            <w:vAlign w:val="bottom"/>
            <w:gridSpan w:val="5"/>
          </w:tcPr>
          <w:p>
            <w:pPr>
              <w:ind w:left="460"/>
              <w:spacing w:after="0"/>
              <w:rPr>
                <w:sz w:val="20"/>
                <w:szCs w:val="20"/>
                <w:color w:val="auto"/>
              </w:rPr>
            </w:pPr>
            <w:r>
              <w:rPr>
                <w:rFonts w:ascii="Arial" w:cs="Arial" w:eastAsia="Arial" w:hAnsi="Arial"/>
                <w:sz w:val="18"/>
                <w:szCs w:val="18"/>
                <w:color w:val="auto"/>
                <w:w w:val="99"/>
              </w:rPr>
              <w:t>Common Shares (1,384,570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11/3/2017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13,428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13,140</w:t>
            </w:r>
          </w:p>
        </w:tc>
        <w:tc>
          <w:tcPr>
            <w:tcW w:w="200" w:type="dxa"/>
            <w:vAlign w:val="bottom"/>
          </w:tcPr>
          <w:p>
            <w:pPr>
              <w:spacing w:after="0"/>
              <w:rPr>
                <w:sz w:val="18"/>
                <w:szCs w:val="18"/>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FF0FC"/>
            </w:tcBorders>
          </w:tcPr>
          <w:p>
            <w:pPr>
              <w:spacing w:after="0"/>
              <w:rPr>
                <w:sz w:val="20"/>
                <w:szCs w:val="20"/>
                <w:color w:val="auto"/>
              </w:rPr>
            </w:pPr>
          </w:p>
        </w:tc>
        <w:tc>
          <w:tcPr>
            <w:tcW w:w="20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180" w:type="dxa"/>
            <w:vAlign w:val="bottom"/>
            <w:tcBorders>
              <w:bottom w:val="single" w:sz="8" w:color="CFF0FC"/>
            </w:tcBorders>
            <w:gridSpan w:val="2"/>
          </w:tcPr>
          <w:p>
            <w:pPr>
              <w:ind w:left="460"/>
              <w:spacing w:after="0"/>
              <w:rPr>
                <w:sz w:val="20"/>
                <w:szCs w:val="20"/>
                <w:color w:val="auto"/>
              </w:rPr>
            </w:pPr>
            <w:r>
              <w:rPr>
                <w:rFonts w:ascii="Arial" w:cs="Arial" w:eastAsia="Arial" w:hAnsi="Arial"/>
                <w:sz w:val="18"/>
                <w:szCs w:val="18"/>
                <w:color w:val="auto"/>
              </w:rPr>
              <w:t>shares)</w:t>
            </w:r>
          </w:p>
        </w:tc>
        <w:tc>
          <w:tcPr>
            <w:tcW w:w="128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7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0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68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20,781</w:t>
            </w:r>
          </w:p>
        </w:tc>
        <w:tc>
          <w:tcPr>
            <w:tcW w:w="180" w:type="dxa"/>
            <w:vAlign w:val="bottom"/>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25,693</w:t>
            </w:r>
          </w:p>
        </w:tc>
        <w:tc>
          <w:tcPr>
            <w:tcW w:w="200" w:type="dxa"/>
            <w:vAlign w:val="bottom"/>
            <w:shd w:val="clear" w:color="auto" w:fill="CFF0FC"/>
          </w:tcPr>
          <w:p>
            <w:pPr>
              <w:spacing w:after="0"/>
              <w:rPr>
                <w:sz w:val="19"/>
                <w:szCs w:val="19"/>
                <w:color w:val="auto"/>
              </w:rPr>
            </w:pPr>
          </w:p>
        </w:tc>
        <w:tc>
          <w:tcPr>
            <w:tcW w:w="92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Healthcare</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(4)(12)</w:t>
            </w:r>
          </w:p>
        </w:tc>
        <w:tc>
          <w:tcPr>
            <w:tcW w:w="118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w w:val="95"/>
              </w:rPr>
              <w:t>Warrants</w:t>
            </w: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9/30/2014</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18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200" w:type="dxa"/>
            <w:vAlign w:val="bottom"/>
            <w:shd w:val="clear" w:color="auto" w:fill="CFF0FC"/>
          </w:tcPr>
          <w:p>
            <w:pPr>
              <w:spacing w:after="0"/>
              <w:rPr>
                <w:sz w:val="18"/>
                <w:szCs w:val="18"/>
                <w:color w:val="auto"/>
              </w:rPr>
            </w:pPr>
          </w:p>
        </w:tc>
        <w:tc>
          <w:tcPr>
            <w:tcW w:w="92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tcBorders>
              <w:right w:val="single" w:sz="8" w:color="CFF0FC"/>
            </w:tcBorders>
            <w:shd w:val="clear" w:color="auto" w:fill="CFF0FC"/>
          </w:tcPr>
          <w:p>
            <w:pPr>
              <w:spacing w:after="0"/>
              <w:rPr>
                <w:sz w:val="20"/>
                <w:szCs w:val="20"/>
                <w:color w:val="auto"/>
              </w:rPr>
            </w:pPr>
          </w:p>
        </w:tc>
        <w:tc>
          <w:tcPr>
            <w:tcW w:w="110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(EUR 1,112)</w:t>
            </w: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8"/>
                <w:szCs w:val="18"/>
                <w:color w:val="auto"/>
              </w:rPr>
              <w:t xml:space="preserve">SRS Parent Corp. </w:t>
            </w:r>
            <w:r>
              <w:rPr>
                <w:rFonts w:ascii="Arial" w:cs="Arial" w:eastAsia="Arial" w:hAnsi="Arial"/>
                <w:sz w:val="15"/>
                <w:szCs w:val="15"/>
                <w:color w:val="auto"/>
              </w:rPr>
              <w:t>(12)</w:t>
            </w:r>
          </w:p>
        </w:tc>
        <w:tc>
          <w:tcPr>
            <w:tcW w:w="2740" w:type="dxa"/>
            <w:vAlign w:val="bottom"/>
            <w:gridSpan w:val="5"/>
          </w:tcPr>
          <w:p>
            <w:pPr>
              <w:ind w:left="460"/>
              <w:spacing w:after="0"/>
              <w:rPr>
                <w:sz w:val="20"/>
                <w:szCs w:val="20"/>
                <w:color w:val="auto"/>
              </w:rPr>
            </w:pPr>
            <w:r>
              <w:rPr>
                <w:rFonts w:ascii="Arial" w:cs="Arial" w:eastAsia="Arial" w:hAnsi="Arial"/>
                <w:sz w:val="18"/>
                <w:szCs w:val="18"/>
                <w:color w:val="auto"/>
              </w:rPr>
              <w:t>Common Shares Class 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12/28/2012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18"/>
                <w:szCs w:val="18"/>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5"/>
          </w:tcPr>
          <w:p>
            <w:pPr>
              <w:ind w:left="460"/>
              <w:spacing w:after="0"/>
              <w:rPr>
                <w:sz w:val="20"/>
                <w:szCs w:val="20"/>
                <w:color w:val="auto"/>
              </w:rPr>
            </w:pPr>
            <w:r>
              <w:rPr>
                <w:rFonts w:ascii="Arial" w:cs="Arial" w:eastAsia="Arial" w:hAnsi="Arial"/>
                <w:sz w:val="18"/>
                <w:szCs w:val="18"/>
                <w:color w:val="auto"/>
              </w:rPr>
              <w:t>(1,980 shares)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740" w:type="dxa"/>
            <w:vAlign w:val="bottom"/>
            <w:gridSpan w:val="5"/>
            <w:shd w:val="clear" w:color="auto" w:fill="CFF0FC"/>
          </w:tcPr>
          <w:p>
            <w:pPr>
              <w:ind w:left="460"/>
              <w:spacing w:after="0"/>
              <w:rPr>
                <w:sz w:val="20"/>
                <w:szCs w:val="20"/>
                <w:color w:val="auto"/>
              </w:rPr>
            </w:pPr>
            <w:r>
              <w:rPr>
                <w:rFonts w:ascii="Arial" w:cs="Arial" w:eastAsia="Arial" w:hAnsi="Arial"/>
                <w:sz w:val="18"/>
                <w:szCs w:val="18"/>
                <w:color w:val="auto"/>
              </w:rPr>
              <w:t>Common Shares Class B</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12/28/2012</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8"/>
                <w:szCs w:val="18"/>
                <w:color w:val="auto"/>
              </w:rPr>
            </w:pPr>
          </w:p>
        </w:tc>
        <w:tc>
          <w:tcPr>
            <w:tcW w:w="92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740" w:type="dxa"/>
            <w:vAlign w:val="bottom"/>
            <w:gridSpan w:val="5"/>
            <w:shd w:val="clear" w:color="auto" w:fill="CFF0FC"/>
          </w:tcPr>
          <w:p>
            <w:pPr>
              <w:ind w:left="460"/>
              <w:spacing w:after="0"/>
              <w:rPr>
                <w:sz w:val="20"/>
                <w:szCs w:val="20"/>
                <w:color w:val="auto"/>
              </w:rPr>
            </w:pPr>
            <w:r>
              <w:rPr>
                <w:rFonts w:ascii="Arial" w:cs="Arial" w:eastAsia="Arial" w:hAnsi="Arial"/>
                <w:sz w:val="18"/>
                <w:szCs w:val="18"/>
                <w:color w:val="auto"/>
              </w:rPr>
              <w:t>(2,953,020 shares)</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tcBorders>
              <w:right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2,877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2,441</w:t>
            </w:r>
          </w:p>
        </w:tc>
        <w:tc>
          <w:tcPr>
            <w:tcW w:w="200" w:type="dxa"/>
            <w:vAlign w:val="bottom"/>
          </w:tcPr>
          <w:p>
            <w:pPr>
              <w:spacing w:after="0"/>
              <w:rPr>
                <w:sz w:val="19"/>
                <w:szCs w:val="19"/>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2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w w:val="97"/>
              </w:rPr>
              <w:t>Hotel, gaming, and leisure</w:t>
            </w:r>
          </w:p>
        </w:tc>
        <w:tc>
          <w:tcPr>
            <w:tcW w:w="10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left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w w:val="98"/>
              </w:rPr>
              <w:t xml:space="preserve">IRGSE Holding Corp. </w:t>
            </w:r>
            <w:r>
              <w:rPr>
                <w:rFonts w:ascii="Arial" w:cs="Arial" w:eastAsia="Arial" w:hAnsi="Arial"/>
                <w:sz w:val="15"/>
                <w:szCs w:val="15"/>
                <w:color w:val="auto"/>
                <w:w w:val="98"/>
              </w:rPr>
              <w:t>(6)(12)</w:t>
            </w:r>
          </w:p>
        </w:tc>
        <w:tc>
          <w:tcPr>
            <w:tcW w:w="2740" w:type="dxa"/>
            <w:vAlign w:val="bottom"/>
            <w:gridSpan w:val="5"/>
          </w:tcPr>
          <w:p>
            <w:pPr>
              <w:ind w:left="460"/>
              <w:spacing w:after="0"/>
              <w:rPr>
                <w:sz w:val="20"/>
                <w:szCs w:val="20"/>
                <w:color w:val="auto"/>
              </w:rPr>
            </w:pPr>
            <w:r>
              <w:rPr>
                <w:rFonts w:ascii="Arial" w:cs="Arial" w:eastAsia="Arial" w:hAnsi="Arial"/>
                <w:sz w:val="18"/>
                <w:szCs w:val="18"/>
                <w:color w:val="auto"/>
                <w:w w:val="91"/>
              </w:rPr>
              <w:t>Class A Units (5,000,000 units)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3,896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920" w:type="dxa"/>
            <w:vAlign w:val="bottom"/>
            <w:gridSpan w:val="7"/>
            <w:shd w:val="clear" w:color="auto" w:fill="CFF0FC"/>
          </w:tcPr>
          <w:p>
            <w:pPr>
              <w:ind w:left="460"/>
              <w:spacing w:after="0"/>
              <w:rPr>
                <w:sz w:val="20"/>
                <w:szCs w:val="20"/>
                <w:color w:val="auto"/>
              </w:rPr>
            </w:pPr>
            <w:r>
              <w:rPr>
                <w:rFonts w:ascii="Arial" w:cs="Arial" w:eastAsia="Arial" w:hAnsi="Arial"/>
                <w:sz w:val="18"/>
                <w:szCs w:val="18"/>
                <w:color w:val="auto"/>
                <w:w w:val="92"/>
              </w:rPr>
              <w:t>Class C-1 Units (8,800,000 units)</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19"/>
                <w:szCs w:val="19"/>
                <w:color w:val="auto"/>
              </w:rPr>
            </w:pPr>
          </w:p>
        </w:tc>
        <w:tc>
          <w:tcPr>
            <w:tcW w:w="92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3,996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9"/>
                <w:szCs w:val="19"/>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5"/>
        </w:trPr>
        <w:tc>
          <w:tcPr>
            <w:tcW w:w="220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10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left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FF0FC"/>
          </w:tcPr>
          <w:p>
            <w:pPr>
              <w:spacing w:after="0"/>
              <w:rPr>
                <w:sz w:val="20"/>
                <w:szCs w:val="20"/>
                <w:color w:val="auto"/>
              </w:rPr>
            </w:pPr>
          </w:p>
        </w:tc>
        <w:tc>
          <w:tcPr>
            <w:tcW w:w="218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color w:val="auto"/>
              </w:rPr>
              <w:t>fuels</w:t>
            </w: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60" w:type="dxa"/>
            <w:vAlign w:val="bottom"/>
            <w:gridSpan w:val="9"/>
          </w:tcPr>
          <w:p>
            <w:pPr>
              <w:spacing w:after="0"/>
              <w:rPr>
                <w:sz w:val="20"/>
                <w:szCs w:val="20"/>
                <w:color w:val="auto"/>
              </w:rPr>
            </w:pPr>
            <w:r>
              <w:rPr>
                <w:rFonts w:ascii="Arial" w:cs="Arial" w:eastAsia="Arial" w:hAnsi="Arial"/>
                <w:sz w:val="18"/>
                <w:szCs w:val="18"/>
                <w:color w:val="auto"/>
                <w:w w:val="92"/>
              </w:rPr>
              <w:t xml:space="preserve">Mississippi Resources, LLC </w:t>
            </w:r>
            <w:r>
              <w:rPr>
                <w:rFonts w:ascii="Arial" w:cs="Arial" w:eastAsia="Arial" w:hAnsi="Arial"/>
                <w:sz w:val="15"/>
                <w:szCs w:val="15"/>
                <w:color w:val="auto"/>
                <w:w w:val="92"/>
              </w:rPr>
              <w:t>(6)(12)</w:t>
            </w:r>
            <w:r>
              <w:rPr>
                <w:rFonts w:ascii="Arial" w:cs="Arial" w:eastAsia="Arial" w:hAnsi="Arial"/>
                <w:sz w:val="18"/>
                <w:szCs w:val="18"/>
                <w:color w:val="auto"/>
                <w:w w:val="92"/>
              </w:rPr>
              <w:t xml:space="preserve">  Class A-1 Member Units (1,000</w:t>
            </w:r>
          </w:p>
        </w:tc>
        <w:tc>
          <w:tcPr>
            <w:tcW w:w="1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5/3/2017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8,155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5"/>
                <w:szCs w:val="15"/>
                <w:color w:val="auto"/>
              </w:rPr>
              <w:t>(13)</w:t>
            </w:r>
          </w:p>
        </w:tc>
        <w:tc>
          <w:tcPr>
            <w:tcW w:w="160" w:type="dxa"/>
            <w:vAlign w:val="bottom"/>
          </w:tcPr>
          <w:p>
            <w:pPr>
              <w:spacing w:after="0"/>
              <w:rPr>
                <w:sz w:val="20"/>
                <w:szCs w:val="20"/>
                <w:color w:val="auto"/>
              </w:rPr>
            </w:pPr>
          </w:p>
        </w:tc>
        <w:tc>
          <w:tcPr>
            <w:tcW w:w="1180" w:type="dxa"/>
            <w:vAlign w:val="bottom"/>
            <w:gridSpan w:val="2"/>
          </w:tcPr>
          <w:p>
            <w:pPr>
              <w:ind w:left="460"/>
              <w:spacing w:after="0"/>
              <w:rPr>
                <w:sz w:val="20"/>
                <w:szCs w:val="20"/>
                <w:color w:val="auto"/>
              </w:rPr>
            </w:pPr>
            <w:r>
              <w:rPr>
                <w:rFonts w:ascii="Arial" w:cs="Arial" w:eastAsia="Arial" w:hAnsi="Arial"/>
                <w:sz w:val="18"/>
                <w:szCs w:val="18"/>
                <w:color w:val="auto"/>
              </w:rPr>
              <w:t>units)</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740" w:type="dxa"/>
            <w:vAlign w:val="bottom"/>
            <w:gridSpan w:val="5"/>
            <w:shd w:val="clear" w:color="auto" w:fill="CFF0FC"/>
          </w:tcPr>
          <w:p>
            <w:pPr>
              <w:ind w:left="460"/>
              <w:spacing w:after="0"/>
              <w:rPr>
                <w:sz w:val="20"/>
                <w:szCs w:val="20"/>
                <w:color w:val="auto"/>
              </w:rPr>
            </w:pPr>
            <w:r>
              <w:rPr>
                <w:rFonts w:ascii="Arial" w:cs="Arial" w:eastAsia="Arial" w:hAnsi="Arial"/>
                <w:sz w:val="18"/>
                <w:szCs w:val="18"/>
                <w:color w:val="auto"/>
                <w:w w:val="95"/>
              </w:rPr>
              <w:t>Class A-2 Member Units (933</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6/4/2014</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18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units)</w:t>
            </w:r>
          </w:p>
        </w:tc>
        <w:tc>
          <w:tcPr>
            <w:tcW w:w="1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tcBorders>
              <w:right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FF0FC"/>
            </w:tcBorders>
          </w:tcPr>
          <w:p>
            <w:pPr>
              <w:spacing w:after="0"/>
              <w:rPr>
                <w:sz w:val="19"/>
                <w:szCs w:val="19"/>
                <w:color w:val="auto"/>
              </w:rPr>
            </w:pPr>
          </w:p>
        </w:tc>
        <w:tc>
          <w:tcPr>
            <w:tcW w:w="20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17,029</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CFF0FC"/>
            </w:tcBorders>
            <w:gridSpan w:val="3"/>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200" w:type="dxa"/>
            <w:vAlign w:val="bottom"/>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w w:val="98"/>
              </w:rPr>
              <w:t>62,013</w:t>
            </w:r>
          </w:p>
        </w:tc>
        <w:tc>
          <w:tcPr>
            <w:tcW w:w="180" w:type="dxa"/>
            <w:vAlign w:val="bottom"/>
            <w:shd w:val="clear" w:color="auto" w:fill="CFF0FC"/>
          </w:tcPr>
          <w:p>
            <w:pPr>
              <w:spacing w:after="0"/>
              <w:rPr>
                <w:sz w:val="17"/>
                <w:szCs w:val="17"/>
                <w:color w:val="auto"/>
              </w:rPr>
            </w:pPr>
          </w:p>
        </w:tc>
        <w:tc>
          <w:tcPr>
            <w:tcW w:w="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gridSpan w:val="4"/>
            <w:shd w:val="clear" w:color="auto" w:fill="CFF0FC"/>
          </w:tcPr>
          <w:p>
            <w:pPr>
              <w:jc w:val="right"/>
              <w:spacing w:after="0" w:line="205" w:lineRule="exact"/>
              <w:rPr>
                <w:sz w:val="20"/>
                <w:szCs w:val="20"/>
                <w:color w:val="auto"/>
              </w:rPr>
            </w:pPr>
            <w:r>
              <w:rPr>
                <w:rFonts w:ascii="Arial" w:cs="Arial" w:eastAsia="Arial" w:hAnsi="Arial"/>
                <w:sz w:val="18"/>
                <w:szCs w:val="18"/>
                <w:color w:val="auto"/>
              </w:rPr>
              <w:t>51,468</w:t>
            </w:r>
          </w:p>
        </w:tc>
        <w:tc>
          <w:tcPr>
            <w:tcW w:w="200" w:type="dxa"/>
            <w:vAlign w:val="bottom"/>
            <w:shd w:val="clear" w:color="auto" w:fill="CFF0FC"/>
          </w:tcPr>
          <w:p>
            <w:pPr>
              <w:spacing w:after="0"/>
              <w:rPr>
                <w:sz w:val="17"/>
                <w:szCs w:val="17"/>
                <w:color w:val="auto"/>
              </w:rPr>
            </w:pPr>
          </w:p>
        </w:tc>
        <w:tc>
          <w:tcPr>
            <w:tcW w:w="920" w:type="dxa"/>
            <w:vAlign w:val="bottom"/>
            <w:gridSpan w:val="5"/>
            <w:shd w:val="clear" w:color="auto" w:fill="CFF0FC"/>
          </w:tcPr>
          <w:p>
            <w:pPr>
              <w:jc w:val="right"/>
              <w:ind w:right="60"/>
              <w:spacing w:after="0" w:line="205"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4"/>
        </w:trPr>
        <w:tc>
          <w:tcPr>
            <w:tcW w:w="20" w:type="dxa"/>
            <w:vAlign w:val="bottom"/>
            <w:shd w:val="clear" w:color="auto" w:fill="CFF0FC"/>
          </w:tcPr>
          <w:p>
            <w:pPr>
              <w:spacing w:after="0"/>
              <w:rPr>
                <w:sz w:val="20"/>
                <w:szCs w:val="20"/>
                <w:color w:val="auto"/>
              </w:rPr>
            </w:pPr>
          </w:p>
        </w:tc>
        <w:tc>
          <w:tcPr>
            <w:tcW w:w="218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color w:val="auto"/>
              </w:rPr>
              <w:t>Investments</w:t>
            </w: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tcBorders>
              <w:right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6"/>
              </w:rPr>
              <w:t>$ 1,686,250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1,693,723</w:t>
            </w:r>
          </w:p>
        </w:tc>
        <w:tc>
          <w:tcPr>
            <w:tcW w:w="20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174.6</w:t>
            </w:r>
          </w:p>
        </w:tc>
        <w:tc>
          <w:tcPr>
            <w:tcW w:w="260" w:type="dxa"/>
            <w:vAlign w:val="bottom"/>
            <w:gridSpan w:val="3"/>
          </w:tcPr>
          <w:p>
            <w:pPr>
              <w:ind w:lef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12"/>
            <w:vMerge w:val="restart"/>
          </w:tcPr>
          <w:p>
            <w:pPr>
              <w:jc w:val="right"/>
              <w:ind w:right="600"/>
              <w:spacing w:after="0"/>
              <w:rPr>
                <w:sz w:val="20"/>
                <w:szCs w:val="20"/>
                <w:color w:val="auto"/>
              </w:rPr>
            </w:pPr>
            <w:r>
              <w:rPr>
                <w:rFonts w:ascii="Arial" w:cs="Arial" w:eastAsia="Arial" w:hAnsi="Arial"/>
                <w:sz w:val="14"/>
                <w:szCs w:val="14"/>
                <w:b w:val="1"/>
                <w:bCs w:val="1"/>
                <w:color w:val="auto"/>
                <w:w w:val="91"/>
              </w:rPr>
              <w:t>Interest Rate Swaps as of December 31, 2017</w:t>
            </w: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12"/>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5"/>
          </w:tcPr>
          <w:p>
            <w:pPr>
              <w:jc w:val="center"/>
              <w:ind w:right="420"/>
              <w:spacing w:after="0" w:line="133" w:lineRule="exact"/>
              <w:rPr>
                <w:sz w:val="20"/>
                <w:szCs w:val="20"/>
                <w:color w:val="auto"/>
              </w:rPr>
            </w:pPr>
            <w:r>
              <w:rPr>
                <w:rFonts w:ascii="Arial" w:cs="Arial" w:eastAsia="Arial" w:hAnsi="Arial"/>
                <w:sz w:val="14"/>
                <w:szCs w:val="14"/>
                <w:b w:val="1"/>
                <w:bCs w:val="1"/>
                <w:color w:val="auto"/>
                <w:w w:val="98"/>
              </w:rPr>
              <w:t>Upfront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Company</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2"/>
              </w:rPr>
              <w:t>Notional</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Fair Market</w:t>
            </w:r>
          </w:p>
        </w:tc>
        <w:tc>
          <w:tcPr>
            <w:tcW w:w="80" w:type="dxa"/>
            <w:vAlign w:val="bottom"/>
          </w:tcPr>
          <w:p>
            <w:pPr>
              <w:spacing w:after="0"/>
              <w:rPr>
                <w:sz w:val="12"/>
                <w:szCs w:val="12"/>
                <w:color w:val="auto"/>
              </w:rPr>
            </w:pPr>
          </w:p>
        </w:tc>
        <w:tc>
          <w:tcPr>
            <w:tcW w:w="100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Payments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7"/>
            <w:vMerge w:val="restart"/>
          </w:tcPr>
          <w:p>
            <w:pPr>
              <w:jc w:val="center"/>
              <w:ind w:right="20"/>
              <w:spacing w:after="0"/>
              <w:rPr>
                <w:sz w:val="20"/>
                <w:szCs w:val="20"/>
                <w:color w:val="auto"/>
              </w:rPr>
            </w:pPr>
            <w:r>
              <w:rPr>
                <w:rFonts w:ascii="Arial" w:cs="Arial" w:eastAsia="Arial" w:hAnsi="Arial"/>
                <w:sz w:val="14"/>
                <w:szCs w:val="14"/>
                <w:b w:val="1"/>
                <w:bCs w:val="1"/>
                <w:color w:val="auto"/>
                <w:w w:val="94"/>
              </w:rPr>
              <w:t>Change in 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Company Pays</w:t>
            </w:r>
          </w:p>
        </w:tc>
        <w:tc>
          <w:tcPr>
            <w:tcW w:w="20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6"/>
              </w:rPr>
              <w:t>Maturity Date</w:t>
            </w:r>
          </w:p>
        </w:tc>
        <w:tc>
          <w:tcPr>
            <w:tcW w:w="140" w:type="dxa"/>
            <w:vAlign w:val="bottom"/>
            <w:vMerge w:val="restart"/>
          </w:tcPr>
          <w:p>
            <w:pPr>
              <w:spacing w:after="0"/>
              <w:rPr>
                <w:sz w:val="12"/>
                <w:szCs w:val="12"/>
                <w:color w:val="auto"/>
              </w:rPr>
            </w:pPr>
          </w:p>
        </w:tc>
        <w:tc>
          <w:tcPr>
            <w:tcW w:w="220" w:type="dxa"/>
            <w:vAlign w:val="bottom"/>
            <w:gridSpan w:val="2"/>
            <w:vMerge w:val="restart"/>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center"/>
              <w:ind w:right="311"/>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5"/>
              </w:rPr>
              <w:t>Receives</w:t>
            </w:r>
          </w:p>
        </w:tc>
        <w:tc>
          <w:tcPr>
            <w:tcW w:w="18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gridSpan w:val="2"/>
            <w:vMerge w:val="continue"/>
          </w:tcPr>
          <w:p>
            <w:pPr>
              <w:spacing w:after="0"/>
              <w:rPr>
                <w:sz w:val="14"/>
                <w:szCs w:val="14"/>
                <w:color w:val="auto"/>
              </w:rPr>
            </w:pP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gridSpan w:val="4"/>
          </w:tcPr>
          <w:p>
            <w:pPr>
              <w:jc w:val="center"/>
              <w:ind w:right="290"/>
              <w:spacing w:after="0"/>
              <w:rPr>
                <w:sz w:val="20"/>
                <w:szCs w:val="20"/>
                <w:color w:val="auto"/>
              </w:rPr>
            </w:pPr>
            <w:r>
              <w:rPr>
                <w:rFonts w:ascii="Arial" w:cs="Arial" w:eastAsia="Arial" w:hAnsi="Arial"/>
                <w:sz w:val="14"/>
                <w:szCs w:val="14"/>
                <w:b w:val="1"/>
                <w:bCs w:val="1"/>
                <w:color w:val="auto"/>
                <w:w w:val="89"/>
              </w:rPr>
              <w:t>Receipts</w:t>
            </w: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Gains / (Losses)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92"/>
              <w:spacing w:after="0"/>
              <w:rPr>
                <w:sz w:val="20"/>
                <w:szCs w:val="20"/>
                <w:color w:val="auto"/>
              </w:rPr>
            </w:pPr>
            <w:r>
              <w:rPr>
                <w:rFonts w:ascii="Arial" w:cs="Arial" w:eastAsia="Arial" w:hAnsi="Arial"/>
                <w:sz w:val="18"/>
                <w:szCs w:val="18"/>
                <w:color w:val="auto"/>
                <w:w w:val="99"/>
              </w:rPr>
              <w:t>L</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1.16%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10/5/2018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4"/>
            <w:shd w:val="clear" w:color="auto" w:fill="CFF0FC"/>
          </w:tcPr>
          <w:p>
            <w:pPr>
              <w:jc w:val="right"/>
              <w:ind w:right="32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000" w:type="dxa"/>
            <w:vAlign w:val="bottom"/>
          </w:tcPr>
          <w:p>
            <w:pPr>
              <w:jc w:val="center"/>
              <w:ind w:right="92"/>
              <w:spacing w:after="0"/>
              <w:rPr>
                <w:sz w:val="20"/>
                <w:szCs w:val="20"/>
                <w:color w:val="auto"/>
              </w:rPr>
            </w:pPr>
            <w:r>
              <w:rPr>
                <w:rFonts w:ascii="Arial" w:cs="Arial" w:eastAsia="Arial" w:hAnsi="Arial"/>
                <w:sz w:val="18"/>
                <w:szCs w:val="18"/>
                <w:color w:val="auto"/>
                <w:w w:val="90"/>
              </w:rPr>
              <w:t>4.50%</w:t>
            </w:r>
          </w:p>
        </w:tc>
        <w:tc>
          <w:tcPr>
            <w:tcW w:w="180" w:type="dxa"/>
            <w:vAlign w:val="bottom"/>
          </w:tcPr>
          <w:p>
            <w:pPr>
              <w:spacing w:after="0"/>
              <w:rPr>
                <w:sz w:val="19"/>
                <w:szCs w:val="19"/>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L + 2.86%</w:t>
            </w:r>
          </w:p>
        </w:tc>
        <w:tc>
          <w:tcPr>
            <w:tcW w:w="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12/15/2019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(1,024)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180" w:type="dxa"/>
            <w:vAlign w:val="bottom"/>
            <w:gridSpan w:val="2"/>
            <w:shd w:val="clear" w:color="auto" w:fill="CFF0FC"/>
          </w:tcPr>
          <w:p>
            <w:pPr>
              <w:jc w:val="center"/>
              <w:ind w:right="360"/>
              <w:spacing w:after="0"/>
              <w:rPr>
                <w:sz w:val="20"/>
                <w:szCs w:val="20"/>
                <w:color w:val="auto"/>
              </w:rPr>
            </w:pPr>
            <w:r>
              <w:rPr>
                <w:rFonts w:ascii="Arial" w:cs="Arial" w:eastAsia="Arial" w:hAnsi="Arial"/>
                <w:sz w:val="18"/>
                <w:szCs w:val="18"/>
                <w:color w:val="auto"/>
                <w:w w:val="99"/>
              </w:rPr>
              <w:t>L</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1.72%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1/10/2020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3"/>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000" w:type="dxa"/>
            <w:vAlign w:val="bottom"/>
          </w:tcPr>
          <w:p>
            <w:pPr>
              <w:jc w:val="center"/>
              <w:ind w:right="92"/>
              <w:spacing w:after="0"/>
              <w:rPr>
                <w:sz w:val="20"/>
                <w:szCs w:val="20"/>
                <w:color w:val="auto"/>
              </w:rPr>
            </w:pPr>
            <w:r>
              <w:rPr>
                <w:rFonts w:ascii="Arial" w:cs="Arial" w:eastAsia="Arial" w:hAnsi="Arial"/>
                <w:sz w:val="18"/>
                <w:szCs w:val="18"/>
                <w:color w:val="auto"/>
                <w:w w:val="90"/>
              </w:rPr>
              <w:t>4.50%</w:t>
            </w:r>
          </w:p>
        </w:tc>
        <w:tc>
          <w:tcPr>
            <w:tcW w:w="180" w:type="dxa"/>
            <w:vAlign w:val="bottom"/>
          </w:tcPr>
          <w:p>
            <w:pPr>
              <w:spacing w:after="0"/>
              <w:rPr>
                <w:sz w:val="19"/>
                <w:szCs w:val="19"/>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L + 2.37%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collateral</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355,833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77"/>
              </w:rPr>
              <w:t>—</w:t>
            </w:r>
          </w:p>
        </w:tc>
        <w:tc>
          <w:tcPr>
            <w:tcW w:w="1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040" w:hanging="519"/>
        <w:spacing w:after="0"/>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Contract terms are shown net of Company receiving 6.65% and paying 8.38%.</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Contains a variable rate structure. Interest rate determined by three-month LIBOR.</w:t>
      </w:r>
    </w:p>
    <w:p>
      <w:pPr>
        <w:spacing w:after="0" w:line="116"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20" w:hanging="512"/>
        <w:spacing w:after="0" w:line="250"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Offered Rate ( “EURIBOR” or “E”)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2017.</w:t>
      </w:r>
    </w:p>
    <w:p>
      <w:pPr>
        <w:spacing w:after="0" w:line="2" w:lineRule="exact"/>
        <w:rPr>
          <w:rFonts w:ascii="Arial" w:cs="Arial" w:eastAsia="Arial" w:hAnsi="Arial"/>
          <w:sz w:val="18"/>
          <w:szCs w:val="18"/>
          <w:color w:val="auto"/>
        </w:rPr>
      </w:pPr>
    </w:p>
    <w:p>
      <w:pPr>
        <w:jc w:val="both"/>
        <w:ind w:left="520" w:right="40" w:hanging="512"/>
        <w:spacing w:after="0" w:line="277"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14.7% of total assets as of December 31, 2017.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5" w:name="page16"/>
    <w:bookmarkEnd w:id="15"/>
    <w:p>
      <w:pPr>
        <w:ind w:left="520" w:right="20" w:hanging="512"/>
        <w:spacing w:after="0" w:line="25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2" w:lineRule="exact"/>
        <w:rPr>
          <w:rFonts w:ascii="Arial" w:cs="Arial" w:eastAsia="Arial" w:hAnsi="Arial"/>
          <w:sz w:val="18"/>
          <w:szCs w:val="18"/>
          <w:color w:val="auto"/>
        </w:rPr>
      </w:pPr>
    </w:p>
    <w:p>
      <w:pPr>
        <w:ind w:left="520" w:right="60" w:hanging="512"/>
        <w:spacing w:after="0" w:line="273"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2017 in which the issuer was an Affiliated Person of and was deemed to Control a portfolio company are as follows: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2017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Change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Value at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Realized</w:t>
            </w:r>
          </w:p>
        </w:tc>
        <w:tc>
          <w:tcPr>
            <w:tcW w:w="140" w:type="dxa"/>
            <w:vAlign w:val="bottom"/>
          </w:tcPr>
          <w:p>
            <w:pPr>
              <w:spacing w:after="0"/>
              <w:rPr>
                <w:sz w:val="12"/>
                <w:szCs w:val="12"/>
                <w:color w:val="auto"/>
              </w:rPr>
            </w:pPr>
          </w:p>
        </w:tc>
        <w:tc>
          <w:tcPr>
            <w:tcW w:w="7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6"/>
              </w:rPr>
              <w:t>Value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Additions (a)</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Gain/(Loss)</w:t>
            </w:r>
          </w:p>
        </w:tc>
        <w:tc>
          <w:tcPr>
            <w:tcW w:w="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Gain/(Losses)</w:t>
            </w:r>
          </w:p>
        </w:tc>
        <w:tc>
          <w:tcPr>
            <w:tcW w:w="14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72,122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75,780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3,178</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IRGSE Holding Corp.</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8,014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(5,240)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34,748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(21,776)</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65,859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86,433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(21,776</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135,920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040" w:right="260" w:hanging="519"/>
        <w:spacing w:after="0" w:line="258"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2"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2017, the tax cost of the Company’s investments approximates the amortized cost.</w:t>
      </w:r>
    </w:p>
    <w:p>
      <w:pPr>
        <w:spacing w:after="0" w:line="23"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0"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50"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20" w:right="160" w:hanging="512"/>
        <w:spacing w:after="0" w:line="323"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Security acquired in transaction exempt from registration under the Securities Act of 1933, and may be deemed to be “restricted securities” under the Securities Act. As of December 31, 2017, the aggregate fair value of these securities is $24,475, or 2.5% of the Company’s net assets.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Six Months Ended June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71"/>
        </w:trPr>
        <w:tc>
          <w:tcPr>
            <w:tcW w:w="73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Increase (Decrease) in Net Assets Resulting from Operations</w:t>
            </w:r>
          </w:p>
        </w:tc>
        <w:tc>
          <w:tcPr>
            <w:tcW w:w="8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67,489</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62,451</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14,321</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Net realized losses</w:t>
            </w:r>
          </w:p>
        </w:tc>
        <w:tc>
          <w:tcPr>
            <w:tcW w:w="80" w:type="dxa"/>
            <w:vAlign w:val="bottom"/>
          </w:tcPr>
          <w:p>
            <w:pPr>
              <w:spacing w:after="0"/>
              <w:rPr>
                <w:sz w:val="19"/>
                <w:szCs w:val="19"/>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(6,310)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(16,668)</w:t>
            </w:r>
          </w:p>
        </w:tc>
      </w:tr>
      <w:tr>
        <w:trPr>
          <w:trHeight w:val="223"/>
        </w:trPr>
        <w:tc>
          <w:tcPr>
            <w:tcW w:w="73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67,405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60,104</w:t>
            </w:r>
          </w:p>
        </w:tc>
        <w:tc>
          <w:tcPr>
            <w:tcW w:w="100" w:type="dxa"/>
            <w:vAlign w:val="bottom"/>
            <w:tcBorders>
              <w:top w:val="single" w:sz="8" w:color="CFF0FC"/>
            </w:tcBorders>
            <w:shd w:val="clear" w:color="auto" w:fill="CFF0FC"/>
          </w:tcPr>
          <w:p>
            <w:pPr>
              <w:spacing w:after="0"/>
              <w:rPr>
                <w:sz w:val="19"/>
                <w:szCs w:val="19"/>
                <w:color w:val="auto"/>
              </w:rPr>
            </w:pPr>
          </w:p>
        </w:tc>
      </w:tr>
      <w:tr>
        <w:trPr>
          <w:trHeight w:val="205"/>
        </w:trPr>
        <w:tc>
          <w:tcPr>
            <w:tcW w:w="7320" w:type="dxa"/>
            <w:vAlign w:val="bottom"/>
          </w:tcPr>
          <w:p>
            <w:pPr>
              <w:spacing w:after="0" w:line="205" w:lineRule="exact"/>
              <w:rPr>
                <w:sz w:val="20"/>
                <w:szCs w:val="20"/>
                <w:color w:val="auto"/>
              </w:rPr>
            </w:pPr>
            <w:r>
              <w:rPr>
                <w:rFonts w:ascii="Arial" w:cs="Arial" w:eastAsia="Arial" w:hAnsi="Arial"/>
                <w:sz w:val="18"/>
                <w:szCs w:val="18"/>
                <w:b w:val="1"/>
                <w:bCs w:val="1"/>
                <w:color w:val="auto"/>
              </w:rPr>
              <w:t>Increase (Decrease) in Net Assets Resulting from</w:t>
            </w: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Capital Share Transactions</w:t>
            </w: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71,813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Issuance of convertible notes</w:t>
            </w:r>
          </w:p>
        </w:tc>
        <w:tc>
          <w:tcPr>
            <w:tcW w:w="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Reinvestment of dividends</w:t>
            </w:r>
          </w:p>
        </w:tc>
        <w:tc>
          <w:tcPr>
            <w:tcW w:w="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80" w:type="dxa"/>
            <w:vAlign w:val="bottom"/>
          </w:tcPr>
          <w:p>
            <w:pPr>
              <w:spacing w:after="0"/>
              <w:rPr>
                <w:sz w:val="19"/>
                <w:szCs w:val="19"/>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(54,568)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(49,116)</w:t>
            </w:r>
          </w:p>
        </w:tc>
      </w:tr>
      <w:tr>
        <w:trPr>
          <w:trHeight w:val="205"/>
        </w:trPr>
        <w:tc>
          <w:tcPr>
            <w:tcW w:w="7320" w:type="dxa"/>
            <w:vAlign w:val="bottom"/>
            <w:tcBorders>
              <w:top w:val="single" w:sz="8" w:color="CFF0FC"/>
            </w:tcBorders>
            <w:shd w:val="clear" w:color="auto" w:fill="CFF0FC"/>
          </w:tcPr>
          <w:p>
            <w:pPr>
              <w:ind w:left="260"/>
              <w:spacing w:after="0" w:line="205" w:lineRule="exact"/>
              <w:rPr>
                <w:sz w:val="20"/>
                <w:szCs w:val="20"/>
                <w:color w:val="auto"/>
              </w:rPr>
            </w:pPr>
            <w:r>
              <w:rPr>
                <w:rFonts w:ascii="Arial" w:cs="Arial" w:eastAsia="Arial" w:hAnsi="Arial"/>
                <w:sz w:val="18"/>
                <w:szCs w:val="18"/>
                <w:b w:val="1"/>
                <w:bCs w:val="1"/>
                <w:color w:val="auto"/>
              </w:rPr>
              <w:t>Increase (Decrease) in Net Assets Resulting from Capital Share</w:t>
            </w:r>
          </w:p>
        </w:tc>
        <w:tc>
          <w:tcPr>
            <w:tcW w:w="80" w:type="dxa"/>
            <w:vAlign w:val="bottom"/>
            <w:tcBorders>
              <w:top w:val="single" w:sz="8" w:color="auto"/>
            </w:tcBorders>
            <w:shd w:val="clear" w:color="auto" w:fill="CFF0FC"/>
          </w:tcPr>
          <w:p>
            <w:pPr>
              <w:spacing w:after="0"/>
              <w:rPr>
                <w:sz w:val="17"/>
                <w:szCs w:val="17"/>
                <w:color w:val="auto"/>
              </w:rPr>
            </w:pPr>
          </w:p>
        </w:tc>
        <w:tc>
          <w:tcPr>
            <w:tcW w:w="18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732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Transactions</w:t>
            </w:r>
          </w:p>
        </w:tc>
        <w:tc>
          <w:tcPr>
            <w:tcW w:w="8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25,353</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(44,217)</w:t>
            </w:r>
          </w:p>
        </w:tc>
      </w:tr>
      <w:tr>
        <w:trPr>
          <w:trHeight w:val="223"/>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Total Increase in Net Assets</w:t>
            </w:r>
          </w:p>
        </w:tc>
        <w:tc>
          <w:tcPr>
            <w:tcW w:w="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92,758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15,887</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Net assets, beginning of period</w:t>
            </w:r>
          </w:p>
        </w:tc>
        <w:tc>
          <w:tcPr>
            <w:tcW w:w="8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969,284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952,212</w:t>
            </w:r>
          </w:p>
        </w:tc>
        <w:tc>
          <w:tcPr>
            <w:tcW w:w="100" w:type="dxa"/>
            <w:vAlign w:val="bottom"/>
            <w:shd w:val="clear" w:color="auto" w:fill="CFF0FC"/>
          </w:tcPr>
          <w:p>
            <w:pPr>
              <w:spacing w:after="0"/>
              <w:rPr>
                <w:sz w:val="19"/>
                <w:szCs w:val="19"/>
                <w:color w:val="auto"/>
              </w:rPr>
            </w:pPr>
          </w:p>
        </w:tc>
      </w:tr>
      <w:tr>
        <w:trPr>
          <w:trHeight w:val="263"/>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Net Assets,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1,062,042</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968,099</w:t>
            </w:r>
          </w:p>
        </w:tc>
        <w:tc>
          <w:tcPr>
            <w:tcW w:w="100" w:type="dxa"/>
            <w:vAlign w:val="bottom"/>
            <w:tcBorders>
              <w:bottom w:val="single" w:sz="8" w:color="CFF0FC"/>
            </w:tcBorders>
          </w:tcPr>
          <w:p>
            <w:pPr>
              <w:spacing w:after="0"/>
              <w:rPr>
                <w:sz w:val="22"/>
                <w:szCs w:val="22"/>
                <w:color w:val="auto"/>
              </w:rPr>
            </w:pPr>
          </w:p>
        </w:tc>
      </w:tr>
      <w:tr>
        <w:trPr>
          <w:trHeight w:val="192"/>
        </w:trPr>
        <w:tc>
          <w:tcPr>
            <w:tcW w:w="732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Undistributed Net Investment Income Included in Net</w:t>
            </w:r>
          </w:p>
        </w:tc>
        <w:tc>
          <w:tcPr>
            <w:tcW w:w="8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Assets at the End of the Period</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72,068</w:t>
            </w:r>
          </w:p>
        </w:tc>
        <w:tc>
          <w:tcPr>
            <w:tcW w:w="14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56,722</w:t>
            </w:r>
          </w:p>
        </w:tc>
        <w:tc>
          <w:tcPr>
            <w:tcW w:w="100" w:type="dxa"/>
            <w:vAlign w:val="bottom"/>
            <w:shd w:val="clear" w:color="auto" w:fill="CFF0FC"/>
          </w:tcPr>
          <w:p>
            <w:pPr>
              <w:spacing w:after="0"/>
              <w:rPr>
                <w:sz w:val="20"/>
                <w:szCs w:val="20"/>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2017</w:t>
            </w: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67,405</w:t>
            </w:r>
          </w:p>
        </w:tc>
        <w:tc>
          <w:tcPr>
            <w:tcW w:w="140" w:type="dxa"/>
            <w:vAlign w:val="bottom"/>
          </w:tcPr>
          <w:p>
            <w:pPr>
              <w:spacing w:after="0"/>
              <w:rPr>
                <w:sz w:val="19"/>
                <w:szCs w:val="19"/>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60,104</w:t>
            </w:r>
          </w:p>
        </w:tc>
        <w:tc>
          <w:tcPr>
            <w:tcW w:w="180" w:type="dxa"/>
            <w:vAlign w:val="bottom"/>
          </w:tcPr>
          <w:p>
            <w:pPr>
              <w:spacing w:after="0"/>
              <w:rPr>
                <w:sz w:val="19"/>
                <w:szCs w:val="19"/>
                <w:color w:val="auto"/>
              </w:rPr>
            </w:pPr>
          </w:p>
        </w:tc>
      </w:tr>
      <w:tr>
        <w:trPr>
          <w:trHeight w:val="215"/>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provided by (used) in operating activities:</w:t>
            </w: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Net change in unrealized gains on investments</w:t>
            </w:r>
          </w:p>
        </w:tc>
        <w:tc>
          <w:tcPr>
            <w:tcW w:w="22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(8,300)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(20,691)</w:t>
            </w: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losses on foreign currency transactions</w:t>
            </w:r>
          </w:p>
        </w:tc>
        <w:tc>
          <w:tcPr>
            <w:tcW w:w="2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(3,905)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8,657</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interest rate swaps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(2,287)</w:t>
            </w: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losses on investments</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17,181</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Net realized gains on foreign currency transactions</w:t>
            </w:r>
          </w:p>
        </w:tc>
        <w:tc>
          <w:tcPr>
            <w:tcW w:w="22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amortization of discount on investments</w:t>
            </w:r>
          </w:p>
        </w:tc>
        <w:tc>
          <w:tcPr>
            <w:tcW w:w="2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(10,956)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(18,254)</w:t>
            </w: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1,541</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discount on debt</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Purchases and originations of investments, net</w:t>
            </w:r>
          </w:p>
        </w:tc>
        <w:tc>
          <w:tcPr>
            <w:tcW w:w="22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(552,960)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(412,085)</w:t>
            </w: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investments, net</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80,149</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Repayments on investments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289,618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455,265</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Paid-in-kind interest</w:t>
            </w:r>
          </w:p>
        </w:tc>
        <w:tc>
          <w:tcPr>
            <w:tcW w:w="2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(2,578)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(3,452)</w:t>
            </w: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w:t>
            </w:r>
          </w:p>
        </w:tc>
        <w:tc>
          <w:tcPr>
            <w:tcW w:w="2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(1,602)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Interest receivable paid-in-kind</w:t>
            </w:r>
          </w:p>
        </w:tc>
        <w:tc>
          <w:tcPr>
            <w:tcW w:w="22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(8,239)</w:t>
            </w: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Management fees payable to affiliate</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Incentive fees payable to affiliate</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Payable to affiliate</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801</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4,351</w:t>
            </w:r>
          </w:p>
        </w:tc>
        <w:tc>
          <w:tcPr>
            <w:tcW w:w="180" w:type="dxa"/>
            <w:vAlign w:val="bottom"/>
            <w:shd w:val="clear" w:color="auto" w:fill="CFF0FC"/>
          </w:tcPr>
          <w:p>
            <w:pPr>
              <w:spacing w:after="0"/>
              <w:rPr>
                <w:sz w:val="19"/>
                <w:szCs w:val="19"/>
                <w:color w:val="auto"/>
              </w:rPr>
            </w:pPr>
          </w:p>
        </w:tc>
      </w:tr>
      <w:tr>
        <w:trPr>
          <w:trHeight w:val="223"/>
        </w:trPr>
        <w:tc>
          <w:tcPr>
            <w:tcW w:w="7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2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(179,655)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165,586</w:t>
            </w:r>
          </w:p>
        </w:tc>
        <w:tc>
          <w:tcPr>
            <w:tcW w:w="180" w:type="dxa"/>
            <w:vAlign w:val="bottom"/>
            <w:tcBorders>
              <w:bottom w:val="single" w:sz="8" w:color="CFF0FC"/>
            </w:tcBorders>
          </w:tcPr>
          <w:p>
            <w:pPr>
              <w:spacing w:after="0"/>
              <w:rPr>
                <w:sz w:val="19"/>
                <w:szCs w:val="19"/>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Borrowings on debt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860,240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539,500</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Repayments on debt</w:t>
            </w:r>
          </w:p>
        </w:tc>
        <w:tc>
          <w:tcPr>
            <w:tcW w:w="2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(696,275)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(649,275)</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2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(6,829)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(3,818)</w:t>
            </w:r>
          </w:p>
        </w:tc>
      </w:tr>
      <w:tr>
        <w:trPr>
          <w:trHeight w:val="215"/>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net of offering and</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underwriting costs</w:t>
            </w: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71,813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22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(45,651)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(44,481)</w:t>
            </w:r>
          </w:p>
        </w:tc>
      </w:tr>
      <w:tr>
        <w:trPr>
          <w:trHeight w:val="223"/>
        </w:trPr>
        <w:tc>
          <w:tcPr>
            <w:tcW w:w="74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183,298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(158,074)</w:t>
            </w:r>
          </w:p>
        </w:tc>
        <w:tc>
          <w:tcPr>
            <w:tcW w:w="180" w:type="dxa"/>
            <w:vAlign w:val="bottom"/>
            <w:tcBorders>
              <w:top w:val="single" w:sz="8" w:color="CFF0FC"/>
            </w:tcBorders>
            <w:shd w:val="clear" w:color="auto" w:fill="CFF0FC"/>
          </w:tcPr>
          <w:p>
            <w:pPr>
              <w:spacing w:after="0"/>
              <w:rPr>
                <w:sz w:val="19"/>
                <w:szCs w:val="19"/>
                <w:color w:val="auto"/>
              </w:rPr>
            </w:pPr>
          </w:p>
        </w:tc>
      </w:tr>
      <w:tr>
        <w:trPr>
          <w:trHeight w:val="223"/>
        </w:trPr>
        <w:tc>
          <w:tcPr>
            <w:tcW w:w="7400" w:type="dxa"/>
            <w:vAlign w:val="bottom"/>
          </w:tcPr>
          <w:p>
            <w:pPr>
              <w:ind w:left="50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7,512</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5,954</w:t>
            </w:r>
          </w:p>
        </w:tc>
        <w:tc>
          <w:tcPr>
            <w:tcW w:w="180" w:type="dxa"/>
            <w:vAlign w:val="bottom"/>
            <w:shd w:val="clear" w:color="auto" w:fill="CFF0FC"/>
          </w:tcPr>
          <w:p>
            <w:pPr>
              <w:spacing w:after="0"/>
              <w:rPr>
                <w:sz w:val="19"/>
                <w:szCs w:val="19"/>
                <w:color w:val="auto"/>
              </w:rPr>
            </w:pPr>
          </w:p>
        </w:tc>
      </w:tr>
      <w:tr>
        <w:trPr>
          <w:trHeight w:val="263"/>
        </w:trPr>
        <w:tc>
          <w:tcPr>
            <w:tcW w:w="7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13,466</w:t>
            </w:r>
          </w:p>
        </w:tc>
        <w:tc>
          <w:tcPr>
            <w:tcW w:w="180" w:type="dxa"/>
            <w:vAlign w:val="bottom"/>
            <w:tcBorders>
              <w:bottom w:val="single" w:sz="8" w:color="CFF0FC"/>
            </w:tcBorders>
          </w:tcPr>
          <w:p>
            <w:pPr>
              <w:spacing w:after="0"/>
              <w:rPr>
                <w:sz w:val="22"/>
                <w:szCs w:val="22"/>
                <w:color w:val="auto"/>
              </w:rPr>
            </w:pPr>
          </w:p>
        </w:tc>
      </w:tr>
      <w:tr>
        <w:trPr>
          <w:trHeight w:val="21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Supplemental Information:</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Interest paid during the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14,154</w:t>
            </w:r>
          </w:p>
        </w:tc>
        <w:tc>
          <w:tcPr>
            <w:tcW w:w="140" w:type="dxa"/>
            <w:vAlign w:val="bottom"/>
          </w:tcPr>
          <w:p>
            <w:pPr>
              <w:spacing w:after="0"/>
              <w:rPr>
                <w:sz w:val="19"/>
                <w:szCs w:val="19"/>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8,139</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Excise taxes paid during the period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Dividends declared during the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54,568</w:t>
            </w:r>
          </w:p>
        </w:tc>
        <w:tc>
          <w:tcPr>
            <w:tcW w:w="140" w:type="dxa"/>
            <w:vAlign w:val="bottom"/>
          </w:tcPr>
          <w:p>
            <w:pPr>
              <w:spacing w:after="0"/>
              <w:rPr>
                <w:sz w:val="19"/>
                <w:szCs w:val="19"/>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49,116</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7,098</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54"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2017, which was filed with the Securities and Exchange Commission (“SEC”), on February 21, 2018.</w:t>
      </w:r>
    </w:p>
    <w:p>
      <w:pPr>
        <w:spacing w:after="0" w:line="154"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40" w:firstLine="259"/>
        <w:spacing w:after="0" w:line="297"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jc w:val="both"/>
        <w:ind w:firstLine="259"/>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5"/>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80" w:hanging="255"/>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80" w:hanging="255"/>
        <w:spacing w:after="0" w:line="26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June 30, 2018,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appeared reasonable.</w:t>
      </w:r>
    </w:p>
    <w:p>
      <w:pPr>
        <w:spacing w:after="0" w:line="171"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 xml:space="preserve">The Company applies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0" w:lineRule="exact"/>
        <w:rPr>
          <w:sz w:val="20"/>
          <w:szCs w:val="20"/>
          <w:color w:val="auto"/>
        </w:rPr>
      </w:pPr>
    </w:p>
    <w:p>
      <w:pPr>
        <w:ind w:left="5620" w:right="1040" w:hanging="5355"/>
        <w:spacing w:after="0" w:line="528" w:lineRule="auto"/>
        <w:tabs>
          <w:tab w:leader="none" w:pos="5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ind w:left="520" w:right="740" w:hanging="255"/>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66" w:lineRule="exact"/>
        <w:rPr>
          <w:sz w:val="20"/>
          <w:szCs w:val="20"/>
          <w:color w:val="auto"/>
        </w:rPr>
      </w:pPr>
    </w:p>
    <w:p>
      <w:pPr>
        <w:ind w:right="260" w:firstLine="259"/>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24"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Derivatives, including the Company’s interest rate swaps, for which broker quotes are available are typically valued at those broker quotes.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40" w:hanging="255"/>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right="160" w:hanging="255"/>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1" w:name="page22"/>
    <w:bookmarkEnd w:id="21"/>
    <w:p>
      <w:pPr>
        <w:ind w:right="100" w:firstLine="259"/>
        <w:spacing w:after="0" w:line="293"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65" w:lineRule="exact"/>
        <w:rPr>
          <w:sz w:val="20"/>
          <w:szCs w:val="20"/>
          <w:color w:val="auto"/>
        </w:rPr>
      </w:pPr>
    </w:p>
    <w:p>
      <w:pPr>
        <w:ind w:right="280" w:firstLine="259"/>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obligation.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240" w:firstLine="259"/>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6"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160" w:firstLine="259"/>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 Subsequent to closing, investments are recorded at fair value at each reporting period.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2" w:name="page23"/>
    <w:bookmarkEnd w:id="22"/>
    <w:p>
      <w:pPr>
        <w:ind w:right="80" w:firstLine="259"/>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60" w:firstLine="259"/>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40" w:firstLine="259"/>
        <w:spacing w:after="0" w:line="308" w:lineRule="auto"/>
        <w:rPr>
          <w:sz w:val="20"/>
          <w:szCs w:val="20"/>
          <w:color w:val="auto"/>
        </w:rPr>
      </w:pPr>
      <w:r>
        <w:rPr>
          <w:rFonts w:ascii="Arial" w:cs="Arial" w:eastAsia="Arial" w:hAnsi="Arial"/>
          <w:sz w:val="17"/>
          <w:szCs w:val="17"/>
          <w:color w:val="auto"/>
        </w:rPr>
        <w:t>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47"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2018</w:t>
      </w:r>
    </w:p>
    <w:p>
      <w:pPr>
        <w:spacing w:after="0" w:line="117"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color w:val="auto"/>
        </w:rPr>
        <w:t>In May 2014, the Financial Accounting Standards Board issued Accounting Standards Update 2014-09 (“ASU 2014-09”), “Revenue from Contracts with Customers (Topic 606).” The guidance in this ASU supersedes the revenue recognition requirements in Topic 605, Revenue Recognition. Under the new 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in fiscal years beginning after December 15, 2017, with early adoption permitted for interim and annual periods in fiscal years beginning after December 15, 2016. The Company’s adoption of this guidance did not have a material impact on the Company’s financial position, results of operations, cash flows or notes to the consolidated financial statements.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5"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On February 22,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1" w:lineRule="exact"/>
        <w:rPr>
          <w:sz w:val="20"/>
          <w:szCs w:val="20"/>
          <w:color w:val="auto"/>
        </w:rPr>
      </w:pPr>
    </w:p>
    <w:p>
      <w:pPr>
        <w:jc w:val="both"/>
        <w:ind w:right="160" w:firstLine="259"/>
        <w:spacing w:after="0" w:line="264" w:lineRule="auto"/>
        <w:rPr>
          <w:sz w:val="20"/>
          <w:szCs w:val="20"/>
          <w:color w:val="auto"/>
        </w:rPr>
      </w:pPr>
      <w:r>
        <w:rPr>
          <w:rFonts w:ascii="Arial" w:cs="Arial" w:eastAsia="Arial" w:hAnsi="Arial"/>
          <w:sz w:val="18"/>
          <w:szCs w:val="18"/>
          <w:color w:val="auto"/>
        </w:rPr>
        <w:t>On November 7, 2017, the Board renewed the Administration Agreement. Unless earlier terminated as described below, the Administration Agreement will remain in effect until November 2018,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3" w:name="page24"/>
    <w:bookmarkEnd w:id="23"/>
    <w:p>
      <w:pPr>
        <w:ind w:right="120" w:firstLine="259"/>
        <w:spacing w:after="0" w:line="312" w:lineRule="auto"/>
        <w:rPr>
          <w:sz w:val="20"/>
          <w:szCs w:val="20"/>
          <w:color w:val="auto"/>
        </w:rPr>
      </w:pPr>
      <w:r>
        <w:rPr>
          <w:rFonts w:ascii="Arial" w:cs="Arial" w:eastAsia="Arial" w:hAnsi="Arial"/>
          <w:sz w:val="16"/>
          <w:szCs w:val="16"/>
          <w:color w:val="auto"/>
        </w:rPr>
        <w:t>For the three and six months ended June 30, 2018, the Company incurred expenses of $1.0 million and $1.9 million, respectively, for administrative services payable to the Adviser under the terms of the Administration Agreement. For the three and six months ended June 30, 2017 the Company incurred expenses of $1.0 million and $2.0 million, respectively, for administrative services payable to the Adviser under the terms of the Administration Agreement.</w:t>
      </w:r>
    </w:p>
    <w:p>
      <w:pPr>
        <w:spacing w:after="0" w:line="147" w:lineRule="exact"/>
        <w:rPr>
          <w:sz w:val="20"/>
          <w:szCs w:val="20"/>
          <w:color w:val="auto"/>
        </w:rPr>
      </w:pPr>
    </w:p>
    <w:p>
      <w:pPr>
        <w:ind w:right="120" w:firstLine="259"/>
        <w:spacing w:after="0" w:line="297"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1" w:lineRule="exact"/>
        <w:rPr>
          <w:sz w:val="20"/>
          <w:szCs w:val="20"/>
          <w:color w:val="auto"/>
        </w:rPr>
      </w:pPr>
    </w:p>
    <w:p>
      <w:pPr>
        <w:ind w:right="200" w:firstLine="259"/>
        <w:spacing w:after="0" w:line="308" w:lineRule="auto"/>
        <w:rPr>
          <w:sz w:val="20"/>
          <w:szCs w:val="20"/>
          <w:color w:val="auto"/>
        </w:rPr>
      </w:pPr>
      <w:r>
        <w:rPr>
          <w:rFonts w:ascii="Arial" w:cs="Arial" w:eastAsia="Arial" w:hAnsi="Arial"/>
          <w:sz w:val="17"/>
          <w:szCs w:val="17"/>
          <w:color w:val="auto"/>
        </w:rPr>
        <w:t>For the three and six months ended June 30, 2018, Management Fees (gross of waivers) were $7.3 million and $14.0 million, respectively. For the three and six months ended June 30, 2017, Management Fees (gross of waivers) were $6.0 million and $12.0 million, respectively.</w:t>
      </w:r>
    </w:p>
    <w:p>
      <w:pPr>
        <w:spacing w:after="0" w:line="14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The Adviser has voluntarily waived the Management Fee on our ownership of shares of common stock in Triangle Capital Corp. (the “TCAP Shares”) for any period in which Triangle Capital Corp. remains our portfolio company. As of June 30, 2018, the Company had fully exited its position in the TCAP Shares.</w:t>
      </w:r>
    </w:p>
    <w:p>
      <w:pPr>
        <w:spacing w:after="0" w:line="18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For the six months ended June 30, 2018, Management Fees of less than $0.1 million were waived consisting solely of Management Fees attributable to the Company’s ownership of the TCAP Shares. The Adviser did not waive any Management Fees for the three months ended June 30, 2018. The Adviser did not waive any Management Fees for the three and six months ended June 30, 2017.</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280" w:hanging="255"/>
        <w:spacing w:after="0" w:line="286"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w:t>
      </w:r>
    </w:p>
    <w:p>
      <w:pPr>
        <w:spacing w:after="0" w:line="1" w:lineRule="exact"/>
        <w:rPr>
          <w:rFonts w:ascii="Arial" w:cs="Arial" w:eastAsia="Arial" w:hAnsi="Arial"/>
          <w:sz w:val="16"/>
          <w:szCs w:val="16"/>
          <w:color w:val="auto"/>
        </w:rPr>
      </w:pPr>
    </w:p>
    <w:p>
      <w:pPr>
        <w:ind w:left="520" w:right="20"/>
        <w:spacing w:after="0" w:line="277" w:lineRule="auto"/>
        <w:rPr>
          <w:rFonts w:ascii="Arial" w:cs="Arial" w:eastAsia="Arial" w:hAnsi="Arial"/>
          <w:sz w:val="16"/>
          <w:szCs w:val="16"/>
          <w:color w:val="auto"/>
        </w:rPr>
      </w:pPr>
      <w:r>
        <w:rPr>
          <w:rFonts w:ascii="Arial" w:cs="Arial" w:eastAsia="Arial" w:hAnsi="Arial"/>
          <w:sz w:val="17"/>
          <w:szCs w:val="17"/>
          <w:color w:val="auto"/>
        </w:rPr>
        <w:t>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65" w:lineRule="exact"/>
        <w:rPr>
          <w:rFonts w:ascii="Arial" w:cs="Arial" w:eastAsia="Arial" w:hAnsi="Arial"/>
          <w:sz w:val="16"/>
          <w:szCs w:val="16"/>
          <w:color w:val="auto"/>
        </w:rPr>
      </w:pPr>
    </w:p>
    <w:p>
      <w:pPr>
        <w:ind w:left="520" w:right="60"/>
        <w:spacing w:after="0" w:line="293" w:lineRule="auto"/>
        <w:rPr>
          <w:rFonts w:ascii="Arial" w:cs="Arial" w:eastAsia="Arial" w:hAnsi="Arial"/>
          <w:sz w:val="16"/>
          <w:szCs w:val="16"/>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56" w:lineRule="exact"/>
        <w:rPr>
          <w:rFonts w:ascii="Arial" w:cs="Arial" w:eastAsia="Arial" w:hAnsi="Arial"/>
          <w:sz w:val="16"/>
          <w:szCs w:val="16"/>
          <w:color w:val="auto"/>
        </w:rPr>
      </w:pPr>
    </w:p>
    <w:p>
      <w:pPr>
        <w:ind w:left="520" w:right="120" w:hanging="255"/>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ind w:left="520"/>
        <w:spacing w:after="0" w:line="291" w:lineRule="auto"/>
        <w:rPr>
          <w:sz w:val="20"/>
          <w:szCs w:val="20"/>
          <w:color w:val="auto"/>
        </w:rPr>
      </w:pPr>
      <w:r>
        <w:rPr>
          <w:rFonts w:ascii="Arial" w:cs="Arial" w:eastAsia="Arial" w:hAnsi="Arial"/>
          <w:sz w:val="16"/>
          <w:szCs w:val="16"/>
          <w:color w:val="auto"/>
        </w:rPr>
        <w:t>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560" w:firstLine="259"/>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7"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Section 205(b)(3) of the Investment Advisers Act of 1940, as amended, prohibits the Adviser from receiving the payment of fees on unrealized gains until those gains are realized, if ever. There can be no assurance that such unrealized gains will be realized in the future.</w:t>
      </w:r>
    </w:p>
    <w:p>
      <w:pPr>
        <w:spacing w:after="0" w:line="170" w:lineRule="exact"/>
        <w:rPr>
          <w:sz w:val="20"/>
          <w:szCs w:val="20"/>
          <w:color w:val="auto"/>
        </w:rPr>
      </w:pPr>
    </w:p>
    <w:p>
      <w:pPr>
        <w:jc w:val="both"/>
        <w:ind w:right="40" w:firstLine="259"/>
        <w:spacing w:after="0" w:line="264" w:lineRule="auto"/>
        <w:rPr>
          <w:sz w:val="20"/>
          <w:szCs w:val="20"/>
          <w:color w:val="auto"/>
        </w:rPr>
      </w:pPr>
      <w:r>
        <w:rPr>
          <w:rFonts w:ascii="Arial" w:cs="Arial" w:eastAsia="Arial" w:hAnsi="Arial"/>
          <w:sz w:val="18"/>
          <w:szCs w:val="18"/>
          <w:color w:val="auto"/>
        </w:rPr>
        <w:t>For the three and six months ended June 30, 2018, Incentive Fees (gross of waivers) were $7.7 million and $14.3 million, respectively, all of which were realized and payable to the Adviser. For the three and six months ended June 30, 2017 Incentive Fees (gross of waivers) were $7.2 million and $13.2 million, respectively, all of which were realized and payable to the Adviser.</w:t>
      </w:r>
    </w:p>
    <w:p>
      <w:pPr>
        <w:spacing w:after="0" w:line="181"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the Company as a result of its ownership of the TCAP Shares for any period in which Triangle Capital Corp. remains the Company’s portfolio company. The Adviser has not waived any part of the Capital Gains Fee attributable to the Company’s ownership of the TCAP Shares and, accordingly, any realized capital gains or losses and unrealized capital losses with respect to the TCAP Shares will be applied against the Company’s cumulative realized capital gains on which the Capital Gains Fee is calculated.</w:t>
      </w:r>
    </w:p>
    <w:p>
      <w:pPr>
        <w:spacing w:after="0" w:line="188" w:lineRule="exact"/>
        <w:rPr>
          <w:sz w:val="20"/>
          <w:szCs w:val="20"/>
          <w:color w:val="auto"/>
        </w:rPr>
      </w:pPr>
    </w:p>
    <w:p>
      <w:pPr>
        <w:ind w:right="300" w:firstLine="259"/>
        <w:spacing w:after="0" w:line="264" w:lineRule="auto"/>
        <w:rPr>
          <w:sz w:val="20"/>
          <w:szCs w:val="20"/>
          <w:color w:val="auto"/>
        </w:rPr>
      </w:pPr>
      <w:r>
        <w:rPr>
          <w:rFonts w:ascii="Arial" w:cs="Arial" w:eastAsia="Arial" w:hAnsi="Arial"/>
          <w:sz w:val="18"/>
          <w:szCs w:val="18"/>
          <w:color w:val="auto"/>
        </w:rPr>
        <w:t>For the six months ended June 30, 2018, Incentive Fees of less than $0.1 million were waived, consisting solely of Incentive Fees attributable to the Company’s ownership of the TCAP Shares. The Adviser did not waive any Incentive Fees for the three months ended June 30, 2018. The Adviser did not waive any Incentive Fees for the three and six months ended June 30, 2017.</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Incentive Fees are not subject to recoupment by the Adviser.</w:t>
      </w:r>
    </w:p>
    <w:p>
      <w:pPr>
        <w:spacing w:after="0" w:line="225"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certain investments, including the TCAP Shares, the Adviser has not waived its right to receive any Management Fees or Incentive Fees payable pursuant to the Investment Advisory Agreement.</w:t>
      </w:r>
    </w:p>
    <w:p>
      <w:pPr>
        <w:spacing w:after="0" w:line="181" w:lineRule="exact"/>
        <w:rPr>
          <w:sz w:val="20"/>
          <w:szCs w:val="20"/>
          <w:color w:val="auto"/>
        </w:rPr>
      </w:pPr>
    </w:p>
    <w:p>
      <w:pPr>
        <w:ind w:right="140" w:firstLine="259"/>
        <w:spacing w:after="0" w:line="312" w:lineRule="auto"/>
        <w:rPr>
          <w:sz w:val="20"/>
          <w:szCs w:val="20"/>
          <w:color w:val="auto"/>
        </w:rPr>
      </w:pPr>
      <w:r>
        <w:rPr>
          <w:rFonts w:ascii="Arial" w:cs="Arial" w:eastAsia="Arial" w:hAnsi="Arial"/>
          <w:sz w:val="16"/>
          <w:szCs w:val="16"/>
          <w:color w:val="auto"/>
        </w:rPr>
        <w:t>In November 2017, the Board renewed the Investment Advisory Agreement. Unless earlier terminated as described below, the Investment Advisory Agreement will remain in effect until November 2018,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color w:val="auto"/>
        </w:rPr>
        <w:t>Investments at fair value consisted of the following at June 30, 2018 and December 31, 2017:</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w w:val="94"/>
              </w:rPr>
              <w:t>June 30, 2018</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1,817,866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1,833,633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62,962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61,331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58,480</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1,939,308</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1,955,082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2017</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1,561,275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1,581,355</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62,962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60,900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62,013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1,686,250</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1,693,723</w:t>
            </w:r>
          </w:p>
        </w:tc>
        <w:tc>
          <w:tcPr>
            <w:tcW w:w="22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300" w:hanging="512"/>
        <w:spacing w:after="0" w:line="277"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June 30, 2018 and December 31, 2017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532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90"/>
              </w:rPr>
              <w:t>June 30, 2018</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8"/>
              </w:rPr>
              <w:t>December 31, 2017</w:t>
            </w:r>
          </w:p>
        </w:tc>
        <w:tc>
          <w:tcPr>
            <w:tcW w:w="200" w:type="dxa"/>
            <w:vAlign w:val="bottom"/>
            <w:tcBorders>
              <w:bottom w:val="single" w:sz="8" w:color="CFF0FC"/>
            </w:tcBorders>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2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18.3%</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Chemicals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Communications</w:t>
            </w:r>
          </w:p>
        </w:tc>
        <w:tc>
          <w:tcPr>
            <w:tcW w:w="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Financial services</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15.7%</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Healthcare</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Hotel, gaming, and leisure</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Human resource support services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Insurance</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Internet services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Manufacturing</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Marketing services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 products</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Oil, gas and consumable fuels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Pharmaceuticals</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5.7%</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Retail and consumer products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Transportation</w:t>
            </w:r>
          </w:p>
        </w:tc>
        <w:tc>
          <w:tcPr>
            <w:tcW w:w="12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3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00" w:type="dxa"/>
            <w:vAlign w:val="bottom"/>
          </w:tcPr>
          <w:p>
            <w:pPr>
              <w:spacing w:after="0"/>
              <w:rPr>
                <w:sz w:val="19"/>
                <w:szCs w:val="19"/>
                <w:color w:val="auto"/>
              </w:rPr>
            </w:pPr>
          </w:p>
        </w:tc>
        <w:tc>
          <w:tcPr>
            <w:tcW w:w="532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jc w:val="right"/>
              <w:ind w:right="730"/>
              <w:spacing w:after="0"/>
              <w:rPr>
                <w:sz w:val="20"/>
                <w:szCs w:val="20"/>
                <w:color w:val="auto"/>
              </w:rPr>
            </w:pPr>
            <w:r>
              <w:rPr>
                <w:rFonts w:ascii="Arial" w:cs="Arial" w:eastAsia="Arial" w:hAnsi="Arial"/>
                <w:sz w:val="18"/>
                <w:szCs w:val="18"/>
                <w:color w:val="auto"/>
              </w:rPr>
              <w:t>26</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2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color w:val="auto"/>
        </w:rPr>
        <w:t>The geographic composition of Investments at fair value at June 30, 2018 and December 31, 2017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June 30, 2018</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Midwest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26.4%</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South</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36.5%</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Canada</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Australia</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vMerge w:val="continue"/>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In January 2015, in connection with its 2019 Convertible Notes, the Company entered into two interest rate swap transactions, each with a $57.5 million notional amount. The Company receives fixed rate interest at 4.50% and pays variable rate interest based on the three-month LIBOR plus 2.86%. The swap transactions mature on December 15, 2019.</w:t>
      </w:r>
    </w:p>
    <w:p>
      <w:pPr>
        <w:spacing w:after="0" w:line="181"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In November 2015, in connection with a fixed rate investment, the Company entered into two interest rate swap transactions, each with a $46.3 million notional amount. The Company receives three-month LIBOR and pays fixed rate interest at 1.16%. The swap transactions mature on October 5, 2018.</w:t>
      </w:r>
    </w:p>
    <w:p>
      <w:pPr>
        <w:spacing w:after="0" w:line="124" w:lineRule="exact"/>
        <w:rPr>
          <w:sz w:val="20"/>
          <w:szCs w:val="20"/>
          <w:color w:val="auto"/>
        </w:rPr>
      </w:pPr>
    </w:p>
    <w:p>
      <w:pPr>
        <w:ind w:right="80" w:firstLine="259"/>
        <w:spacing w:after="0" w:line="342" w:lineRule="auto"/>
        <w:rPr>
          <w:sz w:val="20"/>
          <w:szCs w:val="20"/>
          <w:color w:val="auto"/>
        </w:rPr>
      </w:pPr>
      <w:r>
        <w:rPr>
          <w:rFonts w:ascii="Arial" w:cs="Arial" w:eastAsia="Arial" w:hAnsi="Arial"/>
          <w:sz w:val="16"/>
          <w:szCs w:val="16"/>
          <w:color w:val="auto"/>
        </w:rPr>
        <w:t>In January 2017, in connection with a fixed rate investment, the Company entered into an interest rate swap transaction with a $33.3 million notional amount. On a net basis, the Company receives three-month LIBOR and pays fixed rate interest at 1.72%. The swap transaction matures on January 10, 2020.</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February 2017, in connection with the issuance of the 2022 Convertible Notes, the Company entered into an interest rate swap transaction with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$115.0 million notional amount. The Company receives fixed rate interest at 4.50% and pays variable rate interest based on three-month LIBOR plus 2.37%.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swap transaction matures on August 1, 2022.</w:t>
      </w:r>
    </w:p>
    <w:p>
      <w:pPr>
        <w:spacing w:after="0" w:line="211" w:lineRule="exact"/>
        <w:rPr>
          <w:sz w:val="20"/>
          <w:szCs w:val="20"/>
          <w:color w:val="auto"/>
        </w:rPr>
      </w:pPr>
    </w:p>
    <w:p>
      <w:pPr>
        <w:jc w:val="both"/>
        <w:ind w:right="380" w:firstLine="259"/>
        <w:spacing w:after="0" w:line="264" w:lineRule="auto"/>
        <w:rPr>
          <w:sz w:val="20"/>
          <w:szCs w:val="20"/>
          <w:color w:val="auto"/>
        </w:rPr>
      </w:pPr>
      <w:r>
        <w:rPr>
          <w:rFonts w:ascii="Arial" w:cs="Arial" w:eastAsia="Arial" w:hAnsi="Arial"/>
          <w:sz w:val="18"/>
          <w:szCs w:val="18"/>
          <w:color w:val="auto"/>
        </w:rPr>
        <w:t>In January 2018, in connection with the issuance of the 2023 Notes, the Company entered into an interest rate swap transaction with a $150.0 million notional amount. The Company receives fixed rate interest at 4.50% and pays variable rate interest based on three-month LIBOR plus 1.99%. The swap transaction matures on January 22, 2023.</w:t>
      </w:r>
    </w:p>
    <w:p>
      <w:pPr>
        <w:spacing w:after="0" w:line="181" w:lineRule="exact"/>
        <w:rPr>
          <w:sz w:val="20"/>
          <w:szCs w:val="20"/>
          <w:color w:val="auto"/>
        </w:rPr>
      </w:pPr>
    </w:p>
    <w:p>
      <w:pPr>
        <w:ind w:firstLine="259"/>
        <w:spacing w:after="0" w:line="286" w:lineRule="auto"/>
        <w:rPr>
          <w:sz w:val="20"/>
          <w:szCs w:val="20"/>
          <w:color w:val="auto"/>
        </w:rPr>
      </w:pPr>
      <w:r>
        <w:rPr>
          <w:rFonts w:ascii="Arial" w:cs="Arial" w:eastAsia="Arial" w:hAnsi="Arial"/>
          <w:sz w:val="17"/>
          <w:szCs w:val="17"/>
          <w:color w:val="auto"/>
        </w:rPr>
        <w:t>In June 2018, in connection with the reopening and issuance of additional 2022 Convertible Notes, the Company entered into two interest rate swap transactions with notional amounts of $50.0 million and $7.5 million, respectively. The Company receives fixed rate interest on each swap at 4.50%, and pays variable rate interest based on three-month LIBOR plus 1.59%, and 1.60%, respectively. The swap transactions mature on August 1, 2022.</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27" w:name="page28"/>
    <w:bookmarkEnd w:id="27"/>
    <w:p>
      <w:pPr>
        <w:ind w:right="220" w:firstLine="259"/>
        <w:spacing w:after="0" w:line="277" w:lineRule="auto"/>
        <w:rPr>
          <w:sz w:val="20"/>
          <w:szCs w:val="20"/>
          <w:color w:val="auto"/>
        </w:rPr>
      </w:pPr>
      <w:r>
        <w:rPr>
          <w:rFonts w:ascii="Arial" w:cs="Arial" w:eastAsia="Arial" w:hAnsi="Arial"/>
          <w:sz w:val="18"/>
          <w:szCs w:val="18"/>
          <w:color w:val="auto"/>
        </w:rPr>
        <w:t>The following tables present the gross and net information on the Company’s interest rate swap transactions that are eligible for offset in the Company’s consolidated balance sheets as of June 30, 2018 and December 31,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2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177"/>
              <w:spacing w:after="0" w:line="133" w:lineRule="exact"/>
              <w:rPr>
                <w:sz w:val="20"/>
                <w:szCs w:val="20"/>
                <w:color w:val="auto"/>
              </w:rPr>
            </w:pPr>
            <w:r>
              <w:rPr>
                <w:rFonts w:ascii="Arial" w:cs="Arial" w:eastAsia="Arial" w:hAnsi="Arial"/>
                <w:sz w:val="14"/>
                <w:szCs w:val="14"/>
                <w:b w:val="1"/>
                <w:bCs w:val="1"/>
                <w:color w:val="auto"/>
                <w:w w:val="93"/>
              </w:rPr>
              <w:t>Net Amount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6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Assets in the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5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Maturity Date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220" w:type="dxa"/>
            <w:vAlign w:val="bottom"/>
          </w:tcPr>
          <w:p>
            <w:pPr>
              <w:spacing w:after="0"/>
              <w:rPr>
                <w:sz w:val="12"/>
                <w:szCs w:val="12"/>
                <w:color w:val="auto"/>
              </w:rPr>
            </w:pPr>
          </w:p>
        </w:tc>
        <w:tc>
          <w:tcPr>
            <w:tcW w:w="16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Asset (Liability)</w:t>
            </w:r>
          </w:p>
        </w:tc>
        <w:tc>
          <w:tcPr>
            <w:tcW w:w="220" w:type="dxa"/>
            <w:vAlign w:val="bottom"/>
          </w:tcPr>
          <w:p>
            <w:pPr>
              <w:spacing w:after="0"/>
              <w:rPr>
                <w:sz w:val="14"/>
                <w:szCs w:val="1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Balance Sheets</w:t>
            </w:r>
          </w:p>
        </w:tc>
        <w:tc>
          <w:tcPr>
            <w:tcW w:w="26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ind w:left="12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tcPr>
          <w:p>
            <w:pPr>
              <w:jc w:val="right"/>
              <w:spacing w:after="0"/>
              <w:rPr>
                <w:sz w:val="20"/>
                <w:szCs w:val="20"/>
                <w:color w:val="auto"/>
              </w:rPr>
            </w:pPr>
            <w:r>
              <w:rPr>
                <w:rFonts w:ascii="Arial" w:cs="Arial" w:eastAsia="Arial" w:hAnsi="Arial"/>
                <w:sz w:val="18"/>
                <w:szCs w:val="18"/>
                <w:color w:val="auto"/>
              </w:rPr>
              <w:t>12/15/2019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(1,874)</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(559)</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tcPr>
          <w:p>
            <w:pPr>
              <w:jc w:val="right"/>
              <w:spacing w:after="0"/>
              <w:rPr>
                <w:sz w:val="20"/>
                <w:szCs w:val="20"/>
                <w:color w:val="auto"/>
              </w:rPr>
            </w:pPr>
            <w:r>
              <w:rPr>
                <w:rFonts w:ascii="Arial" w:cs="Arial" w:eastAsia="Arial" w:hAnsi="Arial"/>
                <w:sz w:val="18"/>
                <w:szCs w:val="18"/>
                <w:color w:val="auto"/>
              </w:rPr>
              <w:t>8/1/2022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(3,503)</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3,503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tcPr>
          <w:p>
            <w:pPr>
              <w:jc w:val="right"/>
              <w:spacing w:after="0"/>
              <w:rPr>
                <w:sz w:val="20"/>
                <w:szCs w:val="20"/>
                <w:color w:val="auto"/>
              </w:rPr>
            </w:pPr>
            <w:r>
              <w:rPr>
                <w:rFonts w:ascii="Arial" w:cs="Arial" w:eastAsia="Arial" w:hAnsi="Arial"/>
                <w:sz w:val="18"/>
                <w:szCs w:val="18"/>
                <w:color w:val="auto"/>
              </w:rPr>
              <w:t>8/1/2022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(2,659)</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50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563,333</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(6,941)</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6,941</w:t>
            </w: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2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2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177"/>
              <w:spacing w:after="0" w:line="133" w:lineRule="exact"/>
              <w:rPr>
                <w:sz w:val="20"/>
                <w:szCs w:val="20"/>
                <w:color w:val="auto"/>
              </w:rPr>
            </w:pPr>
            <w:r>
              <w:rPr>
                <w:rFonts w:ascii="Arial" w:cs="Arial" w:eastAsia="Arial" w:hAnsi="Arial"/>
                <w:sz w:val="14"/>
                <w:szCs w:val="14"/>
                <w:b w:val="1"/>
                <w:bCs w:val="1"/>
                <w:color w:val="auto"/>
                <w:w w:val="93"/>
              </w:rPr>
              <w:t>Net Amount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6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Assets in the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5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Maturity Date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220" w:type="dxa"/>
            <w:vAlign w:val="bottom"/>
          </w:tcPr>
          <w:p>
            <w:pPr>
              <w:spacing w:after="0"/>
              <w:rPr>
                <w:sz w:val="12"/>
                <w:szCs w:val="12"/>
                <w:color w:val="auto"/>
              </w:rPr>
            </w:pPr>
          </w:p>
        </w:tc>
        <w:tc>
          <w:tcPr>
            <w:tcW w:w="16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Balance Sheets</w:t>
            </w:r>
          </w:p>
        </w:tc>
        <w:tc>
          <w:tcPr>
            <w:tcW w:w="26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ind w:left="12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tcPr>
          <w:p>
            <w:pPr>
              <w:jc w:val="right"/>
              <w:spacing w:after="0"/>
              <w:rPr>
                <w:sz w:val="20"/>
                <w:szCs w:val="20"/>
                <w:color w:val="auto"/>
              </w:rPr>
            </w:pPr>
            <w:r>
              <w:rPr>
                <w:rFonts w:ascii="Arial" w:cs="Arial" w:eastAsia="Arial" w:hAnsi="Arial"/>
                <w:sz w:val="18"/>
                <w:szCs w:val="18"/>
                <w:color w:val="auto"/>
              </w:rPr>
              <w:t>12/15/2019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tcPr>
          <w:p>
            <w:pPr>
              <w:jc w:val="right"/>
              <w:spacing w:after="0"/>
              <w:rPr>
                <w:sz w:val="20"/>
                <w:szCs w:val="20"/>
                <w:color w:val="auto"/>
              </w:rPr>
            </w:pPr>
            <w:r>
              <w:rPr>
                <w:rFonts w:ascii="Arial" w:cs="Arial" w:eastAsia="Arial" w:hAnsi="Arial"/>
                <w:sz w:val="18"/>
                <w:szCs w:val="18"/>
                <w:color w:val="auto"/>
              </w:rPr>
              <w:t>8/1/2022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355,833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ind w:left="12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30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7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The following tables present the amounts paid and received on the Company’s interest rate swap transactions for the three and six months ended June 30, 2018 and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Date</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 Amount</w:t>
            </w:r>
          </w:p>
        </w:tc>
        <w:tc>
          <w:tcPr>
            <w:tcW w:w="180" w:type="dxa"/>
            <w:vAlign w:val="bottom"/>
          </w:tcPr>
          <w:p>
            <w:pPr>
              <w:spacing w:after="0"/>
              <w:rPr>
                <w:sz w:val="14"/>
                <w:szCs w:val="14"/>
                <w:color w:val="auto"/>
              </w:rPr>
            </w:pPr>
          </w:p>
        </w:tc>
        <w:tc>
          <w:tcPr>
            <w:tcW w:w="2840" w:type="dxa"/>
            <w:vAlign w:val="bottom"/>
            <w:gridSpan w:val="6"/>
          </w:tcPr>
          <w:p>
            <w:pPr>
              <w:jc w:val="right"/>
              <w:spacing w:after="0"/>
              <w:rPr>
                <w:sz w:val="20"/>
                <w:szCs w:val="20"/>
                <w:color w:val="auto"/>
              </w:rPr>
            </w:pPr>
            <w:r>
              <w:rPr>
                <w:rFonts w:ascii="Arial" w:cs="Arial" w:eastAsia="Arial" w:hAnsi="Arial"/>
                <w:sz w:val="14"/>
                <w:szCs w:val="14"/>
                <w:b w:val="1"/>
                <w:bCs w:val="1"/>
                <w:color w:val="auto"/>
                <w:w w:val="98"/>
              </w:rPr>
              <w:t>For the Three Months Ended June 30, 2018</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0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3"/>
              </w:rPr>
              <w:t>For the Six Months Ended June 30, 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Paid</w:t>
            </w: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Received</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Net</w:t>
            </w:r>
          </w:p>
        </w:tc>
        <w:tc>
          <w:tcPr>
            <w:tcW w:w="3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Paid</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1"/>
              </w:rPr>
              <w:t>Received</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 xml:space="preserve">Interest rate swap </w:t>
            </w:r>
            <w:r>
              <w:rPr>
                <w:rFonts w:ascii="Arial" w:cs="Arial" w:eastAsia="Arial" w:hAnsi="Arial"/>
                <w:sz w:val="15"/>
                <w:szCs w:val="15"/>
                <w:color w:val="auto"/>
                <w:w w:val="98"/>
              </w:rPr>
              <w:t>(1)</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12/15/2019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(1,465)</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(171)</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2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(1,374)</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2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(1,647)</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(2,651)</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563,333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5,485</w:t>
            </w: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8"/>
              </w:rPr>
              <w:t>For the Three Months Ended June 30, 2017</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7"/>
          </w:tcPr>
          <w:p>
            <w:pPr>
              <w:jc w:val="center"/>
              <w:ind w:left="474"/>
              <w:spacing w:after="0"/>
              <w:rPr>
                <w:sz w:val="20"/>
                <w:szCs w:val="20"/>
                <w:color w:val="auto"/>
              </w:rPr>
            </w:pPr>
            <w:r>
              <w:rPr>
                <w:rFonts w:ascii="Arial" w:cs="Arial" w:eastAsia="Arial" w:hAnsi="Arial"/>
                <w:sz w:val="14"/>
                <w:szCs w:val="14"/>
                <w:b w:val="1"/>
                <w:bCs w:val="1"/>
                <w:color w:val="auto"/>
                <w:w w:val="93"/>
              </w:rPr>
              <w:t>For the Six Months Ended</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Date</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 Amount</w:t>
            </w:r>
          </w:p>
        </w:tc>
        <w:tc>
          <w:tcPr>
            <w:tcW w:w="1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June 30, 2017</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Paid</w:t>
            </w:r>
          </w:p>
        </w:tc>
        <w:tc>
          <w:tcPr>
            <w:tcW w:w="160" w:type="dxa"/>
            <w:vAlign w:val="bottom"/>
          </w:tcPr>
          <w:p>
            <w:pPr>
              <w:spacing w:after="0"/>
              <w:rPr>
                <w:sz w:val="13"/>
                <w:szCs w:val="13"/>
                <w:color w:val="auto"/>
              </w:rPr>
            </w:pPr>
          </w:p>
        </w:tc>
        <w:tc>
          <w:tcPr>
            <w:tcW w:w="11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Received</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Net</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Paid</w:t>
            </w:r>
          </w:p>
        </w:tc>
        <w:tc>
          <w:tcPr>
            <w:tcW w:w="100" w:type="dxa"/>
            <w:vAlign w:val="bottom"/>
          </w:tcPr>
          <w:p>
            <w:pPr>
              <w:spacing w:after="0"/>
              <w:rPr>
                <w:sz w:val="13"/>
                <w:szCs w:val="13"/>
                <w:color w:val="auto"/>
              </w:rPr>
            </w:pPr>
          </w:p>
        </w:tc>
        <w:tc>
          <w:tcPr>
            <w:tcW w:w="11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1"/>
              </w:rPr>
              <w:t>Received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 xml:space="preserve">Interest rate swap </w:t>
            </w:r>
            <w:r>
              <w:rPr>
                <w:rFonts w:ascii="Arial" w:cs="Arial" w:eastAsia="Arial" w:hAnsi="Arial"/>
                <w:sz w:val="15"/>
                <w:szCs w:val="15"/>
                <w:color w:val="auto"/>
                <w:w w:val="98"/>
              </w:rPr>
              <w:t>(1)</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(32)</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12/15/2019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(1,173)</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2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(968)</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(968)</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355,833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(3,108</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6"/>
              </w:rPr>
              <w:t>(914)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8" w:name="page29"/>
    <w:bookmarkEnd w:id="28"/>
    <w:p>
      <w:pPr>
        <w:ind w:left="520" w:right="240" w:hanging="512"/>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70"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For the three and six months ended June 30, 2018, the Company recognized $1.8 million and $6.0 million of net change in unrealized losses, respectively, on interest rate swaps in the consolidated statement of operations related to the swap transactions. For the three and six months ended June 30, 2017 the Company recognized $2.1 million and $2.3 million, respectively, of net change in unrealized gains on interest rate swaps in the consolidated statement of operations related to the swap transactions.</w:t>
      </w:r>
    </w:p>
    <w:p>
      <w:pPr>
        <w:spacing w:after="0" w:line="187"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As of June 30, 2018 and December 31, 2017, the swap transactions had a fair value of $(6.9) million and $(1.0) million, respectively, which is netted against restricted cash collateral on the Company’s consolidated balance sheet.</w:t>
      </w:r>
    </w:p>
    <w:p>
      <w:pPr>
        <w:spacing w:after="0" w:line="170"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88"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As of June 30, 2018, $14.1 million of cash is pledged as collateral under the Company’s derivative instruments and $7.2 million is included in restricted cash as a component of cash and cash equivalents on the Company’s consolidated balance sheet. The Company had $4.1 million of cash collateral posted as of December 31, 2017, of which $3.2 million is included in restricted cash as a component of cash and cash equivalents on the Company’s consolidated balance sheet.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June 30, 2018 and December 31, 2017:</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4"/>
              </w:rPr>
              <w:t>Fair Value Hierarchy at June 30, 2018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156"/>
        </w:trPr>
        <w:tc>
          <w:tcPr>
            <w:tcW w:w="5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1,816,185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1,833,633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61,331</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60,118</w:t>
            </w:r>
          </w:p>
        </w:tc>
        <w:tc>
          <w:tcPr>
            <w:tcW w:w="120" w:type="dxa"/>
            <w:vAlign w:val="bottom"/>
            <w:shd w:val="clear" w:color="auto" w:fill="CFF0FC"/>
          </w:tcPr>
          <w:p>
            <w:pPr>
              <w:spacing w:after="0"/>
              <w:rPr>
                <w:sz w:val="19"/>
                <w:szCs w:val="19"/>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Total investments at fair value</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4,102</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1,933,532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1,955,082</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(6,941)</w:t>
            </w: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1,933,532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1,948,141</w:t>
            </w:r>
          </w:p>
        </w:tc>
        <w:tc>
          <w:tcPr>
            <w:tcW w:w="12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1"/>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4"/>
              </w:rPr>
              <w:t>Fair Value Hierarchy at December 31, 2017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156"/>
        </w:trPr>
        <w:tc>
          <w:tcPr>
            <w:tcW w:w="5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1,563,972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1,581,355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60,900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60,900</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51,468</w:t>
            </w:r>
          </w:p>
        </w:tc>
        <w:tc>
          <w:tcPr>
            <w:tcW w:w="120" w:type="dxa"/>
            <w:vAlign w:val="bottom"/>
            <w:shd w:val="clear" w:color="auto" w:fill="CFF0FC"/>
          </w:tcPr>
          <w:p>
            <w:pPr>
              <w:spacing w:after="0"/>
              <w:rPr>
                <w:sz w:val="19"/>
                <w:szCs w:val="19"/>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Total investments at fair value</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13,146</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1,663,194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1,693,723</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(962)</w:t>
            </w: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1,663,194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1,692,761</w:t>
            </w:r>
          </w:p>
        </w:tc>
        <w:tc>
          <w:tcPr>
            <w:tcW w:w="12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29" w:name="page30"/>
    <w:bookmarkEnd w:id="29"/>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six months ended June 30,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2"/>
              </w:rPr>
              <w:t>June 30, 2018</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First-lien debt</w:t>
            </w:r>
          </w:p>
        </w:tc>
        <w:tc>
          <w:tcPr>
            <w:tcW w:w="80" w:type="dxa"/>
            <w:vAlign w:val="bottom"/>
          </w:tcPr>
          <w:p>
            <w:pPr>
              <w:spacing w:after="0"/>
              <w:rPr>
                <w:sz w:val="11"/>
                <w:szCs w:val="11"/>
                <w:color w:val="auto"/>
              </w:rPr>
            </w:pPr>
          </w:p>
        </w:tc>
        <w:tc>
          <w:tcPr>
            <w:tcW w:w="132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0"/>
              </w:rPr>
              <w:t>Second-lien debt</w:t>
            </w:r>
          </w:p>
        </w:tc>
        <w:tc>
          <w:tcPr>
            <w:tcW w:w="100" w:type="dxa"/>
            <w:vAlign w:val="bottom"/>
          </w:tcPr>
          <w:p>
            <w:pPr>
              <w:spacing w:after="0"/>
              <w:rPr>
                <w:sz w:val="11"/>
                <w:szCs w:val="11"/>
                <w:color w:val="auto"/>
              </w:rPr>
            </w:pPr>
          </w:p>
        </w:tc>
        <w:tc>
          <w:tcPr>
            <w:tcW w:w="14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Equity and other</w:t>
            </w:r>
          </w:p>
        </w:tc>
        <w:tc>
          <w:tcPr>
            <w:tcW w:w="260" w:type="dxa"/>
            <w:vAlign w:val="bottom"/>
          </w:tcPr>
          <w:p>
            <w:pPr>
              <w:spacing w:after="0"/>
              <w:rPr>
                <w:sz w:val="11"/>
                <w:szCs w:val="11"/>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1,785,527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42,555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1,889,446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227,627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(188,528)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(188,528)</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(5,630)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Net realized losses</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(9,572)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(9,572)</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1,816,185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56,016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As of and for the Six Months Ended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2"/>
              </w:rPr>
              <w:t>June 30, 2018</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4"/>
              </w:rPr>
              <w:t>First-lien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Second-lien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8"/>
              </w:rPr>
              <w:t>Equity</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and other</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26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1,563,972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60,900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38,322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1,663,194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544,397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(289,617)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(1,379)</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(290,996)</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(9,513)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(9,011)</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1,816,185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56,016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six months ended June 30, 2017:</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110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w w:val="95"/>
              </w:rPr>
              <w:t>First-lien debt</w:t>
            </w:r>
          </w:p>
        </w:tc>
        <w:tc>
          <w:tcPr>
            <w:tcW w:w="80" w:type="dxa"/>
            <w:vAlign w:val="bottom"/>
          </w:tcPr>
          <w:p>
            <w:pPr>
              <w:spacing w:after="0"/>
              <w:rPr>
                <w:sz w:val="11"/>
                <w:szCs w:val="11"/>
                <w:color w:val="auto"/>
              </w:rPr>
            </w:pPr>
          </w:p>
        </w:tc>
        <w:tc>
          <w:tcPr>
            <w:tcW w:w="1320" w:type="dxa"/>
            <w:vAlign w:val="bottom"/>
            <w:gridSpan w:val="3"/>
          </w:tcPr>
          <w:p>
            <w:pPr>
              <w:jc w:val="right"/>
              <w:ind w:right="220"/>
              <w:spacing w:after="0" w:line="133" w:lineRule="exact"/>
              <w:rPr>
                <w:sz w:val="20"/>
                <w:szCs w:val="20"/>
                <w:color w:val="auto"/>
              </w:rPr>
            </w:pPr>
            <w:r>
              <w:rPr>
                <w:rFonts w:ascii="Arial" w:cs="Arial" w:eastAsia="Arial" w:hAnsi="Arial"/>
                <w:sz w:val="14"/>
                <w:szCs w:val="14"/>
                <w:b w:val="1"/>
                <w:bCs w:val="1"/>
                <w:color w:val="auto"/>
                <w:w w:val="95"/>
              </w:rPr>
              <w:t>Second-lien debt</w:t>
            </w:r>
          </w:p>
        </w:tc>
        <w:tc>
          <w:tcPr>
            <w:tcW w:w="100" w:type="dxa"/>
            <w:vAlign w:val="bottom"/>
          </w:tcPr>
          <w:p>
            <w:pPr>
              <w:spacing w:after="0"/>
              <w:rPr>
                <w:sz w:val="11"/>
                <w:szCs w:val="11"/>
                <w:color w:val="auto"/>
              </w:rPr>
            </w:pPr>
          </w:p>
        </w:tc>
        <w:tc>
          <w:tcPr>
            <w:tcW w:w="1400" w:type="dxa"/>
            <w:vAlign w:val="bottom"/>
            <w:gridSpan w:val="3"/>
          </w:tcPr>
          <w:p>
            <w:pPr>
              <w:jc w:val="right"/>
              <w:ind w:right="300"/>
              <w:spacing w:after="0" w:line="133" w:lineRule="exact"/>
              <w:rPr>
                <w:sz w:val="20"/>
                <w:szCs w:val="20"/>
                <w:color w:val="auto"/>
              </w:rPr>
            </w:pPr>
            <w:r>
              <w:rPr>
                <w:rFonts w:ascii="Arial" w:cs="Arial" w:eastAsia="Arial" w:hAnsi="Arial"/>
                <w:sz w:val="14"/>
                <w:szCs w:val="14"/>
                <w:b w:val="1"/>
                <w:bCs w:val="1"/>
                <w:color w:val="auto"/>
                <w:w w:val="97"/>
              </w:rPr>
              <w:t>Equity and other</w:t>
            </w:r>
          </w:p>
        </w:tc>
        <w:tc>
          <w:tcPr>
            <w:tcW w:w="260" w:type="dxa"/>
            <w:vAlign w:val="bottom"/>
          </w:tcPr>
          <w:p>
            <w:pPr>
              <w:spacing w:after="0"/>
              <w:rPr>
                <w:sz w:val="11"/>
                <w:szCs w:val="11"/>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20" w:type="dxa"/>
            <w:vAlign w:val="bottom"/>
            <w:vMerge w:val="restart"/>
          </w:tcPr>
          <w:p>
            <w:pPr>
              <w:spacing w:after="0"/>
              <w:rPr>
                <w:sz w:val="20"/>
                <w:szCs w:val="20"/>
                <w:color w:val="auto"/>
              </w:rPr>
            </w:pPr>
            <w:r>
              <w:rPr>
                <w:rFonts w:ascii="Arial" w:cs="Arial" w:eastAsia="Arial" w:hAnsi="Arial"/>
                <w:sz w:val="18"/>
                <w:szCs w:val="18"/>
                <w:color w:val="auto"/>
              </w:rPr>
              <w:t>Balance, beginning of period</w:t>
            </w: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investments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investments</w:t>
            </w: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2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1,436,641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14,262</w:t>
            </w:r>
          </w:p>
        </w:tc>
        <w:tc>
          <w:tcPr>
            <w:tcW w:w="24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1,454,261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Purchases or originations</w:t>
            </w: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(214,977)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(2,472)</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(217,449)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Paid-in-kind interest</w:t>
            </w: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w:t>
            </w: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(21,134)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Transfers within Level 3</w:t>
            </w: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(67,775)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1,394,182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60,909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1,493,946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20" w:type="dxa"/>
            <w:vAlign w:val="bottom"/>
            <w:vMerge w:val="restart"/>
          </w:tcPr>
          <w:p>
            <w:pPr>
              <w:jc w:val="right"/>
              <w:ind w:right="5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4"/>
              </w:rPr>
              <w:t>As of and for the Six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110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4"/>
              </w:rPr>
              <w:t>First-lien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Second-lien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8"/>
              </w:rPr>
              <w:t>Equity</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and other</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26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1,454,087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1,469,902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398,584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13,501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412,085</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(403,320)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(2,472)</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(405,792)</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Paid-in-kind interest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20,810</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(21,207)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(19,098)</w:t>
            </w: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12,587</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(67,775)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59,621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8,154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1,394,182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38,855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1,493,946</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right="60" w:firstLine="259"/>
        <w:spacing w:after="0" w:line="277" w:lineRule="auto"/>
        <w:rPr>
          <w:sz w:val="20"/>
          <w:szCs w:val="20"/>
          <w:color w:val="auto"/>
        </w:rPr>
      </w:pPr>
      <w:r>
        <w:rPr>
          <w:rFonts w:ascii="Arial" w:cs="Arial" w:eastAsia="Arial" w:hAnsi="Arial"/>
          <w:sz w:val="18"/>
          <w:szCs w:val="18"/>
          <w:color w:val="auto"/>
        </w:rPr>
        <w:t>The following tables present information with respect to the net change in unrealized gains or losses on investments for which Level 3 inputs were used in determining fair value that are still held by the Company at June 30, 2018 and 2017:</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Net Change in Unrealized</w:t>
            </w:r>
          </w:p>
        </w:tc>
        <w:tc>
          <w:tcPr>
            <w:tcW w:w="1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62"/>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Gains or (Losses)</w:t>
            </w:r>
          </w:p>
        </w:tc>
        <w:tc>
          <w:tcPr>
            <w:tcW w:w="14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Gains or (Losses)</w:t>
            </w:r>
          </w:p>
        </w:tc>
      </w:tr>
      <w:tr>
        <w:trPr>
          <w:trHeight w:val="149"/>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for the Three Months</w:t>
            </w:r>
          </w:p>
        </w:tc>
        <w:tc>
          <w:tcPr>
            <w:tcW w:w="14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for the Three Months</w:t>
            </w:r>
          </w:p>
        </w:tc>
      </w:tr>
      <w:tr>
        <w:trPr>
          <w:trHeight w:val="162"/>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r>
      <w:tr>
        <w:trPr>
          <w:trHeight w:val="162"/>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June 30, 2018 on</w:t>
            </w:r>
          </w:p>
        </w:tc>
        <w:tc>
          <w:tcPr>
            <w:tcW w:w="14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June 30, 2017 on</w:t>
            </w:r>
          </w:p>
        </w:tc>
      </w:tr>
      <w:tr>
        <w:trPr>
          <w:trHeight w:val="162"/>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Investments Held at</w:t>
            </w:r>
          </w:p>
        </w:tc>
        <w:tc>
          <w:tcPr>
            <w:tcW w:w="14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Investments Held at</w:t>
            </w:r>
          </w:p>
        </w:tc>
      </w:tr>
      <w:tr>
        <w:trPr>
          <w:trHeight w:val="17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June 30, 2018</w:t>
            </w:r>
          </w:p>
        </w:tc>
        <w:tc>
          <w:tcPr>
            <w:tcW w:w="14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2017</w:t>
            </w: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(2,037)</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6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(2,070)</w:t>
            </w: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(4,992)</w:t>
            </w:r>
          </w:p>
        </w:tc>
      </w:tr>
      <w:tr>
        <w:trPr>
          <w:trHeight w:val="223"/>
        </w:trPr>
        <w:tc>
          <w:tcPr>
            <w:tcW w:w="424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5,039</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(5,549)</w:t>
            </w:r>
          </w:p>
        </w:tc>
        <w:tc>
          <w:tcPr>
            <w:tcW w:w="8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414" w:right="219" w:bottom="1440" w:gutter="0" w:footer="0" w:header="0"/>
        </w:sectPr>
      </w:pPr>
    </w:p>
    <w:p>
      <w:pPr>
        <w:spacing w:after="0" w:line="7" w:lineRule="exact"/>
        <w:rPr>
          <w:sz w:val="20"/>
          <w:szCs w:val="20"/>
          <w:color w:val="auto"/>
        </w:rPr>
      </w:pPr>
    </w:p>
    <w:p>
      <w:pPr>
        <w:jc w:val="center"/>
        <w:ind w:left="6040"/>
        <w:spacing w:after="0"/>
        <w:rPr>
          <w:sz w:val="20"/>
          <w:szCs w:val="20"/>
          <w:color w:val="auto"/>
        </w:rPr>
      </w:pPr>
      <w:r>
        <w:rPr>
          <w:rFonts w:ascii="Arial" w:cs="Arial" w:eastAsia="Arial" w:hAnsi="Arial"/>
          <w:sz w:val="13"/>
          <w:szCs w:val="13"/>
          <w:b w:val="1"/>
          <w:bCs w:val="1"/>
          <w:color w:val="auto"/>
        </w:rPr>
        <w:t>Net Change in Unrealized</w:t>
      </w:r>
    </w:p>
    <w:p>
      <w:pPr>
        <w:spacing w:after="0" w:line="29"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Gains or (Losses)</w:t>
      </w:r>
    </w:p>
    <w:p>
      <w:pPr>
        <w:spacing w:after="0" w:line="1" w:lineRule="exact"/>
        <w:rPr>
          <w:sz w:val="20"/>
          <w:szCs w:val="20"/>
          <w:color w:val="auto"/>
        </w:rPr>
      </w:pPr>
    </w:p>
    <w:p>
      <w:pPr>
        <w:jc w:val="center"/>
        <w:ind w:left="6040"/>
        <w:spacing w:after="0"/>
        <w:rPr>
          <w:sz w:val="20"/>
          <w:szCs w:val="20"/>
          <w:color w:val="auto"/>
        </w:rPr>
      </w:pPr>
      <w:r>
        <w:rPr>
          <w:rFonts w:ascii="Arial" w:cs="Arial" w:eastAsia="Arial" w:hAnsi="Arial"/>
          <w:sz w:val="13"/>
          <w:szCs w:val="13"/>
          <w:b w:val="1"/>
          <w:bCs w:val="1"/>
          <w:color w:val="auto"/>
        </w:rPr>
        <w:t>for the Six Months Ended</w:t>
      </w:r>
    </w:p>
    <w:p>
      <w:pPr>
        <w:spacing w:after="0" w:line="13"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June 30, 2018 on</w:t>
      </w:r>
    </w:p>
    <w:p>
      <w:pPr>
        <w:spacing w:after="0" w:line="1"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Investments Held at</w:t>
      </w:r>
    </w:p>
    <w:p>
      <w:pPr>
        <w:jc w:val="center"/>
        <w:ind w:left="6040"/>
        <w:spacing w:after="0" w:line="233" w:lineRule="auto"/>
        <w:rPr>
          <w:sz w:val="20"/>
          <w:szCs w:val="20"/>
          <w:color w:val="auto"/>
        </w:rPr>
      </w:pPr>
      <w:r>
        <w:rPr>
          <w:rFonts w:ascii="Arial" w:cs="Arial" w:eastAsia="Arial" w:hAnsi="Arial"/>
          <w:sz w:val="14"/>
          <w:szCs w:val="14"/>
          <w:b w:val="1"/>
          <w:bCs w:val="1"/>
          <w:color w:val="auto"/>
        </w:rPr>
        <w:t>June 30, 2018</w:t>
      </w:r>
    </w:p>
    <w:p>
      <w:pPr>
        <w:spacing w:after="0" w:line="20" w:lineRule="exact"/>
        <w:rPr>
          <w:sz w:val="20"/>
          <w:szCs w:val="20"/>
          <w:color w:val="auto"/>
        </w:rPr>
      </w:pPr>
      <w:r>
        <w:rPr>
          <w:sz w:val="20"/>
          <w:szCs w:val="20"/>
          <w:color w:val="auto"/>
        </w:rPr>
        <w:br w:type="column"/>
      </w:r>
    </w:p>
    <w:p>
      <w:pPr>
        <w:jc w:val="center"/>
        <w:ind w:right="1920"/>
        <w:spacing w:after="0"/>
        <w:rPr>
          <w:sz w:val="20"/>
          <w:szCs w:val="20"/>
          <w:color w:val="auto"/>
        </w:rPr>
      </w:pPr>
      <w:r>
        <w:rPr>
          <w:rFonts w:ascii="Arial" w:cs="Arial" w:eastAsia="Arial" w:hAnsi="Arial"/>
          <w:sz w:val="13"/>
          <w:szCs w:val="13"/>
          <w:b w:val="1"/>
          <w:bCs w:val="1"/>
          <w:color w:val="auto"/>
        </w:rPr>
        <w:t>Net Change in Unrealized</w:t>
      </w:r>
    </w:p>
    <w:p>
      <w:pPr>
        <w:spacing w:after="0" w:line="29" w:lineRule="exact"/>
        <w:rPr>
          <w:sz w:val="20"/>
          <w:szCs w:val="20"/>
          <w:color w:val="auto"/>
        </w:rPr>
      </w:pPr>
    </w:p>
    <w:p>
      <w:pPr>
        <w:jc w:val="center"/>
        <w:ind w:right="1920"/>
        <w:spacing w:after="0"/>
        <w:rPr>
          <w:sz w:val="20"/>
          <w:szCs w:val="20"/>
          <w:color w:val="auto"/>
        </w:rPr>
      </w:pPr>
      <w:r>
        <w:rPr>
          <w:rFonts w:ascii="Arial" w:cs="Arial" w:eastAsia="Arial" w:hAnsi="Arial"/>
          <w:sz w:val="14"/>
          <w:szCs w:val="14"/>
          <w:b w:val="1"/>
          <w:bCs w:val="1"/>
          <w:color w:val="auto"/>
        </w:rPr>
        <w:t>Gains or (Losses)</w:t>
      </w:r>
    </w:p>
    <w:p>
      <w:pPr>
        <w:spacing w:after="0" w:line="1" w:lineRule="exact"/>
        <w:rPr>
          <w:sz w:val="20"/>
          <w:szCs w:val="20"/>
          <w:color w:val="auto"/>
        </w:rPr>
      </w:pPr>
    </w:p>
    <w:p>
      <w:pPr>
        <w:jc w:val="center"/>
        <w:ind w:right="1920"/>
        <w:spacing w:after="0"/>
        <w:rPr>
          <w:sz w:val="20"/>
          <w:szCs w:val="20"/>
          <w:color w:val="auto"/>
        </w:rPr>
      </w:pPr>
      <w:r>
        <w:rPr>
          <w:rFonts w:ascii="Arial" w:cs="Arial" w:eastAsia="Arial" w:hAnsi="Arial"/>
          <w:sz w:val="13"/>
          <w:szCs w:val="13"/>
          <w:b w:val="1"/>
          <w:bCs w:val="1"/>
          <w:color w:val="auto"/>
        </w:rPr>
        <w:t>for the Six Months Ended</w:t>
      </w:r>
    </w:p>
    <w:p>
      <w:pPr>
        <w:spacing w:after="0" w:line="13" w:lineRule="exact"/>
        <w:rPr>
          <w:sz w:val="20"/>
          <w:szCs w:val="20"/>
          <w:color w:val="auto"/>
        </w:rPr>
      </w:pPr>
    </w:p>
    <w:p>
      <w:pPr>
        <w:jc w:val="center"/>
        <w:ind w:right="1920"/>
        <w:spacing w:after="0"/>
        <w:rPr>
          <w:sz w:val="20"/>
          <w:szCs w:val="20"/>
          <w:color w:val="auto"/>
        </w:rPr>
      </w:pPr>
      <w:r>
        <w:rPr>
          <w:rFonts w:ascii="Arial" w:cs="Arial" w:eastAsia="Arial" w:hAnsi="Arial"/>
          <w:sz w:val="14"/>
          <w:szCs w:val="14"/>
          <w:b w:val="1"/>
          <w:bCs w:val="1"/>
          <w:color w:val="auto"/>
        </w:rPr>
        <w:t>June 30, 2017 on</w:t>
      </w:r>
    </w:p>
    <w:p>
      <w:pPr>
        <w:spacing w:after="0" w:line="1" w:lineRule="exact"/>
        <w:rPr>
          <w:sz w:val="20"/>
          <w:szCs w:val="20"/>
          <w:color w:val="auto"/>
        </w:rPr>
      </w:pPr>
    </w:p>
    <w:p>
      <w:pPr>
        <w:jc w:val="center"/>
        <w:ind w:right="1920"/>
        <w:spacing w:after="0"/>
        <w:rPr>
          <w:sz w:val="20"/>
          <w:szCs w:val="20"/>
          <w:color w:val="auto"/>
        </w:rPr>
      </w:pPr>
      <w:r>
        <w:rPr>
          <w:rFonts w:ascii="Arial" w:cs="Arial" w:eastAsia="Arial" w:hAnsi="Arial"/>
          <w:sz w:val="14"/>
          <w:szCs w:val="14"/>
          <w:b w:val="1"/>
          <w:bCs w:val="1"/>
          <w:color w:val="auto"/>
        </w:rPr>
        <w:t>Investments Held at</w:t>
      </w:r>
    </w:p>
    <w:p>
      <w:pPr>
        <w:jc w:val="center"/>
        <w:ind w:right="1920"/>
        <w:spacing w:after="0" w:line="233" w:lineRule="auto"/>
        <w:rPr>
          <w:sz w:val="20"/>
          <w:szCs w:val="20"/>
          <w:color w:val="auto"/>
        </w:rPr>
      </w:pPr>
      <w:r>
        <w:rPr>
          <w:rFonts w:ascii="Arial" w:cs="Arial" w:eastAsia="Arial" w:hAnsi="Arial"/>
          <w:sz w:val="14"/>
          <w:szCs w:val="14"/>
          <w:b w:val="1"/>
          <w:bCs w:val="1"/>
          <w:color w:val="auto"/>
        </w:rPr>
        <w:t>June 30, 2017</w:t>
      </w:r>
    </w:p>
    <w:p>
      <w:pPr>
        <w:spacing w:after="0" w:line="20" w:lineRule="exact"/>
        <w:rPr>
          <w:sz w:val="20"/>
          <w:szCs w:val="20"/>
          <w:color w:val="auto"/>
        </w:rPr>
      </w:pPr>
    </w:p>
    <w:p>
      <w:pPr>
        <w:sectPr>
          <w:pgSz w:w="11900" w:h="16838" w:orient="portrait"/>
          <w:cols w:equalWidth="0" w:num="2">
            <w:col w:w="7620" w:space="320"/>
            <w:col w:w="3500"/>
          </w:cols>
          <w:pgMar w:left="240" w:top="414" w:right="219" w:bottom="1440" w:gutter="0" w:footer="0" w:header="0"/>
          <w:type w:val="continuous"/>
        </w:sectPr>
      </w:pPr>
    </w:p>
    <w:tbl>
      <w:tblPr>
        <w:tblLayout w:type="fixed"/>
        <w:tblInd w:w="1720" w:type="dxa"/>
        <w:tblCellMar>
          <w:top w:w="0" w:type="dxa"/>
          <w:left w:w="0" w:type="dxa"/>
          <w:bottom w:w="0" w:type="dxa"/>
          <w:right w:w="0" w:type="dxa"/>
        </w:tblCellMar>
      </w:tblPr>
      <w:tr>
        <w:trPr>
          <w:trHeight w:val="20"/>
        </w:trPr>
        <w:tc>
          <w:tcPr>
            <w:tcW w:w="31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3"/>
        </w:trPr>
        <w:tc>
          <w:tcPr>
            <w:tcW w:w="31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First-lien debt investments</w:t>
            </w:r>
          </w:p>
        </w:tc>
        <w:tc>
          <w:tcPr>
            <w:tcW w:w="106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7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2,732</w:t>
            </w:r>
          </w:p>
        </w:tc>
        <w:tc>
          <w:tcPr>
            <w:tcW w:w="180" w:type="dxa"/>
            <w:vAlign w:val="bottom"/>
            <w:tcBorders>
              <w:right w:val="single" w:sz="8" w:color="CFF0FC"/>
            </w:tcBorders>
            <w:shd w:val="clear" w:color="auto" w:fill="CFF0FC"/>
          </w:tcPr>
          <w:p>
            <w:pPr>
              <w:spacing w:after="0"/>
              <w:rPr>
                <w:sz w:val="17"/>
                <w:szCs w:val="17"/>
                <w:color w:val="auto"/>
              </w:rPr>
            </w:pP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8,846</w:t>
            </w:r>
          </w:p>
        </w:tc>
        <w:tc>
          <w:tcPr>
            <w:tcW w:w="80" w:type="dxa"/>
            <w:vAlign w:val="bottom"/>
            <w:shd w:val="clear" w:color="auto" w:fill="CFF0FC"/>
          </w:tcPr>
          <w:p>
            <w:pPr>
              <w:spacing w:after="0"/>
              <w:rPr>
                <w:sz w:val="17"/>
                <w:szCs w:val="17"/>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(2,062)</w:t>
            </w: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10,206</w:t>
            </w:r>
          </w:p>
        </w:tc>
        <w:tc>
          <w:tcPr>
            <w:tcW w:w="180" w:type="dxa"/>
            <w:vAlign w:val="bottom"/>
            <w:tcBorders>
              <w:right w:val="single" w:sz="8" w:color="CFF0FC"/>
            </w:tcBorders>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(3,255)</w:t>
            </w:r>
          </w:p>
        </w:tc>
      </w:tr>
      <w:tr>
        <w:trPr>
          <w:trHeight w:val="223"/>
        </w:trPr>
        <w:tc>
          <w:tcPr>
            <w:tcW w:w="318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13,368</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80" w:type="dxa"/>
            <w:vAlign w:val="bottom"/>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tables present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2018 and December 31, 2017. The tables are not intended to be all-inclusive, but instead capture the significant unobservable inputs relevant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determination of fair values.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June 30, 2018</w:t>
            </w:r>
          </w:p>
        </w:tc>
        <w:tc>
          <w:tcPr>
            <w:tcW w:w="1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Unobservable</w:t>
            </w:r>
          </w:p>
        </w:tc>
        <w:tc>
          <w:tcPr>
            <w:tcW w:w="1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Range (Weighted</w:t>
            </w:r>
          </w:p>
        </w:tc>
        <w:tc>
          <w:tcPr>
            <w:tcW w:w="1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540" w:type="dxa"/>
            <w:vAlign w:val="bottom"/>
          </w:tcPr>
          <w:p>
            <w:pPr>
              <w:ind w:left="540"/>
              <w:spacing w:after="0"/>
              <w:rPr>
                <w:sz w:val="20"/>
                <w:szCs w:val="20"/>
                <w:color w:val="auto"/>
              </w:rPr>
            </w:pPr>
            <w:r>
              <w:rPr>
                <w:rFonts w:ascii="Arial" w:cs="Arial" w:eastAsia="Arial" w:hAnsi="Arial"/>
                <w:sz w:val="14"/>
                <w:szCs w:val="14"/>
                <w:b w:val="1"/>
                <w:bCs w:val="1"/>
                <w:color w:val="auto"/>
              </w:rPr>
              <w:t>Technique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Input</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Average)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 to Input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1,816,185</w:t>
            </w:r>
          </w:p>
        </w:tc>
        <w:tc>
          <w:tcPr>
            <w:tcW w:w="22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3"/>
              </w:rPr>
              <w:t xml:space="preserve">Income approach </w:t>
            </w:r>
            <w:r>
              <w:rPr>
                <w:rFonts w:ascii="Arial" w:cs="Arial" w:eastAsia="Arial" w:hAnsi="Arial"/>
                <w:sz w:val="15"/>
                <w:szCs w:val="15"/>
                <w:color w:val="auto"/>
                <w:w w:val="93"/>
              </w:rPr>
              <w:t>(1)</w:t>
            </w: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Market yield</w:t>
            </w:r>
          </w:p>
        </w:tc>
        <w:tc>
          <w:tcPr>
            <w:tcW w:w="1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6.0% — 14.4% (10.5%)</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61,331</w:t>
            </w:r>
          </w:p>
        </w:tc>
        <w:tc>
          <w:tcPr>
            <w:tcW w:w="1760" w:type="dxa"/>
            <w:vAlign w:val="bottom"/>
            <w:gridSpan w:val="2"/>
          </w:tcPr>
          <w:p>
            <w:pPr>
              <w:ind w:left="220"/>
              <w:spacing w:after="0"/>
              <w:rPr>
                <w:sz w:val="20"/>
                <w:szCs w:val="20"/>
                <w:color w:val="auto"/>
              </w:rPr>
            </w:pPr>
            <w:r>
              <w:rPr>
                <w:rFonts w:ascii="Arial" w:cs="Arial" w:eastAsia="Arial" w:hAnsi="Arial"/>
                <w:sz w:val="18"/>
                <w:szCs w:val="18"/>
                <w:color w:val="auto"/>
              </w:rPr>
              <w:t>Income approach</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13.5% — 14.5% (13.6%)</w:t>
            </w:r>
          </w:p>
        </w:tc>
        <w:tc>
          <w:tcPr>
            <w:tcW w:w="1740" w:type="dxa"/>
            <w:vAlign w:val="bottom"/>
          </w:tcPr>
          <w:p>
            <w:pPr>
              <w:spacing w:after="0"/>
              <w:rPr>
                <w:sz w:val="20"/>
                <w:szCs w:val="20"/>
                <w:color w:val="auto"/>
              </w:rPr>
            </w:pPr>
            <w:r>
              <w:rPr>
                <w:rFonts w:ascii="Arial" w:cs="Arial" w:eastAsia="Arial" w:hAnsi="Arial"/>
                <w:sz w:val="18"/>
                <w:szCs w:val="18"/>
                <w:color w:val="auto"/>
              </w:rPr>
              <w:t>Decrease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56,016</w:t>
            </w:r>
          </w:p>
        </w:tc>
        <w:tc>
          <w:tcPr>
            <w:tcW w:w="17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Comparable multiple</w:t>
            </w:r>
          </w:p>
        </w:tc>
        <w:tc>
          <w:tcPr>
            <w:tcW w:w="19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4.6x — 13.2x (11.0x)</w:t>
            </w:r>
          </w:p>
        </w:tc>
        <w:tc>
          <w:tcPr>
            <w:tcW w:w="1740" w:type="dxa"/>
            <w:vAlign w:val="bottom"/>
            <w:shd w:val="clear" w:color="auto" w:fill="CFF0FC"/>
          </w:tcPr>
          <w:p>
            <w:pPr>
              <w:spacing w:after="0"/>
              <w:rPr>
                <w:sz w:val="20"/>
                <w:szCs w:val="20"/>
                <w:color w:val="auto"/>
              </w:rPr>
            </w:pPr>
            <w:r>
              <w:rPr>
                <w:rFonts w:ascii="Arial" w:cs="Arial" w:eastAsia="Arial" w:hAnsi="Arial"/>
                <w:sz w:val="18"/>
                <w:szCs w:val="18"/>
                <w:color w:val="auto"/>
              </w:rPr>
              <w:t>Increase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1,933,532</w:t>
            </w:r>
          </w:p>
        </w:tc>
        <w:tc>
          <w:tcPr>
            <w:tcW w:w="22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31</w:t>
            </w: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type w:val="continuous"/>
        </w:sectPr>
      </w:pPr>
    </w:p>
    <w:bookmarkStart w:id="31" w:name="page32"/>
    <w:bookmarkEnd w:id="31"/>
    <w:p>
      <w:pPr>
        <w:ind w:left="520" w:right="420" w:hanging="512"/>
        <w:spacing w:after="0" w:line="291"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$34.9 million of first-lien debt investments which were valued using an enterprise valuation waterfall and $72.7 million of first-lien debt investments which, due to the proximity of the transactions relative to the measurement date, were valued using the cost of the investments.</w:t>
      </w:r>
    </w:p>
    <w:p>
      <w:pPr>
        <w:ind w:left="520" w:right="280" w:hanging="512"/>
        <w:spacing w:after="0" w:line="290"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$29.2 million of equity investments which were valued using a weighted valuation approach and $3.8 million of equity investments which due to the proximity of the transactions relative to the measurement date were valued using the cost of the investments.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1"/>
                <w:szCs w:val="11"/>
                <w:color w:val="auto"/>
              </w:rPr>
            </w:pPr>
          </w:p>
        </w:tc>
        <w:tc>
          <w:tcPr>
            <w:tcW w:w="18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Unobservable</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00" w:type="dxa"/>
            <w:vAlign w:val="bottom"/>
          </w:tcPr>
          <w:p>
            <w:pPr>
              <w:spacing w:after="0"/>
              <w:rPr>
                <w:sz w:val="11"/>
                <w:szCs w:val="11"/>
                <w:color w:val="auto"/>
              </w:rPr>
            </w:pPr>
          </w:p>
        </w:tc>
        <w:tc>
          <w:tcPr>
            <w:tcW w:w="1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720" w:type="dxa"/>
            <w:vAlign w:val="bottom"/>
          </w:tcPr>
          <w:p>
            <w:pPr>
              <w:ind w:left="540"/>
              <w:spacing w:after="0"/>
              <w:rPr>
                <w:sz w:val="20"/>
                <w:szCs w:val="20"/>
                <w:color w:val="auto"/>
              </w:rPr>
            </w:pPr>
            <w:r>
              <w:rPr>
                <w:rFonts w:ascii="Arial" w:cs="Arial" w:eastAsia="Arial" w:hAnsi="Arial"/>
                <w:sz w:val="14"/>
                <w:szCs w:val="14"/>
                <w:b w:val="1"/>
                <w:bCs w:val="1"/>
                <w:color w:val="auto"/>
              </w:rPr>
              <w:t>Technique</w:t>
            </w:r>
          </w:p>
        </w:tc>
        <w:tc>
          <w:tcPr>
            <w:tcW w:w="120" w:type="dxa"/>
            <w:vAlign w:val="bottom"/>
          </w:tcPr>
          <w:p>
            <w:pPr>
              <w:spacing w:after="0"/>
              <w:rPr>
                <w:sz w:val="14"/>
                <w:szCs w:val="14"/>
                <w:color w:val="auto"/>
              </w:rPr>
            </w:pPr>
          </w:p>
        </w:tc>
        <w:tc>
          <w:tcPr>
            <w:tcW w:w="1840" w:type="dxa"/>
            <w:vAlign w:val="bottom"/>
            <w:gridSpan w:val="2"/>
          </w:tcPr>
          <w:p>
            <w:pPr>
              <w:ind w:left="680"/>
              <w:spacing w:after="0"/>
              <w:rPr>
                <w:sz w:val="20"/>
                <w:szCs w:val="20"/>
                <w:color w:val="auto"/>
              </w:rPr>
            </w:pPr>
            <w:r>
              <w:rPr>
                <w:rFonts w:ascii="Arial" w:cs="Arial" w:eastAsia="Arial" w:hAnsi="Arial"/>
                <w:sz w:val="14"/>
                <w:szCs w:val="14"/>
                <w:b w:val="1"/>
                <w:bCs w:val="1"/>
                <w:color w:val="auto"/>
              </w:rPr>
              <w:t>Input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1,563,972</w:t>
            </w:r>
          </w:p>
        </w:tc>
        <w:tc>
          <w:tcPr>
            <w:tcW w:w="22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Market yield</w:t>
            </w:r>
          </w:p>
        </w:tc>
        <w:tc>
          <w:tcPr>
            <w:tcW w:w="12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7.3% — 14.6% (10.2%)</w:t>
            </w:r>
          </w:p>
        </w:tc>
        <w:tc>
          <w:tcPr>
            <w:tcW w:w="10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60,900</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Income approach</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Market yield</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12.9% — 14.0% (13.0%)</w:t>
            </w:r>
          </w:p>
        </w:tc>
        <w:tc>
          <w:tcPr>
            <w:tcW w:w="1860" w:type="dxa"/>
            <w:vAlign w:val="bottom"/>
            <w:gridSpan w:val="2"/>
          </w:tcPr>
          <w:p>
            <w:pPr>
              <w:ind w:left="10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38,322</w:t>
            </w:r>
          </w:p>
        </w:tc>
        <w:tc>
          <w:tcPr>
            <w:tcW w:w="19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19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Comparable multiple</w:t>
            </w: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4.6x — 13.2x (11.2x)</w:t>
            </w:r>
          </w:p>
        </w:tc>
        <w:tc>
          <w:tcPr>
            <w:tcW w:w="18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86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1,663,194</w:t>
            </w:r>
          </w:p>
        </w:tc>
        <w:tc>
          <w:tcPr>
            <w:tcW w:w="2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$34.6 million of first-lien debt investments which were valued using an asset valuation waterfall.</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$18.6 million of equity investments which were valued using a weighted valuation approach.</w:t>
      </w:r>
    </w:p>
    <w:p>
      <w:pPr>
        <w:spacing w:after="0" w:line="211"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120" w:firstLine="259"/>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June 30, 2018, approximates its carrying value as the outstanding balance is callable at carrying value. The fair value of the Company’s Convertible Notes (consisting of the 2019 Convertible Notes and the 2022 Convertible Notes) and 2023 Notes, which are categorized as Level 2 within the fair value hierarchy, as of June 30, 2018, was $434.4 million, based on broker quotes received by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Convertible Notes and 2023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June 30, 2018 and December 31, 2017, the Company’s asset coverage was 221.4% and 235.5%, respectively.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June 30, 2018 and December 31, 2017:</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439,380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500,620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430,472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49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112,887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49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147,142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1,377,500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876,880</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500,620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858,186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6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Convertible Notes, and 2023 Notes are presented net of deferred financing costs of $8.9 million, $5.0 million and $2.8 million, respectively.</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8"/>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486,808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488,192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479,724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2019 Convertible Notes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Notes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1,205,000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716,808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488,192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8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Convertible Notes are presented net of deferred financing costs of $7.1 million and $4.7 million, respectively.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and six months ended June 30, 2018 and 2017, the components of interest expense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215"/>
        </w:trPr>
        <w:tc>
          <w:tcPr>
            <w:tcW w:w="346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June 30, 2018</w:t>
            </w:r>
          </w:p>
        </w:tc>
        <w:tc>
          <w:tcPr>
            <w:tcW w:w="6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June 30, 2017</w:t>
            </w:r>
          </w:p>
        </w:tc>
        <w:tc>
          <w:tcPr>
            <w:tcW w:w="8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June 30, 2018</w:t>
            </w:r>
          </w:p>
        </w:tc>
        <w:tc>
          <w:tcPr>
            <w:tcW w:w="6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June 30, 2017</w:t>
            </w: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9,379</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5,336</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11,024</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Commitment fees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972</w:t>
            </w:r>
          </w:p>
        </w:tc>
        <w:tc>
          <w:tcPr>
            <w:tcW w:w="18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1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w:t>
            </w:r>
          </w:p>
        </w:tc>
        <w:tc>
          <w:tcPr>
            <w:tcW w:w="180" w:type="dxa"/>
            <w:vAlign w:val="bottom"/>
            <w:shd w:val="clear" w:color="auto" w:fill="CFF0FC"/>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Swap settlement </w:t>
            </w:r>
            <w:r>
              <w:rPr>
                <w:rFonts w:ascii="Arial" w:cs="Arial" w:eastAsia="Arial" w:hAnsi="Arial"/>
                <w:sz w:val="15"/>
                <w:szCs w:val="15"/>
                <w:color w:val="auto"/>
              </w:rPr>
              <w:t>(1)</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1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80" w:type="dxa"/>
            <w:vAlign w:val="bottom"/>
            <w:shd w:val="clear" w:color="auto" w:fill="CFF0FC"/>
          </w:tcPr>
          <w:p>
            <w:pPr>
              <w:spacing w:after="0"/>
              <w:rPr>
                <w:sz w:val="19"/>
                <w:szCs w:val="19"/>
                <w:color w:val="auto"/>
              </w:rPr>
            </w:pPr>
          </w:p>
        </w:tc>
      </w:tr>
      <w:tr>
        <w:trPr>
          <w:trHeight w:val="263"/>
        </w:trPr>
        <w:tc>
          <w:tcPr>
            <w:tcW w:w="3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11,161</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7,655</w:t>
            </w:r>
          </w:p>
        </w:tc>
        <w:tc>
          <w:tcPr>
            <w:tcW w:w="180" w:type="dxa"/>
            <w:vAlign w:val="bottom"/>
            <w:tcBorders>
              <w:bottom w:val="single" w:sz="8" w:color="CFF0FC"/>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20,231</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14,520</w:t>
            </w:r>
          </w:p>
        </w:tc>
        <w:tc>
          <w:tcPr>
            <w:tcW w:w="180" w:type="dxa"/>
            <w:vAlign w:val="bottom"/>
            <w:tcBorders>
              <w:bottom w:val="single" w:sz="8" w:color="CFF0FC"/>
            </w:tcBorders>
          </w:tcPr>
          <w:p>
            <w:pPr>
              <w:spacing w:after="0"/>
              <w:rPr>
                <w:sz w:val="22"/>
                <w:szCs w:val="22"/>
                <w:color w:val="auto"/>
              </w:rPr>
            </w:pPr>
          </w:p>
        </w:tc>
      </w:tr>
      <w:tr>
        <w:trPr>
          <w:trHeight w:val="21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938.7</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539.5</w:t>
            </w:r>
          </w:p>
        </w:tc>
        <w:tc>
          <w:tcPr>
            <w:tcW w:w="1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883.1</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646.1</w:t>
            </w:r>
          </w:p>
        </w:tc>
        <w:tc>
          <w:tcPr>
            <w:tcW w:w="180" w:type="dxa"/>
            <w:vAlign w:val="bottom"/>
            <w:shd w:val="clear" w:color="auto" w:fill="CFF0FC"/>
          </w:tcPr>
          <w:p>
            <w:pPr>
              <w:spacing w:after="0"/>
              <w:rPr>
                <w:sz w:val="18"/>
                <w:szCs w:val="18"/>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2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0.94%</w:t>
            </w:r>
          </w:p>
        </w:tc>
      </w:tr>
    </w:tbl>
    <w:p>
      <w:pPr>
        <w:spacing w:after="0" w:line="242"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settlement of the interest rate swaps related to the Company’s Convertible Notes, and 2023 Notes.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On August 23, 2012, the Company entered into a senior secured revolving credit agreement with SunTrust Bank, as administrative agent, and J.P. Morgan Chase Bank, N.A., as syndication agent, and certain other lenders (as amended and restated, the “Revolving Credit Facility”).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3" w:name="page34"/>
    <w:bookmarkEnd w:id="33"/>
    <w:p>
      <w:pPr>
        <w:ind w:right="80" w:firstLine="259"/>
        <w:spacing w:after="0" w:line="277" w:lineRule="auto"/>
        <w:rPr>
          <w:sz w:val="20"/>
          <w:szCs w:val="20"/>
          <w:color w:val="auto"/>
        </w:rPr>
      </w:pPr>
      <w:r>
        <w:rPr>
          <w:rFonts w:ascii="Arial" w:cs="Arial" w:eastAsia="Arial" w:hAnsi="Arial"/>
          <w:sz w:val="18"/>
          <w:szCs w:val="18"/>
          <w:color w:val="auto"/>
        </w:rPr>
        <w:t>As of June 30, 2018, aggregate commitments under the facility were $940 million. The facility includes an uncommitted accordion feature that allows the Company, under certain circumstances, to increase the size of the facility to up to $1.25 billion.</w:t>
      </w:r>
    </w:p>
    <w:p>
      <w:pPr>
        <w:spacing w:after="0" w:line="170"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The revolving period, during which period the Company, subject to certain conditions, may make borrowings under the facility, ends February 18, 2022 and the stated maturity date is February 17, 2023.</w:t>
      </w:r>
    </w:p>
    <w:p>
      <w:pPr>
        <w:spacing w:after="0" w:line="170" w:lineRule="exact"/>
        <w:rPr>
          <w:sz w:val="20"/>
          <w:szCs w:val="20"/>
          <w:color w:val="auto"/>
        </w:rPr>
      </w:pPr>
    </w:p>
    <w:p>
      <w:pPr>
        <w:ind w:right="520" w:firstLine="259"/>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June 30, 2018, the Company had outstanding debt denominated in Australian Dollars (AUD) of 46.4 million and Euro (EUR) of 57.1 million on its Revolving Credit Facility, included in the Outstanding Principal amount in the table above.</w:t>
      </w:r>
    </w:p>
    <w:p>
      <w:pPr>
        <w:spacing w:after="0" w:line="18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June 30, 2018 and December 31, 2017,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81"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LIBOR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8" w:lineRule="exact"/>
        <w:rPr>
          <w:sz w:val="20"/>
          <w:szCs w:val="20"/>
          <w:color w:val="auto"/>
        </w:rPr>
      </w:pPr>
    </w:p>
    <w:p>
      <w:pPr>
        <w:ind w:right="220" w:firstLine="259"/>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40" w:hanging="255"/>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 and</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February 20, 2018.</w:t>
      </w:r>
    </w:p>
    <w:p>
      <w:pPr>
        <w:spacing w:after="0" w:line="225"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Net proceeds received from the Company’s common stock issuance in March 2018 and net proceeds received from the issuance of the additional 2022 Convertible Notes and 2023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In June 2014, the Company issued in a private offering $115 million aggregate principal amount convertible notes due December 2019 (the “2019 Convertible Notes”). The 2019 Convertible Notes were issued in a private placement only to qualified institutional buyers pursuant to Rule 144A under the Securities Act. The 2019 Convertible Notes are unsecured, and bear interest at a rate of 4.50% per year, payable semiannually. The 2019 Convertible Notes will mature on December 15, 2019. In certain circumstances, the 2019 Convertible Notes will be convertible into cash, shares of the Company’s common stock or a combination of cash and shares of the Company’s common stock, at the Company’s election, at an initial conversion rate of 38.7162 shares of common stock per $1,000 principal amount of 2019 Convertible Notes, which is equivalent to an initial conversion price of approximately $25.83 per share of the Company’s common stock, subject to customary anti-dilution adjustments. As of June 30, 2018, the estimated adjusted conversion price was approximately $25.26 per share of the Company’s common stock. The sale of the 2019 Convertible Notes generated net proceeds of approximately $110.8 million. The Company used the net proceeds of the offering to pay down debt under the Revolving Credit Facility. In connection with the offering of 2019 Convertible Notes, the Company has entered into interest rate swaps to continue to align the interest rates of its liabilities with its investment portfolio, which consists of predominately floating rate loans. As a result of the swaps, the Company’s effective interest rate on the 2019 Convertible Notes is three-month LIBOR plus 2.86%. See Note 5 for further information related to the Company’s interest rate swaps.</w:t>
      </w:r>
    </w:p>
    <w:p>
      <w:pPr>
        <w:spacing w:after="0" w:line="180"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Holders may convert their 2019 Convertible Notes at their option at any time prior to June 15, 2019 only under the following circumstances: (1) during any calendar quarter commencing after the calendar quarter ending on September 30, 2014 (and only during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ind w:right="40"/>
        <w:spacing w:after="0" w:line="254" w:lineRule="auto"/>
        <w:rPr>
          <w:sz w:val="20"/>
          <w:szCs w:val="20"/>
          <w:color w:val="auto"/>
        </w:rPr>
      </w:pPr>
      <w:r>
        <w:rPr>
          <w:rFonts w:ascii="Arial" w:cs="Arial" w:eastAsia="Arial" w:hAnsi="Arial"/>
          <w:sz w:val="18"/>
          <w:szCs w:val="18"/>
          <w:color w:val="auto"/>
        </w:rPr>
        <w:t>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2019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firstLine="259"/>
        <w:spacing w:after="0" w:line="268" w:lineRule="auto"/>
        <w:rPr>
          <w:sz w:val="20"/>
          <w:szCs w:val="20"/>
          <w:color w:val="auto"/>
        </w:rPr>
      </w:pPr>
      <w:r>
        <w:rPr>
          <w:rFonts w:ascii="Arial" w:cs="Arial" w:eastAsia="Arial" w:hAnsi="Arial"/>
          <w:sz w:val="17"/>
          <w:szCs w:val="17"/>
          <w:color w:val="auto"/>
        </w:rPr>
        <w:t>In February 2017, the Company issued in a private offering $115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the Company’s common stock or a combination of cash and shares of the Company’s common stock, at the Company’s election, at an initial conversion rate of 46.8516 shares of common stock per $1,000 principal amount of 2022 Convertible Notes, which is equivalent to an initial conversion price of approximately $21.34 per share of the Company’s common stock, subject to customary anti-dilution adjustments. As of June 30, 2018, the estimated adjusted conversion price was approximately $21.05 per share of the Company’s common stock. The sale of the 2022 Convertible Notes generated net proceeds of approximately $111.2 million. The Company used the net proceeds of the offering to pay down debt under the Revolving Credit Facility. In connection with the offering of 2022 Convertible Notes, the Company has entered into an interest rate swap to continue to align the interest rates of its liabilities with its investment portfolio, which consists of predominately floating rate loans. As a result of the swap, the Company’s effective interest rate on the original issuance of 2022 Convertible Notes is three-month LIBOR plus 2.37%. See Note 5 for further information related to the Company’s interest rate swaps.</w:t>
      </w:r>
    </w:p>
    <w:p>
      <w:pPr>
        <w:spacing w:after="0" w:line="188"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In June 2018, the Company issued an additional $57.5 million aggregate principal amount of 2022 Convertible Notes. The additional Convertible Notes were issued with identical terms, and are fungible with and are part of a single series with the previously outstanding $115 million aggregate principal amount of the Company’s existing 2022 Convertible Notes issued in February 2017. In connection with the reopening of the 2022 Convertible Notes, the Company has entered into interest rate swaps to continue to align the interest rates of its liabilities with its investment portfolio, which consists of predominantly floating rate loans. As a result of the additional swaps, the Company’s effective interest rate on the additional 2022 Convertible Notes is approximately three-month LIBOR plus 1.60%. See Note 5 for further information related to the Company’s interest rate swaps.</w:t>
      </w:r>
    </w:p>
    <w:p>
      <w:pPr>
        <w:spacing w:after="0" w:line="178"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Holders may convert their 2022 Convertible Notes at their option at any time prior to February 1, 2022 only under the following circumstances: (1) 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ind w:right="40" w:firstLine="259"/>
        <w:spacing w:after="0" w:line="276" w:lineRule="auto"/>
        <w:rPr>
          <w:sz w:val="20"/>
          <w:szCs w:val="20"/>
          <w:color w:val="auto"/>
        </w:rPr>
      </w:pPr>
      <w:r>
        <w:rPr>
          <w:rFonts w:ascii="Arial" w:cs="Arial" w:eastAsia="Arial" w:hAnsi="Arial"/>
          <w:sz w:val="17"/>
          <w:szCs w:val="17"/>
          <w:color w:val="auto"/>
        </w:rPr>
        <w:t>The Convertible Notes are the Company’s unsecured obligations and rank senior in right of payment to the Company’s future indebtedness that is expressly subordinated in right of payment to the Convertible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ind w:left="260"/>
        <w:spacing w:after="0"/>
        <w:rPr>
          <w:sz w:val="20"/>
          <w:szCs w:val="20"/>
          <w:color w:val="auto"/>
        </w:rPr>
      </w:pPr>
      <w:r>
        <w:rPr>
          <w:rFonts w:ascii="Arial" w:cs="Arial" w:eastAsia="Arial" w:hAnsi="Arial"/>
          <w:sz w:val="17"/>
          <w:szCs w:val="17"/>
          <w:color w:val="auto"/>
        </w:rPr>
        <w:t>For the three and six months ended June 30, 2018 and 2017, the components of interest expense related to the Convertible Notes were as follows:</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4"/>
          </w:tcPr>
          <w:p>
            <w:pPr>
              <w:jc w:val="right"/>
              <w:ind w:right="3"/>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2018</w:t>
            </w: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2017</w:t>
            </w:r>
          </w:p>
        </w:tc>
        <w:tc>
          <w:tcPr>
            <w:tcW w:w="122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2017</w:t>
            </w: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8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2,657</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9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2,587</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83"/>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FF0FC"/>
          </w:tcPr>
          <w:p>
            <w:pPr>
              <w:spacing w:after="0"/>
              <w:rPr>
                <w:sz w:val="19"/>
                <w:szCs w:val="19"/>
                <w:color w:val="auto"/>
              </w:rPr>
            </w:pPr>
          </w:p>
        </w:tc>
      </w:tr>
      <w:tr>
        <w:trPr>
          <w:trHeight w:val="223"/>
        </w:trPr>
        <w:tc>
          <w:tcPr>
            <w:tcW w:w="328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3,122</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5,743</w:t>
            </w:r>
          </w:p>
        </w:tc>
        <w:tc>
          <w:tcPr>
            <w:tcW w:w="8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Total interest expense in the table above does not include the effect of the interest rate swaps related to the Convertible Notes. During the three and six months ended June 30, 2018, the Company received $2.6 million and $5.2 million, respectively, and paid $2.9 million and $5.3 million, respectively, related to the settlements of its interest rate swaps related to the Convertible Notes. During the three and six months ended June 30, 2017, the Company received $1.3 million and $2.6 million, respectively, and paid $2.1 million and $3.2 million, respectively, related to the settlements of its interest rate swaps related to the Convertible Notes. These net amounts are included in interest expense in the Company’s consolidated statements of operations. Please see Note 5 for further information about the Company’s interest rate swaps.</w:t>
      </w:r>
    </w:p>
    <w:p>
      <w:pPr>
        <w:spacing w:after="0" w:line="193"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As of June 30, 2018, the principal amount of the Convertible Notes exceeded the value of the underlying shares multiplied by the per share closing price of the Company’s common stock.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2018, the components of the carrying value of the Convertible Notes and the stated interest rate were as follows: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June 30, 2018</w:t>
            </w:r>
          </w:p>
        </w:tc>
        <w:tc>
          <w:tcPr>
            <w:tcW w:w="1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center"/>
              <w:ind w:right="258"/>
              <w:spacing w:after="0" w:line="147"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tcPr>
          <w:p>
            <w:pPr>
              <w:jc w:val="center"/>
              <w:ind w:right="397"/>
              <w:spacing w:after="0" w:line="147"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(1,127)</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43"/>
        </w:trPr>
        <w:tc>
          <w:tcPr>
            <w:tcW w:w="3900" w:type="dxa"/>
            <w:vAlign w:val="bottom"/>
            <w:gridSpan w:val="2"/>
          </w:tcPr>
          <w:p>
            <w:pPr>
              <w:spacing w:after="0"/>
              <w:rPr>
                <w:sz w:val="20"/>
                <w:szCs w:val="20"/>
                <w:color w:val="auto"/>
              </w:rPr>
            </w:pPr>
            <w:r>
              <w:rPr>
                <w:rFonts w:ascii="Arial" w:cs="Arial" w:eastAsia="Arial" w:hAnsi="Arial"/>
                <w:sz w:val="18"/>
                <w:szCs w:val="18"/>
                <w:color w:val="auto"/>
              </w:rPr>
              <w:t>Carrying value of debt</w:t>
            </w:r>
          </w:p>
        </w:tc>
        <w:tc>
          <w:tcPr>
            <w:tcW w:w="10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112,887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167,685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152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000000"/>
          </w:tcPr>
          <w:p>
            <w:pPr>
              <w:spacing w:after="0" w:line="20" w:lineRule="exact"/>
              <w:rPr>
                <w:sz w:val="1"/>
                <w:szCs w:val="1"/>
                <w:color w:val="auto"/>
              </w:rPr>
            </w:pPr>
          </w:p>
        </w:tc>
        <w:tc>
          <w:tcPr>
            <w:tcW w:w="136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2017</w:t>
            </w:r>
          </w:p>
        </w:tc>
        <w:tc>
          <w:tcPr>
            <w:tcW w:w="13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center"/>
              <w:ind w:right="258"/>
              <w:spacing w:after="0" w:line="147"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tcPr>
          <w:p>
            <w:pPr>
              <w:jc w:val="center"/>
              <w:ind w:right="397"/>
              <w:spacing w:after="0" w:line="147"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43"/>
        </w:trPr>
        <w:tc>
          <w:tcPr>
            <w:tcW w:w="3900" w:type="dxa"/>
            <w:vAlign w:val="bottom"/>
            <w:gridSpan w:val="2"/>
          </w:tcPr>
          <w:p>
            <w:pPr>
              <w:spacing w:after="0"/>
              <w:rPr>
                <w:sz w:val="20"/>
                <w:szCs w:val="20"/>
                <w:color w:val="auto"/>
              </w:rPr>
            </w:pPr>
            <w:r>
              <w:rPr>
                <w:rFonts w:ascii="Arial" w:cs="Arial" w:eastAsia="Arial" w:hAnsi="Arial"/>
                <w:sz w:val="18"/>
                <w:szCs w:val="18"/>
                <w:color w:val="auto"/>
              </w:rPr>
              <w:t>Carrying value of debt</w:t>
            </w:r>
          </w:p>
        </w:tc>
        <w:tc>
          <w:tcPr>
            <w:tcW w:w="10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112,182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111,522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152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000000"/>
          </w:tcPr>
          <w:p>
            <w:pPr>
              <w:spacing w:after="0" w:line="20" w:lineRule="exact"/>
              <w:rPr>
                <w:sz w:val="1"/>
                <w:szCs w:val="1"/>
                <w:color w:val="auto"/>
              </w:rPr>
            </w:pPr>
          </w:p>
        </w:tc>
        <w:tc>
          <w:tcPr>
            <w:tcW w:w="136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on the Convertible Notes is three month LIBOR plus 2.86% for the 2019 Convertible Notes, and three month LIBOR plus 2.11% (on a weighted average basis) for the 2022 Convertible Notes. Please see Note 5 for further information about the Company’s interest rate swaps.</w:t>
      </w:r>
    </w:p>
    <w:p>
      <w:pPr>
        <w:spacing w:after="0" w:line="181"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The indentures governing the Convertible Notes contain certain covenants, including covenants requiring the Company to comply with the applicable asset coverage ratio requirement under the 1940 Act and to provide financial information to the holders of the Convertible Notes under certain circumstances. These covenants are subject to important limitations and exceptions that are described in the indentures governing the Convertible Notes. As of June 30, 2018, the Company was in compliance with the terms of each of the indentures governing the Convertible Notes.</w:t>
      </w:r>
    </w:p>
    <w:p>
      <w:pPr>
        <w:spacing w:after="0" w:line="171" w:lineRule="exact"/>
        <w:rPr>
          <w:sz w:val="20"/>
          <w:szCs w:val="20"/>
          <w:color w:val="auto"/>
        </w:rPr>
      </w:pPr>
    </w:p>
    <w:p>
      <w:pPr>
        <w:ind w:right="700" w:firstLine="259"/>
        <w:spacing w:after="0" w:line="277" w:lineRule="auto"/>
        <w:rPr>
          <w:sz w:val="20"/>
          <w:szCs w:val="20"/>
          <w:color w:val="auto"/>
        </w:rPr>
      </w:pPr>
      <w:r>
        <w:rPr>
          <w:rFonts w:ascii="Arial" w:cs="Arial" w:eastAsia="Arial" w:hAnsi="Arial"/>
          <w:sz w:val="18"/>
          <w:szCs w:val="18"/>
          <w:color w:val="auto"/>
        </w:rPr>
        <w:t>The Convertible Notes are accounted for in accordance with Accounting Standards Codification (“ASC”) 470-20. Upon conversion of any of the Convertible Notes, the Company intends to pay the outstanding principal amount in cash and, to the extent that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6" w:name="page37"/>
    <w:bookmarkEnd w:id="36"/>
    <w:p>
      <w:pPr>
        <w:ind w:right="40"/>
        <w:spacing w:after="0" w:line="291" w:lineRule="auto"/>
        <w:rPr>
          <w:sz w:val="20"/>
          <w:szCs w:val="20"/>
          <w:color w:val="auto"/>
        </w:rPr>
      </w:pPr>
      <w:r>
        <w:rPr>
          <w:rFonts w:ascii="Arial" w:cs="Arial" w:eastAsia="Arial" w:hAnsi="Arial"/>
          <w:sz w:val="16"/>
          <w:szCs w:val="16"/>
          <w:color w:val="auto"/>
        </w:rPr>
        <w:t>conversion value exceeds the principal amount, the Company has the option to pay in cash or shares of the Company’s common stock (or a combination of cash and shares) in respect of the excess amount, subject to the requirements of the indentures governing the Convertible Notes. The Company has determined that the embedded conversion options in each series of Convertible Notes are not required to be separately accounted for as a derivative under U.S. GAAP. In accounting for the Convertible Notes, the Company estimated at the time of issuance separate debt and equity components of each series of Convertible Notes. An original issue discount equal to the equity components of each series of Convertible Notes was recorded in “additional paid-in capital” in the accompanying consolidated balance sheet. Additionally, the issuance costs associated with the Convertible Notes were allocated to the debt and equity components in proportion to the allocation of the proceeds and accounted for as deferred financing costs and equity issuance costs,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88" w:lineRule="exact"/>
        <w:rPr>
          <w:sz w:val="20"/>
          <w:szCs w:val="20"/>
          <w:color w:val="auto"/>
        </w:rPr>
      </w:pPr>
    </w:p>
    <w:p>
      <w:pPr>
        <w:ind w:right="140" w:firstLine="259"/>
        <w:spacing w:after="0" w:line="286" w:lineRule="auto"/>
        <w:rPr>
          <w:sz w:val="20"/>
          <w:szCs w:val="20"/>
          <w:color w:val="auto"/>
        </w:rPr>
      </w:pPr>
      <w:r>
        <w:rPr>
          <w:rFonts w:ascii="Arial" w:cs="Arial" w:eastAsia="Arial" w:hAnsi="Arial"/>
          <w:sz w:val="17"/>
          <w:szCs w:val="17"/>
          <w:color w:val="auto"/>
        </w:rPr>
        <w:t>In connection with the 2023 Notes offering, the Company entered into an interest rate swap to continue to align the interest rates of its liabilities with the Company’s investment portfolio, which consists of predominately floating rate loans. As a result of the swap, the Company’s effective interest rate on the 2023 Notes is three-month LIBOR plus 1.99%. Please see Note 5 for further information about the Company’s interest rate swaps.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and six months ended June 30, 2018, the components of interest expense related to the 2023 Notes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2018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2018</w:t>
            </w: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20" w:firstLine="259"/>
        <w:spacing w:after="0" w:line="279" w:lineRule="auto"/>
        <w:rPr>
          <w:sz w:val="20"/>
          <w:szCs w:val="20"/>
          <w:color w:val="auto"/>
        </w:rPr>
      </w:pPr>
      <w:r>
        <w:rPr>
          <w:rFonts w:ascii="Arial" w:cs="Arial" w:eastAsia="Arial" w:hAnsi="Arial"/>
          <w:sz w:val="17"/>
          <w:szCs w:val="17"/>
          <w:color w:val="auto"/>
        </w:rPr>
        <w:t>Total interest expense in the table above does not include the effect of the interest rate swaps related to the 2023 Notes. During the three and six months ended June 30, 2018, the Company received $1.7 million and $2.9 million, respectively, and paid $1.6 million and $2.7 million, respectively, related to the settlements of its interest rate swaps related to the Notes. These net amounts are included in interest expense in the Company’s consolidated statements of operations. Please see Note 5 for further information about the Company’s interest rate swaps.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2018, the components of the carrying value of the 2023 Notes and the stated interest rate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2023 Notes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8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43"/>
        </w:trPr>
        <w:tc>
          <w:tcPr>
            <w:tcW w:w="4700" w:type="dxa"/>
            <w:vAlign w:val="bottom"/>
            <w:gridSpan w:val="2"/>
          </w:tcPr>
          <w:p>
            <w:pPr>
              <w:spacing w:after="0"/>
              <w:rPr>
                <w:sz w:val="20"/>
                <w:szCs w:val="20"/>
                <w:color w:val="auto"/>
              </w:rPr>
            </w:pPr>
            <w:r>
              <w:rPr>
                <w:rFonts w:ascii="Arial" w:cs="Arial" w:eastAsia="Arial" w:hAnsi="Arial"/>
                <w:sz w:val="18"/>
                <w:szCs w:val="18"/>
                <w:color w:val="auto"/>
              </w:rPr>
              <w:t>Carrying value of debt</w:t>
            </w:r>
          </w:p>
        </w:tc>
        <w:tc>
          <w:tcPr>
            <w:tcW w:w="184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147,142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000000"/>
          </w:tcPr>
          <w:p>
            <w:pPr>
              <w:spacing w:after="0" w:line="20" w:lineRule="exact"/>
              <w:rPr>
                <w:sz w:val="1"/>
                <w:szCs w:val="1"/>
                <w:color w:val="auto"/>
              </w:rPr>
            </w:pPr>
          </w:p>
        </w:tc>
        <w:tc>
          <w:tcPr>
            <w:tcW w:w="194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vMerge w:val="continue"/>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on the 2023 Notes is three month LIBOR plus 1.99%.</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2018 and December 31, 2017, the Company was in compliance with the terms of its debt obligations.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June 30, 2018 and December 31, 2017, the Company had the following commitments to fund investments in current portfolio companies: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June 30, 2018</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Bazaarvoice, Inc. - Revolver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Ferrellgas, L.P. - Revolver</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Frontline Technologies Group, LLC - Delayed Draw</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9,377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9,377</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Delayed Draw</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G Treasury SS, LLC - Revolver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Helix Health, Ltd. - Revolver</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Illuminate Education, Inc. - Revolver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Industrial Physics, LLC - Revolver</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IRGSE Holding Corp. - Revolver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Lithium Technologies, LLC - Revolver</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3,659</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Leaf US Holdings, Inc. - Revolver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Motus, LLC - Revolver</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Government Brands, LLC - Revolver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Marketo, Inc. - Revolver</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Northern Oil and Gas, Inc. - Delayed Draw</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16,250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PageUp People Limited - Delayed Draw</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PayLease, LLC - Revolver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PaySimple, Inc. - Revolver</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Rex Energy Corporation DIP - Delayed Draw</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11,050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Riskonnect, Inc. - Revolver</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ScentAir Technologies, Inc. - Revolver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Delayed Draw</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Sovos Compliance, LLC - Revolver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Portfolio Company Commitments</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104,614</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jc w:val="both"/>
        <w:ind w:right="140" w:firstLine="259"/>
        <w:spacing w:after="0" w:line="277" w:lineRule="auto"/>
        <w:rPr>
          <w:sz w:val="20"/>
          <w:szCs w:val="20"/>
          <w:color w:val="auto"/>
        </w:rPr>
      </w:pPr>
      <w:r>
        <w:rPr>
          <w:rFonts w:ascii="Arial" w:cs="Arial" w:eastAsia="Arial" w:hAnsi="Arial"/>
          <w:sz w:val="18"/>
          <w:szCs w:val="18"/>
          <w:color w:val="auto"/>
        </w:rPr>
        <w:t>As of June 30, 2018 and December 31, 2017, the Company did not have any unfunded commitments to fund investments to new borrowers that were not current portfolio companies as of such date.</w:t>
      </w:r>
    </w:p>
    <w:p>
      <w:pPr>
        <w:spacing w:after="0" w:line="170"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June 30, 2018 and December 31, 2017, management is not aware of any pending or threatened litigation.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160" w:firstLine="259"/>
        <w:spacing w:after="0" w:line="286" w:lineRule="auto"/>
        <w:rPr>
          <w:sz w:val="20"/>
          <w:szCs w:val="20"/>
          <w:color w:val="auto"/>
        </w:rPr>
      </w:pPr>
      <w:r>
        <w:rPr>
          <w:rFonts w:ascii="Arial" w:cs="Arial" w:eastAsia="Arial" w:hAnsi="Arial"/>
          <w:sz w:val="17"/>
          <w:szCs w:val="17"/>
          <w:color w:val="auto"/>
        </w:rPr>
        <w:t>In March 2018, the Company issued a total of 3,750,000 shares of common stock at $17.45 per share. Net of underwriting fees and offering costs, the Company received total cash proceeds of $63.0 million. Subsequent to the offering the Company issued an additional 522,224 shares in April 2018 pursuant to the overallotment option granted to underwriters and received, net of underwriting fees, total cash proceeds of $8.8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ind w:right="20" w:firstLine="259"/>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or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six months ended June 30, 2018 and 2017. All shares issued to stockholders in the tables below are newly issued shares.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gridSpan w:val="4"/>
          </w:tcPr>
          <w:p>
            <w:pPr>
              <w:jc w:val="center"/>
              <w:ind w:left="278"/>
              <w:spacing w:after="0"/>
              <w:rPr>
                <w:sz w:val="20"/>
                <w:szCs w:val="20"/>
                <w:color w:val="auto"/>
              </w:rPr>
            </w:pPr>
            <w:r>
              <w:rPr>
                <w:rFonts w:ascii="Arial" w:cs="Arial" w:eastAsia="Arial" w:hAnsi="Arial"/>
                <w:sz w:val="14"/>
                <w:szCs w:val="14"/>
                <w:b w:val="1"/>
                <w:bCs w:val="1"/>
                <w:color w:val="auto"/>
                <w:w w:val="93"/>
              </w:rPr>
              <w:t>Six Months Ended</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14"/>
                <w:szCs w:val="14"/>
                <w:b w:val="1"/>
                <w:bCs w:val="1"/>
                <w:color w:val="auto"/>
                <w:w w:val="92"/>
              </w:rPr>
              <w:t>June 30, 2018</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xml:space="preserve">Dividend </w:t>
            </w:r>
            <w:r>
              <w:rPr>
                <w:rFonts w:ascii="Arial" w:cs="Arial" w:eastAsia="Arial" w:hAnsi="Arial"/>
                <w:sz w:val="12"/>
                <w:szCs w:val="12"/>
                <w:b w:val="1"/>
                <w:bCs w:val="1"/>
                <w:color w:val="auto"/>
                <w:w w:val="92"/>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7, 2017</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15, 2017</w:t>
            </w:r>
          </w:p>
        </w:tc>
        <w:tc>
          <w:tcPr>
            <w:tcW w:w="10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12, 2018</w:t>
            </w: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February 21, 2018</w:t>
            </w:r>
          </w:p>
        </w:tc>
        <w:tc>
          <w:tcPr>
            <w:tcW w:w="142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28, 2018</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March 30, 2018</w:t>
            </w:r>
          </w:p>
        </w:tc>
        <w:tc>
          <w:tcPr>
            <w:tcW w:w="1480" w:type="dxa"/>
            <w:vAlign w:val="bottom"/>
          </w:tcPr>
          <w:p>
            <w:pPr>
              <w:jc w:val="right"/>
              <w:spacing w:after="0"/>
              <w:rPr>
                <w:sz w:val="20"/>
                <w:szCs w:val="20"/>
                <w:color w:val="auto"/>
              </w:rPr>
            </w:pPr>
            <w:r>
              <w:rPr>
                <w:rFonts w:ascii="Arial" w:cs="Arial" w:eastAsia="Arial" w:hAnsi="Arial"/>
                <w:sz w:val="18"/>
                <w:szCs w:val="18"/>
                <w:color w:val="auto"/>
              </w:rPr>
              <w:t>16,455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February 21, 2018</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March 15, 2018</w:t>
            </w: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April 13, 2018</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May 3, 2018</w:t>
            </w:r>
          </w:p>
        </w:tc>
        <w:tc>
          <w:tcPr>
            <w:tcW w:w="1420" w:type="dxa"/>
            <w:vAlign w:val="bottom"/>
            <w:tcBorders>
              <w:bottom w:val="single" w:sz="8" w:color="CFF0FC"/>
            </w:tcBorders>
            <w:gridSpan w:val="3"/>
          </w:tcPr>
          <w:p>
            <w:pPr>
              <w:jc w:val="center"/>
              <w:ind w:left="90"/>
              <w:spacing w:after="0"/>
              <w:rPr>
                <w:sz w:val="20"/>
                <w:szCs w:val="20"/>
                <w:color w:val="auto"/>
              </w:rPr>
            </w:pPr>
            <w:r>
              <w:rPr>
                <w:rFonts w:ascii="Arial" w:cs="Arial" w:eastAsia="Arial" w:hAnsi="Arial"/>
                <w:sz w:val="18"/>
                <w:szCs w:val="18"/>
                <w:color w:val="auto"/>
                <w:w w:val="90"/>
              </w:rPr>
              <w:t>Supplemental</w:t>
            </w:r>
          </w:p>
        </w:tc>
        <w:tc>
          <w:tcPr>
            <w:tcW w:w="210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May 31, 2018</w:t>
            </w:r>
          </w:p>
        </w:tc>
        <w:tc>
          <w:tcPr>
            <w:tcW w:w="19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June 29, 2018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3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401,101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gridSpan w:val="4"/>
            <w:vMerge w:val="restart"/>
          </w:tcPr>
          <w:p>
            <w:pPr>
              <w:jc w:val="center"/>
              <w:ind w:left="278"/>
              <w:spacing w:after="0"/>
              <w:rPr>
                <w:sz w:val="20"/>
                <w:szCs w:val="20"/>
                <w:color w:val="auto"/>
              </w:rPr>
            </w:pPr>
            <w:r>
              <w:rPr>
                <w:rFonts w:ascii="Arial" w:cs="Arial" w:eastAsia="Arial" w:hAnsi="Arial"/>
                <w:sz w:val="14"/>
                <w:szCs w:val="14"/>
                <w:b w:val="1"/>
                <w:bCs w:val="1"/>
                <w:color w:val="auto"/>
                <w:w w:val="93"/>
              </w:rPr>
              <w:t>Six Months Ended</w:t>
            </w: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4"/>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14"/>
                <w:szCs w:val="14"/>
                <w:b w:val="1"/>
                <w:bCs w:val="1"/>
                <w:color w:val="auto"/>
                <w:w w:val="92"/>
              </w:rPr>
              <w:t>June 30, 2017</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xml:space="preserve">Dividend </w:t>
            </w:r>
            <w:r>
              <w:rPr>
                <w:rFonts w:ascii="Arial" w:cs="Arial" w:eastAsia="Arial" w:hAnsi="Arial"/>
                <w:sz w:val="12"/>
                <w:szCs w:val="12"/>
                <w:b w:val="1"/>
                <w:bCs w:val="1"/>
                <w:color w:val="auto"/>
                <w:w w:val="92"/>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7, 2016</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31, 2016</w:t>
            </w:r>
          </w:p>
        </w:tc>
        <w:tc>
          <w:tcPr>
            <w:tcW w:w="10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1, 2017</w:t>
            </w: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122,836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February 22, 2017</w:t>
            </w:r>
          </w:p>
        </w:tc>
        <w:tc>
          <w:tcPr>
            <w:tcW w:w="30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April 7, 2017 </w:t>
            </w:r>
            <w:r>
              <w:rPr>
                <w:rFonts w:ascii="Arial" w:cs="Arial" w:eastAsia="Arial" w:hAnsi="Arial"/>
                <w:sz w:val="15"/>
                <w:szCs w:val="15"/>
                <w:color w:val="auto"/>
              </w:rPr>
              <w:t>(2)</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May 1, 2017</w:t>
            </w:r>
          </w:p>
        </w:tc>
        <w:tc>
          <w:tcPr>
            <w:tcW w:w="1480" w:type="dxa"/>
            <w:vAlign w:val="bottom"/>
          </w:tcPr>
          <w:p>
            <w:pPr>
              <w:jc w:val="right"/>
              <w:spacing w:after="0"/>
              <w:rPr>
                <w:sz w:val="20"/>
                <w:szCs w:val="20"/>
                <w:color w:val="auto"/>
              </w:rPr>
            </w:pPr>
            <w:r>
              <w:rPr>
                <w:rFonts w:ascii="Arial" w:cs="Arial" w:eastAsia="Arial" w:hAnsi="Arial"/>
                <w:sz w:val="18"/>
                <w:szCs w:val="18"/>
                <w:color w:val="auto"/>
              </w:rPr>
              <w:t>109,847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May 3, 2017</w:t>
            </w:r>
          </w:p>
        </w:tc>
        <w:tc>
          <w:tcPr>
            <w:tcW w:w="1420" w:type="dxa"/>
            <w:vAlign w:val="bottom"/>
            <w:gridSpan w:val="3"/>
            <w:shd w:val="clear" w:color="auto" w:fill="CFF0FC"/>
          </w:tcPr>
          <w:p>
            <w:pPr>
              <w:jc w:val="center"/>
              <w:ind w:left="9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May 31, 2017</w:t>
            </w: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June 30, 2017</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11 for further information on base and supplemental dividends.</w:t>
      </w:r>
    </w:p>
    <w:p>
      <w:pPr>
        <w:spacing w:after="0" w:line="49" w:lineRule="exact"/>
        <w:rPr>
          <w:rFonts w:ascii="Arial" w:cs="Arial" w:eastAsia="Arial" w:hAnsi="Arial"/>
          <w:sz w:val="18"/>
          <w:szCs w:val="18"/>
          <w:color w:val="auto"/>
        </w:rPr>
      </w:pPr>
    </w:p>
    <w:p>
      <w:pPr>
        <w:ind w:left="520" w:hanging="512"/>
        <w:spacing w:after="0" w:line="259"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227" w:lineRule="exact"/>
        <w:rPr>
          <w:sz w:val="20"/>
          <w:szCs w:val="20"/>
          <w:color w:val="auto"/>
        </w:rPr>
      </w:pPr>
    </w:p>
    <w:p>
      <w:pPr>
        <w:ind w:right="500" w:firstLine="259"/>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just below the Company’s net asset value per share over a specified period, in accordance with the guidelines specified in Rule 10b-18 and Rule 10b5-1 of the Exchange Act.</w:t>
      </w:r>
    </w:p>
    <w:p>
      <w:pPr>
        <w:spacing w:after="0" w:line="181" w:lineRule="exact"/>
        <w:rPr>
          <w:sz w:val="20"/>
          <w:szCs w:val="20"/>
          <w:color w:val="auto"/>
        </w:rPr>
      </w:pPr>
    </w:p>
    <w:p>
      <w:pPr>
        <w:ind w:right="160" w:firstLine="259"/>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LLC,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right="26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9" w:name="page40"/>
    <w:bookmarkEnd w:id="39"/>
    <w:p>
      <w:pPr>
        <w:ind w:right="60" w:firstLine="259"/>
        <w:spacing w:after="0" w:line="264" w:lineRule="auto"/>
        <w:rPr>
          <w:sz w:val="20"/>
          <w:szCs w:val="20"/>
          <w:color w:val="auto"/>
        </w:rPr>
      </w:pPr>
      <w:r>
        <w:rPr>
          <w:rFonts w:ascii="Arial" w:cs="Arial" w:eastAsia="Arial" w:hAnsi="Arial"/>
          <w:sz w:val="18"/>
          <w:szCs w:val="18"/>
          <w:color w:val="auto"/>
        </w:rPr>
        <w:t>On August 1, 2018, the Board authorized the extension of the termination date of the Company 10b5-1 Plan to February 28, 2019. Unless extended or terminated by the Board, the Company 10b5-1 Plan will be in effect through the earlier of February 28, 2019 or such time as the current approved repurchase amount of up to $50 million has been fully utilized, subject to certain conditions.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three and six months ended June 30, 2018 and 2017, no shares were repurchased under the Company 10b5-1 Plan.</w:t>
      </w:r>
    </w:p>
    <w:p>
      <w:pPr>
        <w:spacing w:after="0" w:line="370"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3400" w:type="dxa"/>
            <w:vAlign w:val="bottom"/>
          </w:tcPr>
          <w:p>
            <w:pPr>
              <w:spacing w:after="0"/>
              <w:rPr>
                <w:sz w:val="13"/>
                <w:szCs w:val="13"/>
                <w:color w:val="auto"/>
              </w:rPr>
            </w:pPr>
          </w:p>
        </w:tc>
        <w:tc>
          <w:tcPr>
            <w:tcW w:w="106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June 30, 2018</w:t>
            </w:r>
          </w:p>
        </w:tc>
        <w:tc>
          <w:tcPr>
            <w:tcW w:w="11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13"/>
                <w:szCs w:val="13"/>
                <w:color w:val="auto"/>
              </w:rPr>
            </w:pPr>
          </w:p>
        </w:tc>
        <w:tc>
          <w:tcPr>
            <w:tcW w:w="108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June 30, 2018</w:t>
            </w:r>
          </w:p>
        </w:tc>
        <w:tc>
          <w:tcPr>
            <w:tcW w:w="11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June 30, 2017</w:t>
            </w:r>
          </w:p>
        </w:tc>
        <w:tc>
          <w:tcPr>
            <w:tcW w:w="80" w:type="dxa"/>
            <w:vAlign w:val="bottom"/>
          </w:tcPr>
          <w:p>
            <w:pPr>
              <w:spacing w:after="0"/>
              <w:rPr>
                <w:sz w:val="13"/>
                <w:szCs w:val="13"/>
                <w:color w:val="auto"/>
              </w:rPr>
            </w:pPr>
          </w:p>
        </w:tc>
      </w:tr>
      <w:tr>
        <w:trPr>
          <w:trHeight w:val="209"/>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net assets resulting from</w:t>
            </w: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33,569</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67,405</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60,104</w:t>
            </w:r>
          </w:p>
        </w:tc>
        <w:tc>
          <w:tcPr>
            <w:tcW w:w="80" w:type="dxa"/>
            <w:vAlign w:val="bottom"/>
            <w:shd w:val="clear" w:color="auto" w:fill="CFF0FC"/>
          </w:tcPr>
          <w:p>
            <w:pPr>
              <w:spacing w:after="0"/>
              <w:rPr>
                <w:sz w:val="20"/>
                <w:szCs w:val="20"/>
                <w:color w:val="auto"/>
              </w:rPr>
            </w:pPr>
          </w:p>
        </w:tc>
      </w:tr>
      <w:tr>
        <w:trPr>
          <w:trHeight w:val="215"/>
        </w:trPr>
        <w:tc>
          <w:tcPr>
            <w:tcW w:w="3400" w:type="dxa"/>
            <w:vAlign w:val="bottom"/>
          </w:tcPr>
          <w:p>
            <w:pPr>
              <w:spacing w:after="0"/>
              <w:rPr>
                <w:sz w:val="20"/>
                <w:szCs w:val="20"/>
                <w:color w:val="auto"/>
              </w:rPr>
            </w:pPr>
            <w:r>
              <w:rPr>
                <w:rFonts w:ascii="Arial" w:cs="Arial" w:eastAsia="Arial" w:hAnsi="Arial"/>
                <w:sz w:val="18"/>
                <w:szCs w:val="18"/>
                <w:color w:val="auto"/>
                <w:w w:val="97"/>
              </w:rPr>
              <w:t>Weighted average shares of common stock</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outstanding—basic and diluted</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64,758,752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59,912,804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62,810,429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59,855,088</w:t>
            </w:r>
          </w:p>
        </w:tc>
        <w:tc>
          <w:tcPr>
            <w:tcW w:w="80" w:type="dxa"/>
            <w:vAlign w:val="bottom"/>
          </w:tcPr>
          <w:p>
            <w:pPr>
              <w:spacing w:after="0"/>
              <w:rPr>
                <w:sz w:val="20"/>
                <w:szCs w:val="20"/>
                <w:color w:val="auto"/>
              </w:rPr>
            </w:pPr>
          </w:p>
        </w:tc>
      </w:tr>
      <w:tr>
        <w:trPr>
          <w:trHeight w:val="215"/>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20"/>
                <w:szCs w:val="20"/>
                <w:color w:val="auto"/>
              </w:rPr>
            </w:pPr>
          </w:p>
        </w:tc>
      </w:tr>
    </w:tbl>
    <w:p>
      <w:pPr>
        <w:spacing w:after="0" w:line="242"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three and six months ended June 30, 2018 was less than the conversion price for the Convertible Notes outstanding as of June 30, 2018. Therefore, for all periods presented in the consolidated financial statements, the underlying shares for the intrinsic value of the embedded options in the Convertible Notes have no impact on the computation of diluted earnings per common share.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The Company has historically paid a dividend to stockholders on a quarterly basis. Following the completion of the quarter ended March 31, 2017, the Company introduced a dividend framework that provides for a quarterly base dividend and a variable supplemental dividend, subject to satisfaction of certain measurement tests and the approval of the Board.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six months ended June 30, 2018 and 2017:</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20" w:type="dxa"/>
            <w:vAlign w:val="bottom"/>
            <w:gridSpan w:val="3"/>
          </w:tcPr>
          <w:p>
            <w:pPr>
              <w:jc w:val="center"/>
              <w:ind w:left="78"/>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3"/>
          </w:tcPr>
          <w:p>
            <w:pPr>
              <w:jc w:val="center"/>
              <w:ind w:left="58"/>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4"/>
              </w:rPr>
              <w:t>Dividend</w:t>
            </w:r>
          </w:p>
        </w:tc>
        <w:tc>
          <w:tcPr>
            <w:tcW w:w="40" w:type="dxa"/>
            <w:vAlign w:val="bottom"/>
          </w:tcPr>
          <w:p>
            <w:pPr>
              <w:spacing w:after="0"/>
              <w:rPr>
                <w:sz w:val="13"/>
                <w:szCs w:val="13"/>
                <w:color w:val="auto"/>
              </w:rPr>
            </w:pPr>
          </w:p>
        </w:tc>
        <w:tc>
          <w:tcPr>
            <w:tcW w:w="1800" w:type="dxa"/>
            <w:vAlign w:val="bottom"/>
            <w:gridSpan w:val="2"/>
          </w:tcPr>
          <w:p>
            <w:pPr>
              <w:ind w:left="420"/>
              <w:spacing w:after="0" w:line="155" w:lineRule="exact"/>
              <w:rPr>
                <w:sz w:val="20"/>
                <w:szCs w:val="20"/>
                <w:color w:val="auto"/>
              </w:rPr>
            </w:pPr>
            <w:r>
              <w:rPr>
                <w:rFonts w:ascii="Arial" w:cs="Arial" w:eastAsia="Arial" w:hAnsi="Arial"/>
                <w:sz w:val="14"/>
                <w:szCs w:val="14"/>
                <w:b w:val="1"/>
                <w:bCs w:val="1"/>
                <w:color w:val="auto"/>
              </w:rPr>
              <w:t>Record Date</w:t>
            </w:r>
          </w:p>
        </w:tc>
        <w:tc>
          <w:tcPr>
            <w:tcW w:w="1820" w:type="dxa"/>
            <w:vAlign w:val="bottom"/>
          </w:tcPr>
          <w:p>
            <w:pPr>
              <w:jc w:val="right"/>
              <w:ind w:right="414"/>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21, 2018</w:t>
            </w:r>
          </w:p>
        </w:tc>
        <w:tc>
          <w:tcPr>
            <w:tcW w:w="3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89"/>
              </w:rPr>
              <w:t>Supplemental</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28, 2018</w:t>
            </w:r>
          </w:p>
        </w:tc>
        <w:tc>
          <w:tcPr>
            <w:tcW w:w="12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30, 2018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February 21, 2018</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82"/>
              </w:rPr>
              <w:t>Base</w:t>
            </w:r>
          </w:p>
        </w:tc>
        <w:tc>
          <w:tcPr>
            <w:tcW w:w="40" w:type="dxa"/>
            <w:vAlign w:val="bottom"/>
          </w:tcPr>
          <w:p>
            <w:pPr>
              <w:spacing w:after="0"/>
              <w:rPr>
                <w:sz w:val="19"/>
                <w:szCs w:val="19"/>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March 15, 2018</w:t>
            </w:r>
          </w:p>
        </w:tc>
        <w:tc>
          <w:tcPr>
            <w:tcW w:w="1820" w:type="dxa"/>
            <w:vAlign w:val="bottom"/>
          </w:tcPr>
          <w:p>
            <w:pPr>
              <w:jc w:val="right"/>
              <w:spacing w:after="0"/>
              <w:rPr>
                <w:sz w:val="20"/>
                <w:szCs w:val="20"/>
                <w:color w:val="auto"/>
              </w:rPr>
            </w:pPr>
            <w:r>
              <w:rPr>
                <w:rFonts w:ascii="Arial" w:cs="Arial" w:eastAsia="Arial" w:hAnsi="Arial"/>
                <w:sz w:val="18"/>
                <w:szCs w:val="18"/>
                <w:color w:val="auto"/>
              </w:rPr>
              <w:t>April 13, 2018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May 3, 2018</w:t>
            </w:r>
          </w:p>
        </w:tc>
        <w:tc>
          <w:tcPr>
            <w:tcW w:w="1500" w:type="dxa"/>
            <w:vAlign w:val="bottom"/>
            <w:gridSpan w:val="5"/>
            <w:shd w:val="clear" w:color="auto" w:fill="CFF0FC"/>
          </w:tcPr>
          <w:p>
            <w:pPr>
              <w:jc w:val="center"/>
              <w:ind w:left="150"/>
              <w:spacing w:after="0"/>
              <w:rPr>
                <w:sz w:val="20"/>
                <w:szCs w:val="20"/>
                <w:color w:val="auto"/>
              </w:rPr>
            </w:pPr>
            <w:r>
              <w:rPr>
                <w:rFonts w:ascii="Arial" w:cs="Arial" w:eastAsia="Arial" w:hAnsi="Arial"/>
                <w:sz w:val="18"/>
                <w:szCs w:val="18"/>
                <w:color w:val="auto"/>
                <w:w w:val="89"/>
              </w:rPr>
              <w:t>Supplemental</w:t>
            </w:r>
          </w:p>
        </w:tc>
        <w:tc>
          <w:tcPr>
            <w:tcW w:w="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May 31, 2018</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June 29, 2018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May 3, 2018</w:t>
            </w:r>
          </w:p>
        </w:tc>
        <w:tc>
          <w:tcPr>
            <w:tcW w:w="3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3"/>
          </w:tcPr>
          <w:p>
            <w:pPr>
              <w:jc w:val="center"/>
              <w:ind w:right="180"/>
              <w:spacing w:after="0"/>
              <w:rPr>
                <w:sz w:val="20"/>
                <w:szCs w:val="20"/>
                <w:color w:val="auto"/>
              </w:rPr>
            </w:pPr>
            <w:r>
              <w:rPr>
                <w:rFonts w:ascii="Arial" w:cs="Arial" w:eastAsia="Arial" w:hAnsi="Arial"/>
                <w:sz w:val="18"/>
                <w:szCs w:val="18"/>
                <w:color w:val="auto"/>
                <w:w w:val="82"/>
              </w:rPr>
              <w:t>Base</w:t>
            </w:r>
          </w:p>
        </w:tc>
        <w:tc>
          <w:tcPr>
            <w:tcW w:w="40" w:type="dxa"/>
            <w:vAlign w:val="bottom"/>
            <w:tcBorders>
              <w:bottom w:val="single" w:sz="8" w:color="CFF0FC"/>
            </w:tcBorders>
          </w:tcPr>
          <w:p>
            <w:pPr>
              <w:spacing w:after="0"/>
              <w:rPr>
                <w:sz w:val="19"/>
                <w:szCs w:val="19"/>
                <w:color w:val="auto"/>
              </w:rPr>
            </w:pPr>
          </w:p>
        </w:tc>
        <w:tc>
          <w:tcPr>
            <w:tcW w:w="18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June 15, 2018</w:t>
            </w:r>
          </w:p>
        </w:tc>
        <w:tc>
          <w:tcPr>
            <w:tcW w:w="1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July 13, 2018</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gridSpan w:val="3"/>
            <w:vMerge w:val="restart"/>
          </w:tcPr>
          <w:p>
            <w:pPr>
              <w:jc w:val="center"/>
              <w:ind w:left="118"/>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3"/>
          </w:tcPr>
          <w:p>
            <w:pPr>
              <w:jc w:val="center"/>
              <w:ind w:left="98"/>
              <w:spacing w:after="0"/>
              <w:rPr>
                <w:sz w:val="20"/>
                <w:szCs w:val="20"/>
                <w:color w:val="auto"/>
              </w:rPr>
            </w:pPr>
            <w:r>
              <w:rPr>
                <w:rFonts w:ascii="Arial" w:cs="Arial" w:eastAsia="Arial" w:hAnsi="Arial"/>
                <w:sz w:val="14"/>
                <w:szCs w:val="14"/>
                <w:b w:val="1"/>
                <w:bCs w:val="1"/>
                <w:color w:val="auto"/>
                <w:w w:val="92"/>
              </w:rPr>
              <w:t>June 30, 2017</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Dividend</w:t>
            </w:r>
          </w:p>
        </w:tc>
        <w:tc>
          <w:tcPr>
            <w:tcW w:w="40" w:type="dxa"/>
            <w:vAlign w:val="bottom"/>
          </w:tcPr>
          <w:p>
            <w:pPr>
              <w:spacing w:after="0"/>
              <w:rPr>
                <w:sz w:val="13"/>
                <w:szCs w:val="13"/>
                <w:color w:val="auto"/>
              </w:rPr>
            </w:pPr>
          </w:p>
        </w:tc>
        <w:tc>
          <w:tcPr>
            <w:tcW w:w="1800" w:type="dxa"/>
            <w:vAlign w:val="bottom"/>
            <w:gridSpan w:val="2"/>
          </w:tcPr>
          <w:p>
            <w:pPr>
              <w:ind w:left="440"/>
              <w:spacing w:after="0" w:line="155" w:lineRule="exact"/>
              <w:rPr>
                <w:sz w:val="20"/>
                <w:szCs w:val="20"/>
                <w:color w:val="auto"/>
              </w:rPr>
            </w:pPr>
            <w:r>
              <w:rPr>
                <w:rFonts w:ascii="Arial" w:cs="Arial" w:eastAsia="Arial" w:hAnsi="Arial"/>
                <w:sz w:val="14"/>
                <w:szCs w:val="14"/>
                <w:b w:val="1"/>
                <w:bCs w:val="1"/>
                <w:color w:val="auto"/>
              </w:rPr>
              <w:t>Record Date</w:t>
            </w:r>
          </w:p>
        </w:tc>
        <w:tc>
          <w:tcPr>
            <w:tcW w:w="1820" w:type="dxa"/>
            <w:vAlign w:val="bottom"/>
          </w:tcPr>
          <w:p>
            <w:pPr>
              <w:jc w:val="right"/>
              <w:ind w:right="414"/>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22, 2017</w:t>
            </w:r>
          </w:p>
        </w:tc>
        <w:tc>
          <w:tcPr>
            <w:tcW w:w="3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82"/>
              </w:rPr>
              <w:t>Base</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xml:space="preserve">April 7, 2017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28, 2017</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May 3, 2017</w:t>
            </w:r>
          </w:p>
        </w:tc>
        <w:tc>
          <w:tcPr>
            <w:tcW w:w="380" w:type="dxa"/>
            <w:vAlign w:val="bottom"/>
          </w:tcPr>
          <w:p>
            <w:pPr>
              <w:spacing w:after="0"/>
              <w:rPr>
                <w:sz w:val="19"/>
                <w:szCs w:val="19"/>
                <w:color w:val="auto"/>
              </w:rPr>
            </w:pPr>
          </w:p>
        </w:tc>
        <w:tc>
          <w:tcPr>
            <w:tcW w:w="112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Supplemental</w:t>
            </w:r>
          </w:p>
        </w:tc>
        <w:tc>
          <w:tcPr>
            <w:tcW w:w="40" w:type="dxa"/>
            <w:vAlign w:val="bottom"/>
          </w:tcPr>
          <w:p>
            <w:pPr>
              <w:spacing w:after="0"/>
              <w:rPr>
                <w:sz w:val="19"/>
                <w:szCs w:val="19"/>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May 31, 2017</w:t>
            </w:r>
          </w:p>
        </w:tc>
        <w:tc>
          <w:tcPr>
            <w:tcW w:w="1820" w:type="dxa"/>
            <w:vAlign w:val="bottom"/>
          </w:tcPr>
          <w:p>
            <w:pPr>
              <w:jc w:val="right"/>
              <w:spacing w:after="0"/>
              <w:rPr>
                <w:sz w:val="20"/>
                <w:szCs w:val="20"/>
                <w:color w:val="auto"/>
              </w:rPr>
            </w:pPr>
            <w:r>
              <w:rPr>
                <w:rFonts w:ascii="Arial" w:cs="Arial" w:eastAsia="Arial" w:hAnsi="Arial"/>
                <w:sz w:val="18"/>
                <w:szCs w:val="18"/>
                <w:color w:val="auto"/>
              </w:rPr>
              <w:t>June 30, 2017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May 3, 2017</w:t>
            </w:r>
          </w:p>
        </w:tc>
        <w:tc>
          <w:tcPr>
            <w:tcW w:w="3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center"/>
              <w:ind w:right="100"/>
              <w:spacing w:after="0"/>
              <w:rPr>
                <w:sz w:val="20"/>
                <w:szCs w:val="20"/>
                <w:color w:val="auto"/>
              </w:rPr>
            </w:pPr>
            <w:r>
              <w:rPr>
                <w:rFonts w:ascii="Arial" w:cs="Arial" w:eastAsia="Arial" w:hAnsi="Arial"/>
                <w:sz w:val="18"/>
                <w:szCs w:val="18"/>
                <w:color w:val="auto"/>
                <w:w w:val="82"/>
              </w:rPr>
              <w:t>Base</w:t>
            </w:r>
          </w:p>
        </w:tc>
        <w:tc>
          <w:tcPr>
            <w:tcW w:w="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15, 2017</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14, 2017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line="259"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22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dividends declared during the three and six months ended June 30, 2018 and 2017 were derived from net investment income, determined on a tax basis.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12. Financial Highlights</w:t>
      </w:r>
    </w:p>
    <w:p>
      <w:pPr>
        <w:spacing w:after="0" w:line="121"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six months ended June 30, 2018 and 2017.</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(7)</w:t>
            </w: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2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16.09</w:t>
            </w:r>
          </w:p>
        </w:tc>
        <w:tc>
          <w:tcPr>
            <w:tcW w:w="320" w:type="dxa"/>
            <w:vAlign w:val="bottom"/>
          </w:tcPr>
          <w:p>
            <w:pPr>
              <w:spacing w:after="0"/>
              <w:rPr>
                <w:sz w:val="19"/>
                <w:szCs w:val="19"/>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15.95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Net realized and unrealized</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 (loss) </w:t>
            </w:r>
            <w:r>
              <w:rPr>
                <w:rFonts w:ascii="Arial" w:cs="Arial" w:eastAsia="Arial" w:hAnsi="Arial"/>
                <w:sz w:val="15"/>
                <w:szCs w:val="15"/>
                <w:color w:val="auto"/>
              </w:rPr>
              <w:t>(1)</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Total from operations</w:t>
            </w:r>
          </w:p>
        </w:tc>
        <w:tc>
          <w:tcPr>
            <w:tcW w:w="9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Dividends declared from net</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5"/>
                <w:szCs w:val="15"/>
                <w:color w:val="auto"/>
              </w:rPr>
              <w:t>(2)</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increase in net</w:t>
            </w:r>
          </w:p>
        </w:tc>
        <w:tc>
          <w:tcPr>
            <w:tcW w:w="9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assets</w:t>
            </w:r>
          </w:p>
        </w:tc>
        <w:tc>
          <w:tcPr>
            <w:tcW w:w="9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Net Asset Value, End of Period</w:t>
            </w:r>
          </w:p>
        </w:tc>
        <w:tc>
          <w:tcPr>
            <w:tcW w:w="9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16.36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 share market value at end of</w:t>
            </w:r>
          </w:p>
        </w:tc>
        <w:tc>
          <w:tcPr>
            <w:tcW w:w="9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period</w:t>
            </w:r>
          </w:p>
        </w:tc>
        <w:tc>
          <w:tcPr>
            <w:tcW w:w="12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w:t>
            </w:r>
          </w:p>
        </w:tc>
        <w:tc>
          <w:tcPr>
            <w:tcW w:w="3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Total return based on net asset</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value </w:t>
            </w:r>
            <w:r>
              <w:rPr>
                <w:rFonts w:ascii="Arial" w:cs="Arial" w:eastAsia="Arial" w:hAnsi="Arial"/>
                <w:sz w:val="15"/>
                <w:szCs w:val="15"/>
                <w:color w:val="auto"/>
              </w:rPr>
              <w:t>(4)</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64,920,526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59,960,674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Ratio of net expenses to average</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 xml:space="preserve">net assets </w:t>
            </w:r>
            <w:r>
              <w:rPr>
                <w:rFonts w:ascii="Arial" w:cs="Arial" w:eastAsia="Arial" w:hAnsi="Arial"/>
                <w:sz w:val="15"/>
                <w:szCs w:val="15"/>
                <w:color w:val="auto"/>
              </w:rPr>
              <w:t>(6)</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Ratio of net investment income</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 average net assets</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Portfolio turnover</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33.14%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Net assets, end of period</w:t>
            </w:r>
          </w:p>
        </w:tc>
        <w:tc>
          <w:tcPr>
            <w:tcW w:w="12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1,062,042</w:t>
            </w:r>
          </w:p>
        </w:tc>
        <w:tc>
          <w:tcPr>
            <w:tcW w:w="3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968,099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20" w:right="200" w:hanging="512"/>
        <w:spacing w:after="0" w:line="250"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20" w:right="560" w:hanging="512"/>
        <w:spacing w:after="0" w:line="250"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ratio of net expenses to average net assets in the table above reflects the Adviser’s waivers of its right to receive a portion of the Management Fee and Incentive Fees with respect to the Company’s ownership of TCAP shares. Excluding the effects of waivers, the ratio of net expenses to average net assets would have been 11.77% for the six months ended June 30, 2018. The Adviser did not waive any Management Fees or Incentive Fees for the six months ended June 30, 2017.</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jc w:val="both"/>
        <w:ind w:firstLine="259"/>
        <w:spacing w:after="0" w:line="286" w:lineRule="auto"/>
        <w:rPr>
          <w:sz w:val="20"/>
          <w:szCs w:val="20"/>
          <w:color w:val="auto"/>
        </w:rPr>
      </w:pPr>
      <w:r>
        <w:rPr>
          <w:rFonts w:ascii="Arial" w:cs="Arial" w:eastAsia="Arial" w:hAnsi="Arial"/>
          <w:sz w:val="17"/>
          <w:szCs w:val="17"/>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and six months ended June 30, 2018, except as disclosed below.</w:t>
      </w:r>
    </w:p>
    <w:p>
      <w:pPr>
        <w:spacing w:after="0" w:line="57"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On August 1, 2018, the Board, including a “required majority” (as defined in Section 57(o) of the 1940 Act), approved the application of the minimum asset coverage ratio of 150% to the Company, as set forth in Section 61(a)(2) of the 1940 Act, as amended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41" w:name="page42"/>
    <w:bookmarkEnd w:id="41"/>
    <w:p>
      <w:pPr>
        <w:ind w:right="20"/>
        <w:spacing w:after="0" w:line="259" w:lineRule="auto"/>
        <w:rPr>
          <w:sz w:val="20"/>
          <w:szCs w:val="20"/>
          <w:color w:val="auto"/>
        </w:rPr>
      </w:pPr>
      <w:r>
        <w:rPr>
          <w:rFonts w:ascii="Arial" w:cs="Arial" w:eastAsia="Arial" w:hAnsi="Arial"/>
          <w:sz w:val="18"/>
          <w:szCs w:val="18"/>
          <w:color w:val="auto"/>
        </w:rPr>
        <w:t>by the Small Business Credit Availability Act (the “SBCAA”). As a result and subject to certain additional disclosure requirements, the Company’s minimum asset coverage ratio will be changed from 200% to 150% for purposes of the 1940 Act leverage limitation as of August 1, 2019. In other words, pursuant to Section 61(a) of the 1940 Act, as amended by the SBCAA, the Company will be permitted to potentially increase its debt-to-equity ratio from a maximum of 1:1 to a maximum of 2:1.</w:t>
      </w:r>
    </w:p>
    <w:p>
      <w:pPr>
        <w:spacing w:after="0" w:line="79" w:lineRule="exact"/>
        <w:rPr>
          <w:sz w:val="20"/>
          <w:szCs w:val="20"/>
          <w:color w:val="auto"/>
        </w:rPr>
      </w:pPr>
    </w:p>
    <w:p>
      <w:pPr>
        <w:ind w:right="180" w:firstLine="259"/>
        <w:spacing w:after="0" w:line="257" w:lineRule="auto"/>
        <w:rPr>
          <w:sz w:val="20"/>
          <w:szCs w:val="20"/>
          <w:color w:val="auto"/>
        </w:rPr>
      </w:pPr>
      <w:r>
        <w:rPr>
          <w:rFonts w:ascii="Arial" w:cs="Arial" w:eastAsia="Arial" w:hAnsi="Arial"/>
          <w:sz w:val="18"/>
          <w:szCs w:val="18"/>
          <w:color w:val="auto"/>
        </w:rPr>
        <w:t>In addition, on the same day, the Board also authorized the Company to submit to its stockholders a proposal to approve the application of the lower minimum asset coverage ratio of 150% to the Company, to take place at a special meeting of stockholders, so that the Company may increase its leverage limitation under the 1940 Act sooner than August 1, 2019. The date of the special meeting has not yet been determined. If the proposal is approved by the Company’s stockholders at the special meeting, the application of the 150% minimum asset coverage ratio would be effective as of the day after the special meeting.</w:t>
      </w:r>
    </w:p>
    <w:p>
      <w:pPr>
        <w:spacing w:after="0" w:line="80"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Once the 150% minimum asset coverage ratio is in effect (either after a special meeting or on August 1, 2019), the Adviser intends to waive a portion of the Management Fee payable under the Company’s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the Company's net asset value at the end of the two most recently completed calendar quarters.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480" w:firstLine="259"/>
        <w:spacing w:after="0" w:line="259"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previously used to support our asset-backed credit facility, and TSL MR, LLC, a Delaware limited liability company, in which we hold certain investments.</w:t>
      </w:r>
    </w:p>
    <w:p>
      <w:pPr>
        <w:spacing w:after="0" w:line="187"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520" w:hanging="255"/>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We have in place a stock repurchase plan, the Company 10b5-1 Plan, to acquire up to $50 million in the aggregate of our common stock at prices below our net asset value per share over a specified period, in accordance with the guidelines specified in 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71"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On August 4, 2015, our Board authorized us to enter into a new stock repurchase plan, the Company 10b5-1 Plan, to acquire up to $50 million in the aggregate of our common stock at prices just below our net asset value over an initial six month period, in accordance with the guidelines specified in Rule 10b-18 and Rule 10b5-1 of the Exchange Act, and has continued to authorize extensions of the plan termination date prior to its expiration since that time. On August 1, 2018, the Board authorized the extension of the termination date of the Company 10b5-1 Plan to February 28, 2019. Unless extended or terminated by the Board, the Company 10b5-1 Plan will be in effect through the earlier of February 28, 2019 or such time as the current approved repurchase amount of up to $50 million has been fully utilized, subject to certain conditions.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260" w:firstLine="259"/>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June 30, 2018, we have originated approximately than $8.9 billion aggregate principal amount of investments and retained approximately $4.9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ind w:right="80" w:firstLine="259"/>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June 30, 2018, our core portfolio companies, which excludes certain investments that fall outside of our typical borrower profile and represent 86.1% of our total investments based on fair value, had weighted average annual revenue of $124.0 million and weighted average annual EBITDA of $32.3 million.</w:t>
      </w:r>
    </w:p>
    <w:p>
      <w:pPr>
        <w:spacing w:after="0" w:line="18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70"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As of June 30, 2018, the largest single investment based on fair value represented 4.2% of our total investment portfolio.</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2018, the average investment size in each of our portfolio companies was approximately $40.7 million based on fair value.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2018, the largest industry represented 18.3% of our total investment portfolio based on fair value.</w:t>
      </w:r>
    </w:p>
    <w:p>
      <w:pPr>
        <w:spacing w:after="0" w:line="225"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June 30, 2018, approximately 96.9% of</w:t>
      </w:r>
      <w:r>
        <w:rPr>
          <w:rFonts w:ascii="Arial" w:cs="Arial" w:eastAsia="Arial" w:hAnsi="Arial"/>
          <w:sz w:val="17"/>
          <w:szCs w:val="17"/>
          <w:i w:val="1"/>
          <w:iCs w:val="1"/>
          <w:color w:val="auto"/>
        </w:rPr>
        <w:t xml:space="preserve"> </w:t>
      </w:r>
      <w:r>
        <w:rPr>
          <w:rFonts w:ascii="Arial" w:cs="Arial" w:eastAsia="Arial" w:hAnsi="Arial"/>
          <w:sz w:val="17"/>
          <w:szCs w:val="17"/>
          <w:color w:val="auto"/>
        </w:rPr>
        <w:t>our portfolio was invested in secured debt, including 93.8%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June 30, 2018, the weighted average term on new investment commitments in new portfolio companies was 4.6 years.</w:t>
      </w:r>
    </w:p>
    <w:p>
      <w:pPr>
        <w:spacing w:after="0" w:line="178"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160" w:firstLine="259"/>
        <w:spacing w:after="0" w:line="276"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As of June 30, 2018, we had call protection on 91.2% of our debt investments based on fair value, with weighted average call prices of 105.7% for the first year, 103.0% for the second year and 101.3% for the third year, in each case from the date of the initial investment. As of June 30, 2018, 100.0% of our debt investments based on fair value bore interest at floating rates (when including investment specific hedges), with 94.1% of these subject to interest rate floors, which we believe helps act as a portfolio-wide hedge against inflation.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ind w:right="160"/>
        <w:spacing w:after="0" w:line="259" w:lineRule="auto"/>
        <w:rPr>
          <w:sz w:val="20"/>
          <w:szCs w:val="20"/>
          <w:color w:val="auto"/>
        </w:rPr>
      </w:pPr>
      <w:r>
        <w:rPr>
          <w:rFonts w:ascii="Arial" w:cs="Arial" w:eastAsia="Arial" w:hAnsi="Arial"/>
          <w:sz w:val="18"/>
          <w:szCs w:val="18"/>
          <w:color w:val="auto"/>
        </w:rPr>
        <w:t>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TPG Sixth Street Partners, or TSSP.</w:t>
      </w:r>
    </w:p>
    <w:p>
      <w:pPr>
        <w:spacing w:after="0" w:line="18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TSSP, with approximately $24 billion of assets under management as of March 31, 2018,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190 investment and operating professionals. As of June 30, 2018, thirty (30) of these personnel are dedicated to our business, including twenty three (23) investment professionals.</w:t>
      </w:r>
    </w:p>
    <w:p>
      <w:pPr>
        <w:spacing w:after="0" w:line="189"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jc w:val="both"/>
        <w:ind w:right="140" w:firstLine="259"/>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180" w:firstLine="259"/>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40" w:firstLine="259"/>
        <w:spacing w:after="0" w:line="312"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7"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June 30, 2018, 100.0% of these investments based on fair value bore interest at a floating rate (when including investment specific hedges), with 94.1% of these subject to interest rate floors. Interest on debt investments is generally payable quarterly or semiannually. Some of our debt investments provide for deferred interest payments or PIK interest. For the six months ended June 30, 2018, 2.3% of our total investment income was comprised of PIK interest.</w:t>
      </w:r>
    </w:p>
    <w:p>
      <w:pPr>
        <w:spacing w:after="0" w:line="193"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2023 Notes and Convertible Notes, after taking into account the effect of the interest rate swaps we have entered into in connection with the Convertible Notes and 2023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200" w:firstLine="259"/>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8"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3" w:lineRule="exact"/>
        <w:rPr>
          <w:sz w:val="20"/>
          <w:szCs w:val="20"/>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60" w:hanging="255"/>
        <w:spacing w:after="0" w:line="264"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6" w:name="page47"/>
    <w:bookmarkEnd w:id="46"/>
    <w:p>
      <w:pPr>
        <w:ind w:left="520" w:right="20" w:hanging="255"/>
        <w:spacing w:after="0" w:line="302"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46" w:lineRule="exact"/>
        <w:rPr>
          <w:rFonts w:ascii="Arial" w:cs="Arial" w:eastAsia="Arial" w:hAnsi="Arial"/>
          <w:sz w:val="16"/>
          <w:szCs w:val="16"/>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right="340" w:hanging="255"/>
        <w:spacing w:after="0" w:line="342"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our total borrowings are limited so that our asset coverage ratio cannot fall below 200% immediately after any borrowing (or 150% if we satisfy the requirements to elect to be subject to such lower asset coverage requirement under the Small Business Credit Availability Act (the “SBCAA”)),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81"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On August 1, 2018, the Board, including a “required majority” (as defined in Section 57(o) of the 1940 Act), approved the application of the minimum asset coverage ratio of 150% to us, as set forth in Section 61(a)(2) of the 1940 Act, as amended by the SBCAA. As a result and subject to certain additional disclosure requirements, our minimum asset coverage ratio will be changed from 200% to 150% for purposes of the 1940 Act leverage limitation as of August 1, 2019. In other words, pursuant to Section 61(a) of the 1940 Act, as amended by the SBCAA, we will be permitted to potentially increase our debt-to-equity ratio from a maximum of 1:1 to a maximum of 2:1.</w:t>
      </w:r>
    </w:p>
    <w:p>
      <w:pPr>
        <w:spacing w:after="0" w:line="80" w:lineRule="exact"/>
        <w:rPr>
          <w:sz w:val="20"/>
          <w:szCs w:val="20"/>
          <w:color w:val="auto"/>
        </w:rPr>
      </w:pPr>
    </w:p>
    <w:p>
      <w:pPr>
        <w:ind w:right="80" w:firstLine="259"/>
        <w:spacing w:after="0" w:line="302" w:lineRule="auto"/>
        <w:rPr>
          <w:sz w:val="20"/>
          <w:szCs w:val="20"/>
          <w:color w:val="auto"/>
        </w:rPr>
      </w:pPr>
      <w:r>
        <w:rPr>
          <w:rFonts w:ascii="Arial" w:cs="Arial" w:eastAsia="Arial" w:hAnsi="Arial"/>
          <w:sz w:val="16"/>
          <w:szCs w:val="16"/>
          <w:color w:val="auto"/>
        </w:rPr>
        <w:t>In addition, on the same day, the Board also authorized us to submit to our stockholders a proposal to approve the application of the lower minimum asset coverage ratio of 150% to us, to take place at a special meeting of stockholders, so that we may increase our leverage limitation under the 1940 Act sooner than August 1, 2019. The date of the special meeting has not yet been determined. If the proposal is approved by our stockholders at the special meeting, the application of the 150% minimum asset coverage ratio would be effective as of the day after the special meeting.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7" w:name="page48"/>
    <w:bookmarkEnd w:id="47"/>
    <w:p>
      <w:pPr>
        <w:ind w:right="20" w:firstLine="259"/>
        <w:spacing w:after="0" w:line="297" w:lineRule="auto"/>
        <w:rPr>
          <w:sz w:val="20"/>
          <w:szCs w:val="20"/>
          <w:color w:val="auto"/>
        </w:rPr>
      </w:pPr>
      <w:r>
        <w:rPr>
          <w:rFonts w:ascii="Arial" w:cs="Arial" w:eastAsia="Arial" w:hAnsi="Arial"/>
          <w:sz w:val="16"/>
          <w:szCs w:val="16"/>
          <w:color w:val="auto"/>
        </w:rPr>
        <w:t>Once the 150% minimum asset coverage ratio is in effect (either after a special meeting or on August 1, 2019), 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180" w:firstLine="259"/>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As of June 30, 2018, our portfolio based on fair value consisted of 93.8% first-lien debt investments, 3.1% second-lien debt investments, and 3.1% equity and other investments. As of December 31, 2017, our portfolio based on fair value consisted of 93.4% first-lien debt investments, 3.6% second-lien debt investments, and 3.0% equity and other investments.</w:t>
      </w:r>
    </w:p>
    <w:p>
      <w:pPr>
        <w:spacing w:after="0" w:line="181" w:lineRule="exact"/>
        <w:rPr>
          <w:sz w:val="20"/>
          <w:szCs w:val="20"/>
          <w:color w:val="auto"/>
        </w:rPr>
      </w:pPr>
    </w:p>
    <w:p>
      <w:pPr>
        <w:ind w:right="460" w:firstLine="259"/>
        <w:spacing w:after="0" w:line="312" w:lineRule="auto"/>
        <w:rPr>
          <w:sz w:val="20"/>
          <w:szCs w:val="20"/>
          <w:color w:val="auto"/>
        </w:rPr>
      </w:pPr>
      <w:r>
        <w:rPr>
          <w:rFonts w:ascii="Arial" w:cs="Arial" w:eastAsia="Arial" w:hAnsi="Arial"/>
          <w:sz w:val="16"/>
          <w:szCs w:val="16"/>
          <w:color w:val="auto"/>
        </w:rPr>
        <w:t>As of June 30, 2018 and December 31, 2017, our weighted average total yield of debt and income-producing securities at fair value (which includes interest income and amortization of fees and discounts) was 11.4% and 10.7%, respectively, and our weighted average total yield of debt and income-producing securities at amortized cost (which includes interest income and amortization of fees and discounts) was 11.4% and 10.8%, respectively.</w:t>
      </w:r>
    </w:p>
    <w:p>
      <w:pPr>
        <w:spacing w:after="0" w:line="147"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As of June 30, 2018 and December 31, 2017, we had investments in 48 and 45 portfolio companies, respectively, with an aggregate fair value of $1,955.1 million and $1,693.7 million, respectively.</w:t>
      </w:r>
    </w:p>
    <w:p>
      <w:pPr>
        <w:spacing w:after="0" w:line="170"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For the three months ended June 30, 2018, we made new investment commitments of $265.1 million in four new portfolio companies and six existing portfolio companies. For this period, we had $182.9 million aggregate principal amount in exits and repayments.</w:t>
      </w:r>
    </w:p>
    <w:p>
      <w:pPr>
        <w:spacing w:after="0" w:line="170"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For the three months ended June 30, 2017, we made new investment commitments of $267.7 million in five new portfolio companies and five existing portfolio companies. For this period, we had $270.7 million aggregate principal amount in exits and repayments.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8" w:name="page49"/>
    <w:bookmarkEnd w:id="48"/>
    <w:p>
      <w:pPr>
        <w:ind w:right="620" w:firstLine="259"/>
        <w:spacing w:after="0" w:line="277" w:lineRule="auto"/>
        <w:rPr>
          <w:sz w:val="20"/>
          <w:szCs w:val="20"/>
          <w:color w:val="auto"/>
        </w:rPr>
      </w:pPr>
      <w:r>
        <w:rPr>
          <w:rFonts w:ascii="Arial" w:cs="Arial" w:eastAsia="Arial" w:hAnsi="Arial"/>
          <w:sz w:val="18"/>
          <w:szCs w:val="18"/>
          <w:color w:val="auto"/>
        </w:rPr>
        <w:t>Our investment activity for the three months ended June 30, 2018 and 2017 is presented below (information presented herein is at par value unless otherwise indicated).</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450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2"/>
              </w:rPr>
              <w:t>June 30, 2018</w:t>
            </w: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w w:val="90"/>
              </w:rPr>
              <w:t>June 30, 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944.4</w:t>
            </w: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397.7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7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679.3</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265.1</w:t>
            </w: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267.7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215.5</w:t>
            </w: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233.0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7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500"/>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221.6</w:t>
            </w: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180.7</w:t>
            </w: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7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5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56.8</w:t>
            </w:r>
          </w:p>
        </w:tc>
        <w:tc>
          <w:tcPr>
            <w:tcW w:w="1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40"/>
              <w:spacing w:after="0"/>
              <w:rPr>
                <w:sz w:val="20"/>
                <w:szCs w:val="20"/>
                <w:color w:val="auto"/>
              </w:rPr>
            </w:pPr>
            <w:r>
              <w:rPr>
                <w:rFonts w:ascii="Arial" w:cs="Arial" w:eastAsia="Arial" w:hAnsi="Arial"/>
                <w:sz w:val="18"/>
                <w:szCs w:val="18"/>
                <w:b w:val="1"/>
                <w:bCs w:val="1"/>
                <w:color w:val="auto"/>
              </w:rPr>
              <w:t>at floating rates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1"/>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45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1"/>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1"/>
        </w:trPr>
        <w:tc>
          <w:tcPr>
            <w:tcW w:w="45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2018 and December 31, 2017, our investments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40" w:type="dxa"/>
            <w:vAlign w:val="bottom"/>
            <w:gridSpan w:val="5"/>
          </w:tcPr>
          <w:p>
            <w:pPr>
              <w:ind w:left="86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14"/>
                <w:szCs w:val="14"/>
                <w:color w:val="auto"/>
              </w:rPr>
            </w:pPr>
          </w:p>
        </w:tc>
        <w:tc>
          <w:tcPr>
            <w:tcW w:w="2900" w:type="dxa"/>
            <w:vAlign w:val="bottom"/>
            <w:gridSpan w:val="6"/>
          </w:tcPr>
          <w:p>
            <w:pPr>
              <w:ind w:left="7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96"/>
              </w:rPr>
              <w:t>Amortized Cost</w:t>
            </w: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98"/>
              </w:rPr>
              <w:t>Amortized Cost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4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1,833.7</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1,955.1</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1,939.3</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tables show the fair value and amortized cost of our performing and non-accrual investments as of June 30, 2018 and December 31,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vMerge w:val="restart"/>
          </w:tcPr>
          <w:p>
            <w:pPr>
              <w:spacing w:after="0"/>
              <w:rPr>
                <w:sz w:val="14"/>
                <w:szCs w:val="14"/>
                <w:color w:val="auto"/>
              </w:rPr>
            </w:pPr>
          </w:p>
        </w:tc>
        <w:tc>
          <w:tcPr>
            <w:tcW w:w="27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jc w:val="right"/>
              <w:ind w:right="111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 2017</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vMerge w:val="continue"/>
          </w:tcPr>
          <w:p>
            <w:pPr>
              <w:spacing w:after="0"/>
              <w:rPr>
                <w:sz w:val="13"/>
                <w:szCs w:val="13"/>
                <w:color w:val="auto"/>
              </w:rPr>
            </w:pPr>
          </w:p>
        </w:tc>
        <w:tc>
          <w:tcPr>
            <w:tcW w:w="2720" w:type="dxa"/>
            <w:vAlign w:val="bottom"/>
            <w:tcBorders>
              <w:bottom w:val="single" w:sz="8" w:color="CFF0FC"/>
            </w:tcBorders>
            <w:vMerge w:val="continue"/>
          </w:tcPr>
          <w:p>
            <w:pPr>
              <w:spacing w:after="0"/>
              <w:rPr>
                <w:sz w:val="13"/>
                <w:szCs w:val="13"/>
                <w:color w:val="auto"/>
              </w:rPr>
            </w:pPr>
          </w:p>
        </w:tc>
        <w:tc>
          <w:tcPr>
            <w:tcW w:w="16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gridSpan w:val="2"/>
          </w:tcPr>
          <w:p>
            <w:pPr>
              <w:spacing w:after="0"/>
              <w:rPr>
                <w:sz w:val="13"/>
                <w:szCs w:val="13"/>
                <w:color w:val="auto"/>
              </w:rPr>
            </w:pPr>
          </w:p>
        </w:tc>
        <w:tc>
          <w:tcPr>
            <w:tcW w:w="122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72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72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9" w:name="page50"/>
    <w:bookmarkEnd w:id="49"/>
    <w:tbl>
      <w:tblPr>
        <w:tblLayout w:type="fixed"/>
        <w:tblInd w:w="580" w:type="dxa"/>
        <w:tblCellMar>
          <w:top w:w="0" w:type="dxa"/>
          <w:left w:w="0" w:type="dxa"/>
          <w:bottom w:w="0" w:type="dxa"/>
          <w:right w:w="0" w:type="dxa"/>
        </w:tblCellMar>
      </w:tblPr>
      <w:tr>
        <w:trPr>
          <w:trHeight w:val="171"/>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ind w:left="820"/>
              <w:spacing w:after="0"/>
              <w:rPr>
                <w:sz w:val="20"/>
                <w:szCs w:val="20"/>
                <w:color w:val="auto"/>
              </w:rPr>
            </w:pPr>
            <w:r>
              <w:rPr>
                <w:rFonts w:ascii="Arial" w:cs="Arial" w:eastAsia="Arial" w:hAnsi="Arial"/>
                <w:sz w:val="14"/>
                <w:szCs w:val="14"/>
                <w:b w:val="1"/>
                <w:bCs w:val="1"/>
                <w:color w:val="auto"/>
                <w:w w:val="90"/>
              </w:rPr>
              <w:t>June 30, 2018</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4"/>
              </w:rPr>
              <w:t>Amortized Cost</w:t>
            </w:r>
          </w:p>
        </w:tc>
        <w:tc>
          <w:tcPr>
            <w:tcW w:w="280" w:type="dxa"/>
            <w:vAlign w:val="bottom"/>
            <w:tcBorders>
              <w:top w:val="single" w:sz="8" w:color="auto"/>
              <w:bottom w:val="single" w:sz="8" w:color="CFF0FC"/>
            </w:tcBorders>
            <w:gridSpan w:val="2"/>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w w:val="87"/>
              </w:rPr>
              <w:t>Percentage</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1,686.3</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gridSpan w:val="2"/>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1,686.3</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0" w:hanging="512"/>
        <w:spacing w:after="0" w:line="276"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3" w:lineRule="exact"/>
        <w:rPr>
          <w:sz w:val="20"/>
          <w:szCs w:val="20"/>
          <w:color w:val="auto"/>
        </w:rPr>
      </w:pPr>
    </w:p>
    <w:p>
      <w:pPr>
        <w:ind w:right="520" w:firstLine="259"/>
        <w:spacing w:after="0" w:line="277"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June 30, 2018 and December 31, 2017 were as follows: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2018</w:t>
            </w:r>
          </w:p>
        </w:tc>
        <w:tc>
          <w:tcPr>
            <w:tcW w:w="1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December 31, 2017</w:t>
            </w:r>
          </w:p>
        </w:tc>
      </w:tr>
      <w:tr>
        <w:trPr>
          <w:trHeight w:val="209"/>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3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15"/>
                <w:szCs w:val="15"/>
                <w:color w:val="auto"/>
              </w:rPr>
              <w:t>(1)</w:t>
            </w: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11.4%</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w:t>
            </w: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rate investments </w:t>
            </w:r>
            <w:r>
              <w:rPr>
                <w:rFonts w:ascii="Arial" w:cs="Arial" w:eastAsia="Arial" w:hAnsi="Arial"/>
                <w:sz w:val="15"/>
                <w:szCs w:val="15"/>
                <w:color w:val="auto"/>
              </w:rPr>
              <w:t>(2)</w:t>
            </w: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8.7%</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r>
    </w:tbl>
    <w:p>
      <w:pPr>
        <w:spacing w:after="0" w:line="242"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11.0% at June 30, 2018 and 10.5% at December 31, 2017.</w:t>
      </w:r>
    </w:p>
    <w:p>
      <w:pPr>
        <w:spacing w:after="0" w:line="49"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25"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3" w:lineRule="exact"/>
        <w:rPr>
          <w:sz w:val="20"/>
          <w:szCs w:val="20"/>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20" w:hanging="255"/>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jc w:val="both"/>
        <w:ind w:left="520" w:right="780" w:hanging="255"/>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73" w:lineRule="exact"/>
        <w:rPr>
          <w:rFonts w:ascii="Arial" w:cs="Arial" w:eastAsia="Arial" w:hAnsi="Arial"/>
          <w:sz w:val="18"/>
          <w:szCs w:val="18"/>
          <w:color w:val="auto"/>
        </w:rPr>
      </w:pPr>
    </w:p>
    <w:p>
      <w:pPr>
        <w:ind w:left="520" w:right="260" w:hanging="255"/>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hanging="255"/>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30" w:right="259" w:bottom="1440" w:gutter="0" w:footer="0" w:header="0"/>
        </w:sectPr>
      </w:pPr>
    </w:p>
    <w:bookmarkStart w:id="50" w:name="page51"/>
    <w:bookmarkEnd w:id="50"/>
    <w:p>
      <w:pPr>
        <w:ind w:left="520" w:right="260" w:hanging="255"/>
        <w:spacing w:after="0" w:line="276"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64" w:lineRule="exact"/>
        <w:rPr>
          <w:rFonts w:ascii="Arial" w:cs="Arial" w:eastAsia="Arial" w:hAnsi="Arial"/>
          <w:sz w:val="17"/>
          <w:szCs w:val="17"/>
          <w:color w:val="auto"/>
        </w:rPr>
      </w:pPr>
    </w:p>
    <w:p>
      <w:pPr>
        <w:ind w:left="520" w:right="140" w:hanging="255"/>
        <w:spacing w:after="0" w:line="259"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investments on a bi-monthly basis and, where possible, pursues workouts that achieve an early resolution to avoid further deterioration.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7" w:lineRule="exact"/>
        <w:rPr>
          <w:sz w:val="20"/>
          <w:szCs w:val="20"/>
          <w:color w:val="auto"/>
        </w:rPr>
      </w:pPr>
    </w:p>
    <w:p>
      <w:pPr>
        <w:ind w:right="480" w:firstLine="259"/>
        <w:spacing w:after="0" w:line="286" w:lineRule="auto"/>
        <w:rPr>
          <w:sz w:val="20"/>
          <w:szCs w:val="20"/>
          <w:color w:val="auto"/>
        </w:rPr>
      </w:pPr>
      <w:r>
        <w:rPr>
          <w:rFonts w:ascii="Arial" w:cs="Arial" w:eastAsia="Arial" w:hAnsi="Arial"/>
          <w:sz w:val="17"/>
          <w:szCs w:val="17"/>
          <w:color w:val="auto"/>
        </w:rPr>
        <w:t>The following table shows the distribution of our investments on the 1 to 5 investment performance rating scale at fair value as of June 30, 2018 and December 31, 2017. Investment performance ratings are accurate only as of those dates and may change due to subsequent developments relating to a portfolio company’s business or financial condition, market conditions or developments, and other factors.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June 30, 2018</w:t>
            </w:r>
          </w:p>
        </w:tc>
        <w:tc>
          <w:tcPr>
            <w:tcW w:w="1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5"/>
              </w:rPr>
              <w:t>December 31, 2017</w:t>
            </w:r>
          </w:p>
        </w:tc>
        <w:tc>
          <w:tcPr>
            <w:tcW w:w="1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gridSpan w:val="3"/>
          </w:tcPr>
          <w:p>
            <w:pPr>
              <w:jc w:val="center"/>
              <w:ind w:right="104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60" w:type="dxa"/>
            <w:vAlign w:val="bottom"/>
            <w:gridSpan w:val="4"/>
          </w:tcPr>
          <w:p>
            <w:pPr>
              <w:jc w:val="center"/>
              <w:ind w:right="82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5"/>
              </w:rPr>
              <w:t>Fair Value</w:t>
            </w:r>
          </w:p>
        </w:tc>
        <w:tc>
          <w:tcPr>
            <w:tcW w:w="1100" w:type="dxa"/>
            <w:vAlign w:val="bottom"/>
          </w:tcPr>
          <w:p>
            <w:pPr>
              <w:jc w:val="center"/>
              <w:ind w:left="8"/>
              <w:spacing w:after="0"/>
              <w:rPr>
                <w:sz w:val="20"/>
                <w:szCs w:val="20"/>
                <w:color w:val="auto"/>
              </w:rPr>
            </w:pPr>
            <w:r>
              <w:rPr>
                <w:rFonts w:ascii="Arial" w:cs="Arial" w:eastAsia="Arial" w:hAnsi="Arial"/>
                <w:sz w:val="14"/>
                <w:szCs w:val="14"/>
                <w:b w:val="1"/>
                <w:bCs w:val="1"/>
                <w:color w:val="auto"/>
                <w:w w:val="88"/>
              </w:rPr>
              <w:t>Percentage of</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6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5"/>
              </w:rPr>
              <w:t>Fair Value</w:t>
            </w:r>
          </w:p>
        </w:tc>
        <w:tc>
          <w:tcPr>
            <w:tcW w:w="16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 in millions)</w:t>
            </w:r>
          </w:p>
        </w:tc>
        <w:tc>
          <w:tcPr>
            <w:tcW w:w="3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4"/>
              </w:rPr>
              <w:t>Total Portfolio</w:t>
            </w: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9"/>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1,547.2</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79.2%</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1,382.7</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30"/>
        </w:trPr>
        <w:tc>
          <w:tcPr>
            <w:tcW w:w="2000" w:type="dxa"/>
            <w:vAlign w:val="bottom"/>
          </w:tcPr>
          <w:p>
            <w:pPr>
              <w:jc w:val="right"/>
              <w:ind w:right="816"/>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347.0</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17.7</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250.9</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right"/>
              <w:ind w:right="816"/>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6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32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1,955.1</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1,693.7</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and six months ended June 30, 2018 and 2017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w w:val="97"/>
              </w:rPr>
              <w:t>For the Three Months Ended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9"/>
            <w:vMerge w:val="restart"/>
          </w:tcPr>
          <w:p>
            <w:pPr>
              <w:ind w:left="40"/>
              <w:spacing w:after="0"/>
              <w:rPr>
                <w:sz w:val="20"/>
                <w:szCs w:val="20"/>
                <w:color w:val="auto"/>
              </w:rPr>
            </w:pPr>
            <w:r>
              <w:rPr>
                <w:rFonts w:ascii="Arial" w:cs="Arial" w:eastAsia="Arial" w:hAnsi="Arial"/>
                <w:sz w:val="14"/>
                <w:szCs w:val="14"/>
                <w:b w:val="1"/>
                <w:bCs w:val="1"/>
                <w:color w:val="auto"/>
                <w:w w:val="98"/>
              </w:rPr>
              <w:t>For the Six Months Ended June 30,</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5"/>
            <w:vMerge w:val="restart"/>
          </w:tcPr>
          <w:p>
            <w:pPr>
              <w:jc w:val="right"/>
              <w:ind w:right="145"/>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gridSpan w:val="9"/>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60" w:type="dxa"/>
            <w:vAlign w:val="bottom"/>
          </w:tcPr>
          <w:p>
            <w:pPr>
              <w:spacing w:after="0"/>
              <w:rPr>
                <w:sz w:val="5"/>
                <w:szCs w:val="5"/>
                <w:color w:val="auto"/>
              </w:rPr>
            </w:pPr>
          </w:p>
        </w:tc>
        <w:tc>
          <w:tcPr>
            <w:tcW w:w="4920" w:type="dxa"/>
            <w:vAlign w:val="bottom"/>
            <w:gridSpan w:val="2"/>
            <w:vMerge w:val="restart"/>
          </w:tcPr>
          <w:p>
            <w:pPr>
              <w:ind w:left="500"/>
              <w:spacing w:after="0"/>
              <w:rPr>
                <w:sz w:val="20"/>
                <w:szCs w:val="20"/>
                <w:color w:val="auto"/>
              </w:rPr>
            </w:pPr>
            <w:r>
              <w:rPr>
                <w:rFonts w:ascii="Arial" w:cs="Arial" w:eastAsia="Arial" w:hAnsi="Arial"/>
                <w:sz w:val="14"/>
                <w:szCs w:val="14"/>
                <w:color w:val="auto"/>
              </w:rPr>
              <w:t>($ in millions)</w:t>
            </w:r>
          </w:p>
        </w:tc>
        <w:tc>
          <w:tcPr>
            <w:tcW w:w="2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gridSpan w:val="5"/>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9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80" w:type="dxa"/>
            <w:vAlign w:val="bottom"/>
            <w:tcBorders>
              <w:top w:val="single" w:sz="8" w:color="CFF0FC"/>
            </w:tcBorders>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80" w:type="dxa"/>
            <w:vAlign w:val="bottom"/>
            <w:tcBorders>
              <w:bottom w:val="single" w:sz="8" w:color="CFF0FC"/>
            </w:tcBorders>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FF0FC"/>
            </w:tcBorders>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 xml:space="preserve">Net realized losses </w:t>
            </w:r>
            <w:r>
              <w:rPr>
                <w:rFonts w:ascii="Arial" w:cs="Arial" w:eastAsia="Arial" w:hAnsi="Arial"/>
                <w:sz w:val="15"/>
                <w:szCs w:val="15"/>
                <w:color w:val="auto"/>
              </w:rPr>
              <w:t>(1)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w:t>
            </w:r>
            <w:r>
              <w:rPr>
                <w:rFonts w:ascii="Arial" w:cs="Arial" w:eastAsia="Arial" w:hAnsi="Arial"/>
                <w:sz w:val="15"/>
                <w:szCs w:val="15"/>
                <w:color w:val="auto"/>
              </w:rPr>
              <w:t>(1)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b w:val="1"/>
                <w:bCs w:val="1"/>
                <w:color w:val="auto"/>
                <w:w w:val="93"/>
              </w:rPr>
              <w:t>Net increase in net assets resulting from operations</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color w:val="auto"/>
              </w:rPr>
              <w:t>(1)</w:t>
            </w:r>
          </w:p>
        </w:tc>
        <w:tc>
          <w:tcPr>
            <w:tcW w:w="492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foreign exchange hedging activity.</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49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52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Investment Income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9"/>
              </w:rPr>
              <w:t>For the Three Months Ended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w w:val="99"/>
              </w:rPr>
              <w:t>For the Six Months Ended June 30,</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gridSpan w:val="9"/>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60" w:type="dxa"/>
            <w:vAlign w:val="bottom"/>
          </w:tcPr>
          <w:p>
            <w:pPr>
              <w:spacing w:after="0"/>
              <w:rPr>
                <w:sz w:val="5"/>
                <w:szCs w:val="5"/>
                <w:color w:val="auto"/>
              </w:rPr>
            </w:pPr>
          </w:p>
        </w:tc>
        <w:tc>
          <w:tcPr>
            <w:tcW w:w="4920" w:type="dxa"/>
            <w:vAlign w:val="bottom"/>
            <w:gridSpan w:val="2"/>
            <w:vMerge w:val="restart"/>
          </w:tcPr>
          <w:p>
            <w:pPr>
              <w:ind w:left="500"/>
              <w:spacing w:after="0"/>
              <w:rPr>
                <w:sz w:val="20"/>
                <w:szCs w:val="20"/>
                <w:color w:val="auto"/>
              </w:rPr>
            </w:pPr>
            <w:r>
              <w:rPr>
                <w:rFonts w:ascii="Arial" w:cs="Arial" w:eastAsia="Arial" w:hAnsi="Arial"/>
                <w:sz w:val="14"/>
                <w:szCs w:val="14"/>
                <w:color w:val="auto"/>
              </w:rPr>
              <w:t>($ in millions)</w:t>
            </w: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4"/>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9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9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7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40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42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56.4</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80" w:type="dxa"/>
            <w:vAlign w:val="bottom"/>
            <w:tcBorders>
              <w:top w:val="single" w:sz="8" w:color="CFF0FC"/>
            </w:tcBorders>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Dividend income</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400" w:type="dxa"/>
            <w:vAlign w:val="bottom"/>
            <w:gridSpan w:val="2"/>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66.4</w:t>
            </w:r>
          </w:p>
        </w:tc>
        <w:tc>
          <w:tcPr>
            <w:tcW w:w="42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51</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51" w:name="page52"/>
    <w:bookmarkEnd w:id="51"/>
    <w:p>
      <w:pPr>
        <w:ind w:right="20" w:firstLine="259"/>
        <w:spacing w:after="0" w:line="287"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$56.4 million for the three months ended June 30, 2017 to $63.1 million for the three months ended June 30, 2018. The average size of our investment portfolio increased from $1.6 billion for the three months ended June 30, 2017 to $1.9 billion for the three months ended June 30, 2018. Accelerated amortization of upfront fees primarily from unscheduled paydowns decreased from $7.1 million for the three months ended June 30, 2017 to $4.6 million for the three months ended June 30, 2018. Prepayment fees decreased from $8.7 million for the three months ended June 30, 2017 to $3.0 million for the three months ended June 30, 2018. During the three months ended June 30, 2017 accelerated amortization and prepayment fees primarily resulted from full paydowns on six portfolio investments, a partial paydown on one portfolio investment and earning prepayment fees on five portfolio investments. During the three months ended June 30, 2018 accelerated amortization and prepayment fees primarily resulted from full paydowns on three portfolio investments, a partial realization on one portfolio investment, and earning prepayment fees on three portfolio investments. Dividend income remained flat at less than $0.1 million for both the three months ended June 30, 2017 and 2018. Other income increased from $2.4 million for the three months ended June 30, 2017 to $3.3 million for the three months ended June 30, 2018, primarily due to higher syndication fees during the second quarter of 2018 compared to the same period in 2017.</w:t>
      </w:r>
    </w:p>
    <w:p>
      <w:pPr>
        <w:spacing w:after="0" w:line="240" w:lineRule="exact"/>
        <w:rPr>
          <w:sz w:val="20"/>
          <w:szCs w:val="20"/>
          <w:color w:val="auto"/>
        </w:rPr>
      </w:pPr>
    </w:p>
    <w:p>
      <w:pPr>
        <w:ind w:right="40" w:firstLine="259"/>
        <w:spacing w:after="0" w:line="283"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$105.2 million for the six months ended June 30, 2017 to $114.8 million for the six months ended June 30, 2018. The average size of our investment portfolio increased from $1.6 billion for the six months ended June 30, 2017 to $1.9 billion for six months ended June 30, 2018. In addition, accelerated amortization of upfront fees primarily from unscheduled paydowns decreased from $14.1 million for the six months ended June 30, 2017 to $5.9 million for the six months ended June 30, 2018; and prepayment fees decreased from $9.7 million for the six months ended June 30, 2017 to $6.7 million for the six months ended June 30, 2018. The accelerated amortization and prepayment fees primarily resulted from full paydowns on ten portfolio investments; partial paydowns on six portfolio investments and earning prepayment fees on eight portfolio investments during the six months ended June 30, 2017 and full paydowns on six portfolio investments, a partial paydown on one portfolio investment, a partial realization on one portfolio investment, and earning prepayment fees on eight portfolio investments during the six months ended June 30, 2018. The decrease in paydowns during the six months ended June 30, 2018 compared to the six months ended June 30, 2017 was primarily the result of widening of credit spreads during 2018. Other income increased from $4.6 million for the six months ended June 30, 2017 to</w:t>
      </w:r>
    </w:p>
    <w:p>
      <w:pPr>
        <w:spacing w:after="0" w:line="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$9.2 million for the six months ended June 30, 2018, primarily due to higher syndication, amendment, commitment and agency fees earned during the first half of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and six months ended June 30, 2018 and 2017 were as follows:</w:t>
      </w:r>
    </w:p>
    <w:p>
      <w:pPr>
        <w:spacing w:after="0" w:line="257"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2"/>
              </w:rPr>
              <w:t>For the Three Months Ended June 30,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6"/>
          </w:tcPr>
          <w:p>
            <w:pPr>
              <w:ind w:left="6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
        </w:trPr>
        <w:tc>
          <w:tcPr>
            <w:tcW w:w="396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9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 net</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investment</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(net of waivers)</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4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6"/>
              </w:rPr>
              <w:t>Incentive fees related to realized/unrealized capital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gains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Directors fees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b w:val="1"/>
                <w:bCs w:val="1"/>
                <w:color w:val="auto"/>
              </w:rPr>
              <w:t>Net Expenses</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4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Interest expense, including other debt financing expenses, increased from $7.6 million for the three months ended June 30, 2017 to $11.2 million for the three months ended June 30, 2018. This increase was primarily due to an increase in LIBOR and a larger outstanding debt balance during the three months ended June 30, 2018. The average interest rate on our debt outstanding was 4.1% for the three months ended June 30, 2017 and the three months ended June 30, 2018.</w:t>
      </w:r>
    </w:p>
    <w:p>
      <w:pPr>
        <w:spacing w:after="0" w:line="79"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Interest expense, including other debt financing expenses, increased from $14.5 million for the six months ended June 30, 2017 to $20.2 million for the six months ended June 30, 2018. This increase was primarily due to a larger outstanding debt balance during the six months ended June 30, 2018 and an increase in the average interest rate on our debt outstanding from 3.6% for the six months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2" w:name="page53"/>
    <w:bookmarkEnd w:id="52"/>
    <w:p>
      <w:pPr>
        <w:ind w:right="240"/>
        <w:spacing w:after="0" w:line="277" w:lineRule="auto"/>
        <w:rPr>
          <w:sz w:val="20"/>
          <w:szCs w:val="20"/>
          <w:color w:val="auto"/>
        </w:rPr>
      </w:pPr>
      <w:r>
        <w:rPr>
          <w:rFonts w:ascii="Arial" w:cs="Arial" w:eastAsia="Arial" w:hAnsi="Arial"/>
          <w:sz w:val="18"/>
          <w:szCs w:val="18"/>
          <w:color w:val="auto"/>
        </w:rPr>
        <w:t>ended June 30, 2017 to 3.9% for the six months ended June 30, 2018 following issuance of the 2023 Notes, the additional issuance of the 2022 Convertible Notes and an increase in LIBOR.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Management Fees (net of waivers) increased from $6.0 million for the three months ended June 30, 2017 to $7.3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2018 due to an increase in assets for the three months ended June 30, 2018 compared to the same period in 2017. The Adviser did not waive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 for the three months ended June 30, 2017 and 2018.</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Management Fees (net of waivers) increased from $12.1 million for the six months ended June 30, 2017 to $14.0 million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2018. Management Fees (gross of waivers) increased from $12.1 million for the six months ended June 30, 2017 to $14.0 million for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2018 due to an increase in total assets compared to the same period in 2017. Management Fees waived were less than $0.1 million for the six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months ended June 30, 2018, consisting solely of Management Fees attributable to our ownership of shares of common stock in the TCAP Shares.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Adviser did not waive any Management Fees for the six months ended June 30, 2017.</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160" w:firstLine="259"/>
        <w:spacing w:after="0" w:line="276" w:lineRule="auto"/>
        <w:rPr>
          <w:sz w:val="20"/>
          <w:szCs w:val="20"/>
          <w:color w:val="auto"/>
        </w:rPr>
      </w:pPr>
      <w:r>
        <w:rPr>
          <w:rFonts w:ascii="Arial" w:cs="Arial" w:eastAsia="Arial" w:hAnsi="Arial"/>
          <w:sz w:val="17"/>
          <w:szCs w:val="17"/>
          <w:color w:val="auto"/>
        </w:rPr>
        <w:t>Incentive Fees (net of waivers) related to pre-Incentive Fee net investment income increased from $7.2 million for the three months ended June 30, 2017 to $7.7 million for the three months ended June 30, 2018. This increase resulted from an increase in pre-incentive fee net investment income resulting from our larger investment portfolio for the three months ended June 30, 2018. The Adviser did not waive any Incentive Fees related to pre-Incentive Fee net investment income for the three months ended June 30, 2017 and 2018. There were no Incentive Fees related to capital gains and losses for each of the three months ended June 30, 2018 and 2017 due to cumulative realized losses on our investments.</w:t>
      </w:r>
    </w:p>
    <w:p>
      <w:pPr>
        <w:spacing w:after="0" w:line="64"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Incentive Fees (net of waivers) related to pre-Incentive Fee net investment income increased from $13.2 million for the six months ended June 30, 2017 to $14.3 million for the six months ended June 30, 2018. This increase resulted from an increase in pre-incentive fee net investment income resulting from our larger investment portfolio six months ended June 30, 2018. For the six months ended June 30, 2018, Incentive Fees related to pre-Incentive Fee net investment income of less than $0.1 million were waived, consisting solely of Incentive Fees attributable to our ownership of the TCAP Shares. There were no Incentive Fees related to pre-Incentive Fee net investment income waived for the six months ended June 30, 2017. There were no Incentive Fees related to capital gains and losses for the six months ended June 30, 2018 and 2017 due to cumulative realized losses on our investments.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Incentive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Professional fees decreased from $1.8 million for the three months ended June 30, 2017 to $1.6 million for the three months ended June 30, 2018. Other general and administrative fees remained flat at $1.3 million for the three months ended June 30, 2017 and 2018.</w:t>
      </w:r>
    </w:p>
    <w:p>
      <w:pPr>
        <w:spacing w:after="0" w:line="62" w:lineRule="exact"/>
        <w:rPr>
          <w:sz w:val="20"/>
          <w:szCs w:val="20"/>
          <w:color w:val="auto"/>
        </w:rPr>
      </w:pPr>
    </w:p>
    <w:p>
      <w:pPr>
        <w:ind w:firstLine="259"/>
        <w:spacing w:after="0" w:line="312" w:lineRule="auto"/>
        <w:rPr>
          <w:sz w:val="20"/>
          <w:szCs w:val="20"/>
          <w:color w:val="auto"/>
        </w:rPr>
      </w:pPr>
      <w:r>
        <w:rPr>
          <w:rFonts w:ascii="Arial" w:cs="Arial" w:eastAsia="Arial" w:hAnsi="Arial"/>
          <w:sz w:val="16"/>
          <w:szCs w:val="16"/>
          <w:color w:val="auto"/>
        </w:rPr>
        <w:t>Professional fees increased from $3.1 million for the six months ended June 30, 2017 to $3.7 million for the six months ended June 30, 2018 primarily due to the recognition of remaining non-recurring expenses associated with the initial shelf registration statement that were previously recorded as deferred financing costs. Other general and administrative fees remained flat at $2.6 million for the six months ended June 30, 2017 and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ind w:left="260"/>
        <w:spacing w:after="0"/>
        <w:rPr>
          <w:sz w:val="20"/>
          <w:szCs w:val="20"/>
          <w:color w:val="auto"/>
        </w:rPr>
      </w:pPr>
      <w:r>
        <w:rPr>
          <w:rFonts w:ascii="Arial" w:cs="Arial" w:eastAsia="Arial" w:hAnsi="Arial"/>
          <w:sz w:val="16"/>
          <w:szCs w:val="16"/>
          <w:color w:val="auto"/>
        </w:rPr>
        <w:t>For the three and six months ended June 30, 2018, we recorded a net expense of $0.9 million and $1.7 million, respectively, for U.S. federal excise tax.</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2017, we recorded a net expense of $0.9 million and $1.6 million, respectively, for U.S. federal excise tax.</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net realized and unrealized gains (losses) for the three and six months ended June 30, 2018 and 2017:</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For the Three Months Ended</w:t>
            </w:r>
          </w:p>
        </w:tc>
        <w:tc>
          <w:tcPr>
            <w:tcW w:w="80" w:type="dxa"/>
            <w:vAlign w:val="bottom"/>
          </w:tcPr>
          <w:p>
            <w:pPr>
              <w:spacing w:after="0"/>
              <w:rPr>
                <w:sz w:val="14"/>
                <w:szCs w:val="14"/>
                <w:color w:val="auto"/>
              </w:rPr>
            </w:pPr>
          </w:p>
        </w:tc>
        <w:tc>
          <w:tcPr>
            <w:tcW w:w="2280" w:type="dxa"/>
            <w:vAlign w:val="bottom"/>
            <w:gridSpan w:val="7"/>
            <w:vMerge w:val="restart"/>
          </w:tcPr>
          <w:p>
            <w:pPr>
              <w:jc w:val="right"/>
              <w:ind w:right="120"/>
              <w:spacing w:after="0"/>
              <w:rPr>
                <w:sz w:val="20"/>
                <w:szCs w:val="20"/>
                <w:color w:val="auto"/>
              </w:rPr>
            </w:pPr>
            <w:r>
              <w:rPr>
                <w:rFonts w:ascii="Arial" w:cs="Arial" w:eastAsia="Arial" w:hAnsi="Arial"/>
                <w:sz w:val="14"/>
                <w:szCs w:val="14"/>
                <w:b w:val="1"/>
                <w:bCs w:val="1"/>
                <w:color w:val="auto"/>
                <w:w w:val="91"/>
              </w:rPr>
              <w:t>For the Six Months Ended June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4"/>
            <w:vMerge w:val="restart"/>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70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3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gridSpan w:val="4"/>
            <w:vMerge w:val="continue"/>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7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realized losses on investments</w:t>
            </w:r>
          </w:p>
        </w:tc>
        <w:tc>
          <w:tcPr>
            <w:tcW w:w="3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vMerge w:val="continue"/>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w:t>
            </w:r>
          </w:p>
        </w:tc>
        <w:tc>
          <w:tcPr>
            <w:tcW w:w="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(18.5)</w:t>
            </w:r>
          </w:p>
        </w:tc>
        <w:tc>
          <w:tcPr>
            <w:tcW w:w="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8"/>
              </w:rPr>
              <w:t>Net realized gains (losses) on foreign currency transactions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w w:val="98"/>
              </w:rPr>
              <w:t>Net realized gains (losses) on foreign currency investments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realized gains (losses) on foreign currency borrowings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realized losses</w:t>
            </w:r>
          </w:p>
        </w:tc>
        <w:tc>
          <w:tcPr>
            <w:tcW w:w="3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vMerge w:val="continue"/>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w:t>
            </w:r>
          </w:p>
        </w:tc>
        <w:tc>
          <w:tcPr>
            <w:tcW w:w="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(18.6)</w:t>
            </w:r>
          </w:p>
        </w:tc>
        <w:tc>
          <w:tcPr>
            <w:tcW w:w="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gains on investments</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95"/>
              </w:rPr>
              <w:t>Net Change in Unrealized Gains (Losses) on Investments</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Unrealized gains (losses) on foreign currency</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borrowings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(losses) on foreign</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currency cash and forward contracts</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Unrealized gains (losses) on interest rate swaps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w:t>
            </w:r>
          </w:p>
        </w:tc>
        <w:tc>
          <w:tcPr>
            <w:tcW w:w="3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Currency Transactions and Interest Rate Swaps</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w:t>
            </w:r>
          </w:p>
        </w:tc>
        <w:tc>
          <w:tcPr>
            <w:tcW w:w="280" w:type="dxa"/>
            <w:vAlign w:val="bottom"/>
            <w:gridSpan w:val="2"/>
            <w:shd w:val="clear" w:color="auto" w:fill="CFF0FC"/>
          </w:tcPr>
          <w:p>
            <w:pPr>
              <w:jc w:val="right"/>
              <w:ind w:right="4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For the three and six months ended June 30, 2018 we had net realized losses on investments of $9.1 million and $6.5 million, respectively. For the three and six months ended June 30, 2018, we had net realized losses of less than $0.1 million and net realized gains of $0.1 million, respectively, on foreign currency transactions, primarily as a result of translating foreign currency related to our non-USD denominated investments. For the three and six months ended June 30, 2018, we had net realized losses of $0.1 million and net realized gains of less than $0.1 million, respectively, on foreign currency investments. For the three and six months ended June 30, 2018, we had net realized gains of less than $0.1 million and $0.1 million, respectively, on foreign currency borrowings. The net realized gains on foreign currency borrowings and foreign currency investments for the three and six months ended June 30, 2018 were a result of a partial realization on one investment.</w:t>
      </w:r>
    </w:p>
    <w:p>
      <w:pPr>
        <w:spacing w:after="0" w:line="189"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color w:val="auto"/>
        </w:rPr>
        <w:t>For the three months ended June 30, 2018 we had $30.9 million in unrealized gains on 27 portfolio company investments, which was offset by $27.6 million in unrealized losses on 26 portfolio company investments. For the six months ended June 30, 2018 we had $37.4 million in unrealized gains on 33 portfolio company investments, which was offset by $29.1 million in unrealized losses on 25 portfolio company investments. Unrealized gains resulted from an increase in fair value, primarily due to positive credit-related adjustments offset by widening of credit spreads. Unrealized losses primarily resulted from the reversal of prior period unrealized gains and in some instances negative credit-related adjustments.</w:t>
      </w:r>
    </w:p>
    <w:p>
      <w:pPr>
        <w:spacing w:after="0" w:line="173"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For the three and six months ended June 30, 2018, we had unrealized gains on foreign currency borrowings of $4.9 million and $3.9 million, respectively, as a result of fluctuations in the EUR and AUD exchange rates. For both the three and six months ended June 30, 2018, we had unrealized losses on foreign currency cash and forward contracts of less than $0.1 million. For the three and six months ended June 30, 2018, we had unrealized losses on interest rate swaps of $1.7 million and $6.0 million, respectively, on interest rate swaps due to fluctuations in interest rates and the periodic settlement of interest rate swaps.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4" w:name="page55"/>
    <w:bookmarkEnd w:id="54"/>
    <w:p>
      <w:pPr>
        <w:ind w:right="60" w:firstLine="293"/>
        <w:spacing w:after="0" w:line="272" w:lineRule="auto"/>
        <w:rPr>
          <w:sz w:val="20"/>
          <w:szCs w:val="20"/>
          <w:color w:val="auto"/>
        </w:rPr>
      </w:pPr>
      <w:r>
        <w:rPr>
          <w:rFonts w:ascii="Arial" w:cs="Arial" w:eastAsia="Arial" w:hAnsi="Arial"/>
          <w:sz w:val="17"/>
          <w:szCs w:val="17"/>
          <w:color w:val="auto"/>
        </w:rPr>
        <w:t>For the three and six months ended June 30, 2017 we had net realized losses on investments of $18.5 million and $17.2 million, respectively. For the three and six months ended June 30, 2017, we had net realized losses of less than $0.1 million and net realized gains of $0.2 million, respectively, on foreign currency transactions, primarily as a result of translating foreign currency related to our non-USD denominated investments. For the three and six months ended June 30, 2017, we had net realized losses of $0.1 million and $4.8 million, respectively, on foreign currency investments. For the three and six months ended June 30, 2017, we had net realized losses of less than $0.1 million and net realized gains of $5.1 million, respectively, on foreign currency borrowings. The net realized gains on foreign currency borrowings and net realized losses on foreign currency investments for the six months ended June 30, 2017 were a result of exiting two investments and a partial realization on one investment.</w:t>
      </w:r>
    </w:p>
    <w:p>
      <w:pPr>
        <w:spacing w:after="0" w:line="178" w:lineRule="exact"/>
        <w:rPr>
          <w:sz w:val="20"/>
          <w:szCs w:val="20"/>
          <w:color w:val="auto"/>
        </w:rPr>
      </w:pPr>
    </w:p>
    <w:p>
      <w:pPr>
        <w:ind w:right="60" w:firstLine="293"/>
        <w:spacing w:after="0" w:line="276" w:lineRule="auto"/>
        <w:rPr>
          <w:sz w:val="20"/>
          <w:szCs w:val="20"/>
          <w:color w:val="auto"/>
        </w:rPr>
      </w:pPr>
      <w:r>
        <w:rPr>
          <w:rFonts w:ascii="Arial" w:cs="Arial" w:eastAsia="Arial" w:hAnsi="Arial"/>
          <w:sz w:val="17"/>
          <w:szCs w:val="17"/>
          <w:color w:val="auto"/>
        </w:rPr>
        <w:t>For the three months ended June 30, 2017 we had $45.4 million in unrealized gains on 28 portfolio company investments, which was offset by $28.2 million in unrealized losses on 26 portfolio company investments. For the six months ended June 30, 2017 we had $52.7 million in unrealized gains on 37 portfolio company investments, which was offset by $32.0 million in unrealized losses on 27 portfolio company investments. Unrealized gains resulted from an increase in fair value, primarily due to a tightening spread environment and positive credit-related adjustments. Unrealized losses primarily resulted from the reversal of prior period unrealized gains and in some instances negative credit-related adjustments.</w:t>
      </w:r>
    </w:p>
    <w:p>
      <w:pPr>
        <w:spacing w:after="0" w:line="173"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For the three and six months ended June 30, 2017, we had unrealized losses on foreign currency borrowings of $2.8 million and $8.7 million, respectively, as a result of fluctuations in the GBP and EUR exchange rates. For the three and six months ended June 30, 2017, we had unrealized losses on foreign currency cash and forward contracts of less than $0.1 million and unrealized gains of less than $0.1 million, respectively. For the three and six months ended June 30, 2017, we had unrealized gains on interest rate swaps of $2.1 million and $2.3 million, respectively, on interest rate swaps due to fluctuations in interest rates.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Gross Internal Rate of Return</w:t>
      </w:r>
    </w:p>
    <w:p>
      <w:pPr>
        <w:spacing w:after="0" w:line="117" w:lineRule="exact"/>
        <w:rPr>
          <w:sz w:val="20"/>
          <w:szCs w:val="20"/>
          <w:color w:val="auto"/>
        </w:rPr>
      </w:pPr>
    </w:p>
    <w:p>
      <w:pPr>
        <w:jc w:val="both"/>
        <w:ind w:right="160" w:firstLine="259"/>
        <w:spacing w:after="0" w:line="286" w:lineRule="auto"/>
        <w:rPr>
          <w:sz w:val="20"/>
          <w:szCs w:val="20"/>
          <w:color w:val="auto"/>
        </w:rPr>
      </w:pPr>
      <w:r>
        <w:rPr>
          <w:rFonts w:ascii="Arial" w:cs="Arial" w:eastAsia="Arial" w:hAnsi="Arial"/>
          <w:sz w:val="17"/>
          <w:szCs w:val="17"/>
          <w:color w:val="auto"/>
        </w:rPr>
        <w:t>Since we began investing in 2011 through June 30, 2018, weighted by capital invested, our exited investments have generated an average realized gross internal rate of return to us of 18.8% (based on total capital invested of $2.9 billion and total proceeds from these exited investments of $3.6 billion). Eighty nine percent of these exited investments resulted in a realized gross internal rate of return to us of 10% or greater.</w:t>
      </w:r>
    </w:p>
    <w:p>
      <w:pPr>
        <w:spacing w:after="0" w:line="166"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60" w:firstLine="259"/>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0"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Average gross IRR on our exited investments reflects only invested and realized cash amounts as described above, and does not reflect any unrealized gains or losses in our portfolio.</w:t>
      </w:r>
    </w:p>
    <w:p>
      <w:pPr>
        <w:spacing w:after="0" w:line="170" w:lineRule="exact"/>
        <w:rPr>
          <w:sz w:val="20"/>
          <w:szCs w:val="20"/>
          <w:color w:val="auto"/>
        </w:rPr>
      </w:pPr>
    </w:p>
    <w:p>
      <w:pPr>
        <w:ind w:right="100" w:firstLine="259"/>
        <w:spacing w:after="0" w:line="286" w:lineRule="auto"/>
        <w:rPr>
          <w:sz w:val="20"/>
          <w:szCs w:val="20"/>
          <w:color w:val="auto"/>
        </w:rPr>
      </w:pPr>
      <w:r>
        <w:rPr>
          <w:rFonts w:ascii="Arial" w:cs="Arial" w:eastAsia="Arial" w:hAnsi="Arial"/>
          <w:sz w:val="17"/>
          <w:szCs w:val="17"/>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6" w:lineRule="exact"/>
        <w:rPr>
          <w:sz w:val="20"/>
          <w:szCs w:val="20"/>
          <w:color w:val="auto"/>
        </w:rPr>
      </w:pPr>
    </w:p>
    <w:p>
      <w:pPr>
        <w:jc w:val="both"/>
        <w:ind w:right="80" w:firstLine="259"/>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220" w:firstLine="259"/>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Our current approach to hedging the foreign currency exposure in our non-U.S. dollar denominated investments is primarily to borrow the par amount in local currency under our Revolving Credit Facility to fund these investments. For the three and six months ended June 30, 2018, we incurred $4.9 million and $3.9 million, respectively, of unrealized gains on the translation of our non-U.S. dollar denominated debt into U.S. dollars; such amounts approximate the corresponding unrealized gains and losses on the translation of our non-U.S. dollar denominated investments into U.S. dollars for the three and six months ended June 30, 2018. See Note 2 for additional disclosure regarding our accounting for foreign currency. See Note 7 for additional disclosure regarding the amounts of outstanding debt denominated in each foreign currency at June 30, 2018. See our consolidated schedule of investments for additional disclosure regarding the foreign currency amounts (in both par and fair value) of our non-U.S. dollar denominated investments.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5"/>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currently only allowed to incur borrowings, issue debt securities or issue preferred stock if immediately after the borrowing or issuance the ratio of total assets (less total liabilities other than indebtedness) to total indebtedness plus preferred stock, is at least 200%. As of June 30, 2018 and December 31, 2017, our asset coverage ratio was 221.4% and 235.5%, respectively. We carefully consider our unfunded commitments for the purpose of planning our capital resources and ongoing liquidity, including our financial leverage. Further, we maintain sufficient borrowing capacity within the 200% asset coverage limitation to cover any outstanding unfunded commitments we are required to fund.</w:t>
      </w:r>
    </w:p>
    <w:p>
      <w:pPr>
        <w:spacing w:after="0" w:line="179" w:lineRule="exact"/>
        <w:rPr>
          <w:sz w:val="20"/>
          <w:szCs w:val="20"/>
          <w:color w:val="auto"/>
        </w:rPr>
      </w:pPr>
    </w:p>
    <w:p>
      <w:pPr>
        <w:jc w:val="both"/>
        <w:ind w:right="160" w:firstLine="259"/>
        <w:spacing w:after="0" w:line="264" w:lineRule="auto"/>
        <w:rPr>
          <w:sz w:val="20"/>
          <w:szCs w:val="20"/>
          <w:color w:val="auto"/>
        </w:rPr>
      </w:pPr>
      <w:r>
        <w:rPr>
          <w:rFonts w:ascii="Arial" w:cs="Arial" w:eastAsia="Arial" w:hAnsi="Arial"/>
          <w:sz w:val="18"/>
          <w:szCs w:val="18"/>
          <w:color w:val="auto"/>
        </w:rPr>
        <w:t>Cash and cash equivalents as of June 30, 2018, taken together with cash available under our credit facilities, is expected to be sufficient for our investing activities and to conduct our operations in the near term. As of June 30, 2018, we had approximately $500.6 million of availability on our Revolving Credit Facility, subject to asset coverage limitations.</w:t>
      </w:r>
    </w:p>
    <w:p>
      <w:pPr>
        <w:spacing w:after="0" w:line="181"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As of June 30, 2018, we had $10.3 million in cash and cash equivalents, including $7.2 million of restricted cash, an increase of $3.6 million from December 31, 2017. During the six months ended June 30, 2018, we used $179.7 million in cash from operating activities, primarily as a result of funding portfolio investments of $553.0 million and other operating activity of $1.1 million, which was offset by repayments and proceeds from investments of $307.0 million and an increase in net assets resulting from operations of $67.4 million. Lastly, cash provided by financing activities was $183.3 million during the period, primarily due to borrowings of $860.2 million (including the issuance of $150.0 million principal amount of our 2023 Notes and $57.5 million principal amount of our 2022 Convertible Notes in a reopening), and proceeds from issuance of common stock, net of offering and underwriting costs, of $71.8 million, which was partially offset by repayments on our Revolving Credit Facility of $696.3 million (including $146.9 million net proceeds from our 2023 Notes, $58.1 million net proceeds from the issuance of our 2022 Convertible Notes in a reopening, and $71.8 million net proceeds from our equity offering in March 2018), dividends paid of $45.6 million and deferred financing costs of $6.8 million.</w:t>
      </w:r>
    </w:p>
    <w:p>
      <w:pPr>
        <w:spacing w:after="0" w:line="182"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As of June 30, 2018, we had $7.2 million of restricted cash pledged as collateral under our interest rate swap agreements, an increase of $4.0 million from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On March 21, 2018, we issued 3,750,000 shares of common stock at $17.45 per share. Net of underwriting fees and offering costs, we received total cash proceeds of $63.0 million. Subsequent to the offering we issued an additional 522,224 shares in April 2018 pursuant to the overallotment option granted to underwriters and received, net of underwriting fees, total cash proceeds of $8.8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ind w:right="40" w:firstLine="259"/>
        <w:spacing w:after="0" w:line="279" w:lineRule="auto"/>
        <w:rPr>
          <w:sz w:val="20"/>
          <w:szCs w:val="20"/>
          <w:color w:val="auto"/>
        </w:rPr>
      </w:pPr>
      <w:r>
        <w:rPr>
          <w:rFonts w:ascii="Arial" w:cs="Arial" w:eastAsia="Arial" w:hAnsi="Arial"/>
          <w:sz w:val="17"/>
          <w:szCs w:val="17"/>
          <w:color w:val="auto"/>
        </w:rPr>
        <w:t>During the six months ended June 30, 2018 and 2017, we issued 401,101 and 244,469 shares of our common stock, respectively, to investors who have not opted out of our dividend reinvestment plan for proceeds of $7.1 million and $4.5 million, respectively. On July 13, 2018, we issued 206,556 shares of our common stock through our dividend reinvestment plan for proceeds of $3.6 million, which is not reflected in the number of shares issued for the six months ended June 30, 2018 in this section or the consolidated financial statements for the three and six months ended June 30, 2018.</w:t>
      </w:r>
    </w:p>
    <w:p>
      <w:pPr>
        <w:spacing w:after="0" w:line="171" w:lineRule="exact"/>
        <w:rPr>
          <w:sz w:val="20"/>
          <w:szCs w:val="20"/>
          <w:color w:val="auto"/>
        </w:rPr>
      </w:pPr>
    </w:p>
    <w:p>
      <w:pPr>
        <w:ind w:right="240" w:firstLine="259"/>
        <w:spacing w:after="0" w:line="302" w:lineRule="auto"/>
        <w:rPr>
          <w:sz w:val="20"/>
          <w:szCs w:val="20"/>
          <w:color w:val="auto"/>
        </w:rPr>
      </w:pPr>
      <w:r>
        <w:rPr>
          <w:rFonts w:ascii="Arial" w:cs="Arial" w:eastAsia="Arial" w:hAnsi="Arial"/>
          <w:sz w:val="16"/>
          <w:szCs w:val="16"/>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 Plan in place because we believe that, in current market conditions, if our common stock is trading below our then-current net asset value, it is in the best interest of our stockholders for us to reinvest in our portfolio and increase our leverage ratio through share repurchases.</w:t>
      </w:r>
    </w:p>
    <w:p>
      <w:pPr>
        <w:spacing w:after="0" w:line="154"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30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40" w:firstLine="259"/>
        <w:spacing w:after="0" w:line="297" w:lineRule="auto"/>
        <w:rPr>
          <w:sz w:val="20"/>
          <w:szCs w:val="20"/>
          <w:color w:val="auto"/>
        </w:rPr>
      </w:pPr>
      <w:r>
        <w:rPr>
          <w:rFonts w:ascii="Arial" w:cs="Arial" w:eastAsia="Arial" w:hAnsi="Arial"/>
          <w:sz w:val="16"/>
          <w:szCs w:val="16"/>
          <w:color w:val="auto"/>
        </w:rPr>
        <w:t>The Company 10b5-1 Plan expired in accordance with its terms on June 30, 2015. On August 4, 2015, the Board authorized us to enter into a new stock repurchase plan, on substantially the same terms as the prior stock repurchase plan, over an initial six month period, and has continued to authorize extensions of the plan termination date prior to its expiration since that time. On August 1, 2018 the Board authorized the extension of the termination date of the Company 10b5-1 Plan to February 28, 2019. Unless extended or terminated by the Board, the Company 10b5-1 Plan will be in effect through the earlier of February 28, 2018 or such time as the current approved repurchase amount of up to $50 million has been fully utilized, subject to certain conditions.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six months ended June 30, 2018, no shares were repurchased under the Company 10b5-1 Plan.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June 30,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935"/>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0"/>
        </w:trPr>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97"/>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35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19"/>
        </w:trPr>
        <w:tc>
          <w:tcPr>
            <w:tcW w:w="4860" w:type="dxa"/>
            <w:vAlign w:val="bottom"/>
            <w:gridSpan w:val="3"/>
          </w:tcPr>
          <w:p>
            <w:pPr>
              <w:ind w:left="580"/>
              <w:spacing w:after="0"/>
              <w:rPr>
                <w:sz w:val="20"/>
                <w:szCs w:val="20"/>
                <w:color w:val="auto"/>
              </w:rPr>
            </w:pPr>
            <w:r>
              <w:rPr>
                <w:rFonts w:ascii="Arial" w:cs="Arial" w:eastAsia="Arial" w:hAnsi="Arial"/>
                <w:sz w:val="14"/>
                <w:szCs w:val="14"/>
                <w:color w:val="auto"/>
              </w:rPr>
              <w:t>($ in millions)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297"/>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215"/>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500.6</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39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39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1,377.5</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876.9</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500.6</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858.2</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7" w:name="page58"/>
    <w:bookmarkEnd w:id="57"/>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00" w:hanging="512"/>
        <w:spacing w:after="0" w:line="261"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Convertible Notes, and 2023 Notes are presented net of deferred financing costs of $8.9 million, $5.0 million and $2.8 million,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42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98"/>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r>
      <w:tr>
        <w:trPr>
          <w:trHeight w:val="219"/>
        </w:trPr>
        <w:tc>
          <w:tcPr>
            <w:tcW w:w="4280" w:type="dxa"/>
            <w:vAlign w:val="bottom"/>
          </w:tcPr>
          <w:p>
            <w:pPr>
              <w:spacing w:after="0"/>
              <w:rPr>
                <w:sz w:val="20"/>
                <w:szCs w:val="20"/>
                <w:color w:val="auto"/>
              </w:rPr>
            </w:pPr>
            <w:r>
              <w:rPr>
                <w:rFonts w:ascii="Arial" w:cs="Arial" w:eastAsia="Arial" w:hAnsi="Arial"/>
                <w:sz w:val="14"/>
                <w:szCs w:val="14"/>
                <w:color w:val="auto"/>
              </w:rPr>
              <w:t>($ in millions)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298"/>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486.8</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2019 Convertible Notes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Notes</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FF0FC"/>
          </w:tcPr>
          <w:p>
            <w:pPr>
              <w:spacing w:after="0"/>
              <w:rPr>
                <w:sz w:val="19"/>
                <w:szCs w:val="19"/>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420" w:hanging="512"/>
        <w:spacing w:after="0" w:line="261"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Convertible Notes are presented net of deferred financing costs of $7.1 million and $4.7 million, respectively.</w:t>
      </w:r>
    </w:p>
    <w:p>
      <w:pPr>
        <w:spacing w:after="0" w:line="184"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As of June 30, 2018 and December 31, 2017,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On August 23, 2012, we entered into a senior secured revolving credit agreement with SunTrust Bank, as administrative agent, and J.P. Morgan Chase Bank, N.A., as syndication agent, and certain other lenders (as amended and restated, the “Revolving Credit Facility”).</w:t>
      </w:r>
    </w:p>
    <w:p>
      <w:pPr>
        <w:spacing w:after="0" w:line="170"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As of June 30, 2018, aggregate commitments under the facility were $940 million. The facility includes an uncommitted accordion feature that allows us, under certain circumstances, to increase the size of the facility to up to $1.25 billion.</w:t>
      </w:r>
    </w:p>
    <w:p>
      <w:pPr>
        <w:spacing w:after="0" w:line="170"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The revolving period, during which period we, subject to certain conditions, may make borrowings under the facility, ends February 18, 2022 and the stated maturity date is February 17, 2023.</w:t>
      </w:r>
    </w:p>
    <w:p>
      <w:pPr>
        <w:spacing w:after="0" w:line="170" w:lineRule="exact"/>
        <w:rPr>
          <w:sz w:val="20"/>
          <w:szCs w:val="20"/>
          <w:color w:val="auto"/>
        </w:rPr>
      </w:pPr>
    </w:p>
    <w:p>
      <w:pPr>
        <w:jc w:val="both"/>
        <w:ind w:right="240" w:firstLine="259"/>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June 30, 2018, we had outstanding debt denominated in Australian Dollars (AUD) of 46.4 million and Euro (EUR) of 57.1 million on our Revolving Credit Facility, included in the Outstanding Principal amount in the table above.</w:t>
      </w:r>
    </w:p>
    <w:p>
      <w:pPr>
        <w:spacing w:after="0" w:line="181" w:lineRule="exact"/>
        <w:rPr>
          <w:sz w:val="20"/>
          <w:szCs w:val="20"/>
          <w:color w:val="auto"/>
        </w:rPr>
      </w:pPr>
    </w:p>
    <w:p>
      <w:pPr>
        <w:ind w:right="480" w:firstLine="259"/>
        <w:spacing w:after="0" w:line="264"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June 30, 2018 and December 31, 2017, we had no outstanding letters of credit issued through the Revolving Credit Facility. The amount available for borrowing under the Revolving Credit Facility is reduced by any letters of credit issued through the Revolving Credit Facility.</w:t>
      </w:r>
    </w:p>
    <w:p>
      <w:pPr>
        <w:spacing w:after="0" w:line="181"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LIBOR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93" w:lineRule="exact"/>
        <w:rPr>
          <w:sz w:val="20"/>
          <w:szCs w:val="20"/>
          <w:color w:val="auto"/>
        </w:rPr>
      </w:pPr>
    </w:p>
    <w:p>
      <w:pPr>
        <w:ind w:right="200" w:firstLine="259"/>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620" w:right="5080" w:hanging="5355"/>
        <w:spacing w:after="0" w:line="624" w:lineRule="auto"/>
        <w:tabs>
          <w:tab w:leader="none" w:pos="517"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 asset coverage ratio of no less than 2 to 1 on the last day of any fiscal quarter;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58" w:name="page59"/>
    <w:bookmarkEnd w:id="58"/>
    <w:p>
      <w:pPr>
        <w:ind w:left="520" w:right="380" w:hanging="255"/>
        <w:spacing w:after="0" w:line="375" w:lineRule="auto"/>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 and</w:t>
      </w:r>
    </w:p>
    <w:p>
      <w:pPr>
        <w:spacing w:after="0" w:line="1" w:lineRule="exact"/>
        <w:rPr>
          <w:rFonts w:ascii="Arial" w:cs="Arial" w:eastAsia="Arial" w:hAnsi="Arial"/>
          <w:sz w:val="15"/>
          <w:szCs w:val="15"/>
          <w:color w:val="auto"/>
        </w:rPr>
      </w:pPr>
    </w:p>
    <w:p>
      <w:pPr>
        <w:ind w:left="520" w:hanging="255"/>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February 20, 2018.</w:t>
      </w:r>
    </w:p>
    <w:p>
      <w:pPr>
        <w:spacing w:after="0" w:line="225"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Net proceeds received from our common stock issuance in March 2018 and net proceeds received from the issuance of the 2022 Convertible Notes and 2023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right="60" w:firstLine="259"/>
        <w:spacing w:after="0" w:line="269" w:lineRule="auto"/>
        <w:rPr>
          <w:sz w:val="20"/>
          <w:szCs w:val="20"/>
          <w:color w:val="auto"/>
        </w:rPr>
      </w:pPr>
      <w:r>
        <w:rPr>
          <w:rFonts w:ascii="Arial" w:cs="Arial" w:eastAsia="Arial" w:hAnsi="Arial"/>
          <w:sz w:val="17"/>
          <w:szCs w:val="17"/>
          <w:color w:val="auto"/>
        </w:rPr>
        <w:t>In June 2014, we issued in a private offering $115 million aggregate principal amount convertible notes due December 2019. The 2019 Convertible Notes were issued in a private placement only to qualified institutional buyers pursuant to Rule 144A under the Securities Act. The 2019 Convertible Notes are unsecured and bear interest at a rate of 4.50% per year, payable semiannually. The 2019 Convertible Notes will mature on December 15, 2019. In certain circumstances, the 2019 Convertible Notes will be convertible into cash, shares of our common stock or a combination of cash and shares of our common stock, at our election, at an initial conversion rate of 38.7162 shares of common stock per $1,000 principal amount of 2019 Convertible Notes, which is equivalent to an initial conversion price of approximately $25.83 per share of our common stock, subject to customary anti-dilution adjustments. As of June 30, 2018, the estimated adjusted conversion price was approximately $25.26 per share of common stock. The sale of the 2019 Convertible Notes generated net proceeds of approximately $110.8 million. We used the net proceeds of the offering to pay down debt under the Revolving Credit Facility. In connection with the offering of 2019 Convertible Notes, we have entered into interest rate swaps to continue to align the interest rates of our liabilities with our investment portfolio, which consists of predominately floating rate loans. As a result of the swaps, our effective interest rate on the 2019 Convertible Notes is three-month LIBOR plus 2.86%.</w:t>
      </w:r>
    </w:p>
    <w:p>
      <w:pPr>
        <w:spacing w:after="0" w:line="183"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Holders may convert their 2019 Convertible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2019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80" w:firstLine="259"/>
        <w:spacing w:after="0" w:line="269" w:lineRule="auto"/>
        <w:rPr>
          <w:sz w:val="20"/>
          <w:szCs w:val="20"/>
          <w:color w:val="auto"/>
        </w:rPr>
      </w:pPr>
      <w:r>
        <w:rPr>
          <w:rFonts w:ascii="Arial" w:cs="Arial" w:eastAsia="Arial" w:hAnsi="Arial"/>
          <w:sz w:val="17"/>
          <w:szCs w:val="17"/>
          <w:color w:val="auto"/>
        </w:rPr>
        <w:t>In February 2017, we issued in a private offering $115 million aggregate principal amount convertible notes due August 2022.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our common stock or a combination of cash and shares of our common stock, at our election, at an initial conversion rate of 46.8516 shares of common stock per $1,000 principal amount of 2022 Convertible Notes, which is equivalent to an initial conversion price of approximately $21.34 per share of our common stock, subject to customary anti-dilution adjustments. As of June 30, 2018, the estimated adjusted conversion price was approximately $21.05 per share of common stock. The sale of the 2022 Convertible Notes generated net proceeds of approximately $111.2 million. We used the net proceeds of the offering to pay down debt under the Revolving Credit Facility. In connection with the offering of 2022 Convertible Notes, we have entered into an interest rate swap to continue to align the interest rates of our liabilities with our investment portfolio, which consists of predominately floating rate loans. As a result of the swaps, our effective interest rate on the original issuance of 2022 Convertible Notes is three-month LIBOR plus 2.37%.</w:t>
      </w:r>
    </w:p>
    <w:p>
      <w:pPr>
        <w:spacing w:after="0" w:line="183"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In June 2018, we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our 2022 Convertible Notes issued in February 2017. In connection with the reopening of the 2022 Convertible Notes, we entered into interest rate swaps to continue to align the interest rates of its liabilities with its investment portfolio, which consists of predominantly floating rate loans. As a result of the additional swaps, our effective interest rate on the additional 2022 Convertible Notes is approximately three-month LIBOR plus 1.60%. See Note 5 for further information related to our interest rate swaps.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9" w:name="page60"/>
    <w:bookmarkEnd w:id="59"/>
    <w:p>
      <w:pPr>
        <w:ind w:firstLine="259"/>
        <w:spacing w:after="0" w:line="289" w:lineRule="auto"/>
        <w:rPr>
          <w:sz w:val="20"/>
          <w:szCs w:val="20"/>
          <w:color w:val="auto"/>
        </w:rPr>
      </w:pPr>
      <w:r>
        <w:rPr>
          <w:rFonts w:ascii="Arial" w:cs="Arial" w:eastAsia="Arial" w:hAnsi="Arial"/>
          <w:sz w:val="16"/>
          <w:szCs w:val="16"/>
          <w:color w:val="auto"/>
        </w:rPr>
        <w:t>Holders may convert their 2022 Convertible Notes at their option at any time prior to February 1, 2022 only under the following circumstances: (1) 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The Convertible Notes are our unsecured obligations and rank senior in right of payment to our future indebtedness that is expressly subordinated in right of payment to the Convertible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As of June 30, 2018, the principal amount of the Convertible Notes exceeded the value of the underlying shares multiplied by the per share closing price of our common stock.</w:t>
      </w:r>
    </w:p>
    <w:p>
      <w:pPr>
        <w:spacing w:after="0" w:line="170"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The indentures governing the Convertible Notes contain certain covenants, including covenants requiring us to comply with the asset coverage ratio requirement under the 1940 Act and to provide financial information to the holders of the Convertible Notes under certain circumstances. These covenants are subject to important limitations and exceptions that are described in the indentures governing the Convertible Notes. As of June 30, 2018, we were in compliance with the terms of each of the indentures governing the Convertible Notes.</w:t>
      </w:r>
    </w:p>
    <w:p>
      <w:pPr>
        <w:spacing w:after="0" w:line="187" w:lineRule="exact"/>
        <w:rPr>
          <w:sz w:val="20"/>
          <w:szCs w:val="20"/>
          <w:color w:val="auto"/>
        </w:rPr>
      </w:pPr>
    </w:p>
    <w:p>
      <w:pPr>
        <w:ind w:right="40" w:firstLine="259"/>
        <w:spacing w:after="0" w:line="270" w:lineRule="auto"/>
        <w:rPr>
          <w:sz w:val="20"/>
          <w:szCs w:val="20"/>
          <w:color w:val="auto"/>
        </w:rPr>
      </w:pPr>
      <w:r>
        <w:rPr>
          <w:rFonts w:ascii="Arial" w:cs="Arial" w:eastAsia="Arial" w:hAnsi="Arial"/>
          <w:sz w:val="17"/>
          <w:szCs w:val="17"/>
          <w:color w:val="auto"/>
        </w:rPr>
        <w:t>The Convertible Notes are accounted for in accordance with Accounting Standards Codification (“ASC”) 470-20. Upon conversion of any of the Convertible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indentures governing the Convertible Notes. We have determined that the embedded conversion options in each series of Convertible Notes are not required to be separately accounted for as a derivative under U.S. GAAP. In accounting for the Convertible Notes, we estimated at the time of issuance separate debt and equity components of each series of Convertible Notes. An original issue discount equal to the equity components of each series of Convertible Notes was recorded in “additional paid-in capital” in the accompanying consolidated balance sheet. Additionally, the issuance costs associated with the Convertible Notes were allocated to the debt and equity components in proportion to the allocation of the proceeds and accounted for as deferred financing costs and equity issuance costs, respectively.</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240" w:firstLine="259"/>
        <w:spacing w:after="0" w:line="257" w:lineRule="auto"/>
        <w:rPr>
          <w:sz w:val="20"/>
          <w:szCs w:val="20"/>
          <w:color w:val="auto"/>
        </w:rPr>
      </w:pPr>
      <w:r>
        <w:rPr>
          <w:rFonts w:ascii="Arial" w:cs="Arial" w:eastAsia="Arial" w:hAnsi="Arial"/>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88"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In connection with the 2023 Notes offering, we entered into an interest rate swap to continue to align the interest rates of our liabilities with our investment portfolio, which consists of predominately floating rate loans. As a result of the swap, our effective interest rate on the 2023 Notes is three-month LIBOR plus 1.99%.</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incorporated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June 30, 2018 and December 31, 2017, we had the following commitments to fund investments in current portfolio companies:</w:t>
      </w:r>
    </w:p>
    <w:p>
      <w:pPr>
        <w:spacing w:after="0" w:line="198" w:lineRule="exact"/>
        <w:rPr>
          <w:sz w:val="20"/>
          <w:szCs w:val="20"/>
          <w:color w:val="auto"/>
        </w:rPr>
      </w:pPr>
    </w:p>
    <w:tbl>
      <w:tblPr>
        <w:tblLayout w:type="fixed"/>
        <w:tblInd w:w="1340" w:type="dxa"/>
        <w:tblCellMar>
          <w:top w:w="0" w:type="dxa"/>
          <w:left w:w="0" w:type="dxa"/>
          <w:bottom w:w="0" w:type="dxa"/>
          <w:right w:w="0" w:type="dxa"/>
        </w:tblCellMar>
      </w:tblPr>
      <w:tr>
        <w:trPr>
          <w:trHeight w:val="171"/>
        </w:trPr>
        <w:tc>
          <w:tcPr>
            <w:tcW w:w="5940" w:type="dxa"/>
            <w:vAlign w:val="bottom"/>
          </w:tcPr>
          <w:p>
            <w:pPr>
              <w:spacing w:after="0"/>
              <w:rPr>
                <w:sz w:val="20"/>
                <w:szCs w:val="20"/>
                <w:color w:val="auto"/>
              </w:rPr>
            </w:pPr>
            <w:r>
              <w:rPr>
                <w:rFonts w:ascii="Arial" w:cs="Arial" w:eastAsia="Arial" w:hAnsi="Arial"/>
                <w:sz w:val="14"/>
                <w:szCs w:val="14"/>
                <w:color w:val="auto"/>
              </w:rPr>
              <w:t>($ in millions)</w:t>
            </w:r>
          </w:p>
        </w:tc>
        <w:tc>
          <w:tcPr>
            <w:tcW w:w="1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2018</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2017</w:t>
            </w: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Bazaarvoice, Inc. - Revolver</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Ferrellgas, L.P. - Revolver</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Frontline Technologies Group, LLC - Delayed Draw</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Delayed Draw</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G Treasury SS, LLC - Revolver</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Helix Health, Ltd. - Revolver</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Illuminate Education, Inc. - Revolver</w:t>
            </w:r>
          </w:p>
        </w:tc>
        <w:tc>
          <w:tcPr>
            <w:tcW w:w="14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Industrial Physics, LLC - Revolver</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IRGSE Holding Corp. - Revolver</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Lithium Technologies, LLC - Revolver</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Leaf US Holdings, Inc. - Revolver</w:t>
            </w:r>
          </w:p>
        </w:tc>
        <w:tc>
          <w:tcPr>
            <w:tcW w:w="14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Motus, LLC - Revolver</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Government Brands, LLC - Revolver</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Marketo, Inc. - Revolver</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Northern Oil and Gas, Inc. - Delayed Draw</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PageUp People Limited - Delayed Draw</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PayLease, LLC - Revolver</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PaySimple, Inc. - Revolver</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Rex Energy Corporation DIP - Delayed Draw</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Riskonnect, Inc. - Revolver</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ScentAir Technologies, Inc. - Revolver</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Delayed Draw</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r>
      <w:tr>
        <w:trPr>
          <w:trHeight w:val="230"/>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Sovos Compliance, LLC - Revolver</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FF0FC"/>
            </w:tcBorders>
          </w:tcPr>
          <w:p>
            <w:pPr>
              <w:spacing w:after="0"/>
              <w:rPr>
                <w:sz w:val="19"/>
                <w:szCs w:val="19"/>
                <w:color w:val="auto"/>
              </w:rPr>
            </w:pPr>
          </w:p>
        </w:tc>
      </w:tr>
      <w:tr>
        <w:trPr>
          <w:trHeight w:val="223"/>
        </w:trPr>
        <w:tc>
          <w:tcPr>
            <w:tcW w:w="59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Portfolio Company Commitments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As of June 30, 2018 and December 31, 2017, we did not have any unfunded commitments to fund new investments to new borrowers that were not current portfolio companies as of such date.</w:t>
      </w:r>
    </w:p>
    <w:p>
      <w:pPr>
        <w:spacing w:after="0" w:line="170"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June 30, 2018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left="637"/>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200" w:type="dxa"/>
            <w:vAlign w:val="bottom"/>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1-3 years</w:t>
            </w:r>
          </w:p>
        </w:tc>
        <w:tc>
          <w:tcPr>
            <w:tcW w:w="160" w:type="dxa"/>
            <w:vAlign w:val="bottom"/>
          </w:tcPr>
          <w:p>
            <w:pPr>
              <w:spacing w:after="0"/>
              <w:rPr>
                <w:sz w:val="14"/>
                <w:szCs w:val="14"/>
                <w:color w:val="auto"/>
              </w:rPr>
            </w:pPr>
          </w:p>
        </w:tc>
        <w:tc>
          <w:tcPr>
            <w:tcW w:w="880" w:type="dxa"/>
            <w:vAlign w:val="bottom"/>
          </w:tcPr>
          <w:p>
            <w:pPr>
              <w:jc w:val="right"/>
              <w:ind w:right="153"/>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2019 Convertible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Notes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2023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140" w:hanging="255"/>
        <w:spacing w:after="0" w:line="277"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tax-exempt interest income over certain disallowed deductions) for such taxable year.</w:t>
      </w:r>
    </w:p>
    <w:p>
      <w:pPr>
        <w:spacing w:after="0" w:line="24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440" w:firstLine="259"/>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100" w:firstLine="259"/>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16" w:lineRule="exact"/>
        <w:rPr>
          <w:sz w:val="20"/>
          <w:szCs w:val="20"/>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140" w:hanging="255"/>
        <w:spacing w:after="0" w:line="277"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2" w:name="page63"/>
    <w:bookmarkEnd w:id="62"/>
    <w:p>
      <w:pPr>
        <w:ind w:right="220" w:firstLine="259"/>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5"/>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20" w:right="120" w:hanging="255"/>
        <w:spacing w:after="0" w:line="26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40" w:firstLine="259"/>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2017, filed with the SEC on February 21, 2018, and elsewhere in our filings with the SEC.</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259"/>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720" w:firstLine="259"/>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As of June 30, 2018, 100.0% of our debt investments based on fair value in our portfolio bore interest at floating rates (when including investment specific hedges), with 94.1% of these subject to interest rate floors. Our credit facilities also bear interest at floating rates and in connection with our Convertible Notes and 2023 Notes, which bear interest at a fixed rate, we entered into fixed-to-floating interest rate swaps in order to continue to align the nature of interest rates of our liabilities with the nature of interest rates of our investment portfolio.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right="60" w:firstLine="259"/>
        <w:spacing w:after="0" w:line="264" w:lineRule="auto"/>
        <w:rPr>
          <w:sz w:val="20"/>
          <w:szCs w:val="20"/>
          <w:color w:val="auto"/>
        </w:rPr>
      </w:pPr>
      <w:r>
        <w:rPr>
          <w:rFonts w:ascii="Arial" w:cs="Arial" w:eastAsia="Arial" w:hAnsi="Arial"/>
          <w:sz w:val="18"/>
          <w:szCs w:val="18"/>
          <w:color w:val="auto"/>
        </w:rPr>
        <w:t>Assuming that our consolidated balance sheet as of June 30, 2018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12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Interest Income</w:t>
            </w:r>
          </w:p>
        </w:tc>
        <w:tc>
          <w:tcPr>
            <w:tcW w:w="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Net Income</w:t>
            </w: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Up 200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Down 25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bl>
    <w:p>
      <w:pPr>
        <w:spacing w:after="0" w:line="241"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120" w:firstLine="259"/>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As of the end of the period covered by this report, we carried out an evaluation, under the supervision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3"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275"/>
        <w:spacing w:after="0" w:line="302" w:lineRule="auto"/>
        <w:rPr>
          <w:sz w:val="20"/>
          <w:szCs w:val="20"/>
          <w:color w:val="auto"/>
        </w:rPr>
      </w:pPr>
      <w:r>
        <w:rPr>
          <w:rFonts w:ascii="Arial" w:cs="Arial" w:eastAsia="Arial" w:hAnsi="Arial"/>
          <w:sz w:val="16"/>
          <w:szCs w:val="16"/>
          <w:color w:val="auto"/>
        </w:rPr>
        <w:t>In addition to the other information set forth in this report, you should carefully consider the risk factors discussed in Part I, “Item 1A. Risk Factors” in our Annual Report on Form 10-K for the fiscal year ended December 31, 2017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allows us to incur additional leverage.</w:t>
      </w:r>
    </w:p>
    <w:p>
      <w:pPr>
        <w:spacing w:after="0" w:line="225" w:lineRule="exact"/>
        <w:rPr>
          <w:sz w:val="20"/>
          <w:szCs w:val="20"/>
          <w:color w:val="auto"/>
        </w:rPr>
      </w:pPr>
    </w:p>
    <w:p>
      <w:pPr>
        <w:ind w:right="140" w:firstLine="259"/>
        <w:spacing w:after="0" w:line="302" w:lineRule="auto"/>
        <w:rPr>
          <w:sz w:val="20"/>
          <w:szCs w:val="20"/>
          <w:color w:val="auto"/>
        </w:rPr>
      </w:pPr>
      <w:r>
        <w:rPr>
          <w:rFonts w:ascii="Arial" w:cs="Arial" w:eastAsia="Arial" w:hAnsi="Arial"/>
          <w:sz w:val="16"/>
          <w:szCs w:val="16"/>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we have the ability to elect to become subject to a lower asset coverage requirement of 150%, subject to our receipt of the requisite board or stockholder approvals under the SBCAA and satisfaction of certain other conditions.</w:t>
      </w:r>
    </w:p>
    <w:p>
      <w:pPr>
        <w:spacing w:after="0" w:line="154" w:lineRule="exact"/>
        <w:rPr>
          <w:sz w:val="20"/>
          <w:szCs w:val="20"/>
          <w:color w:val="auto"/>
        </w:rPr>
      </w:pPr>
    </w:p>
    <w:p>
      <w:pPr>
        <w:ind w:right="60" w:firstLine="259"/>
        <w:spacing w:after="0" w:line="276" w:lineRule="auto"/>
        <w:rPr>
          <w:sz w:val="20"/>
          <w:szCs w:val="20"/>
          <w:color w:val="auto"/>
        </w:rPr>
      </w:pPr>
      <w:r>
        <w:rPr>
          <w:rFonts w:ascii="Arial" w:cs="Arial" w:eastAsia="Arial" w:hAnsi="Arial"/>
          <w:sz w:val="17"/>
          <w:szCs w:val="17"/>
          <w:color w:val="auto"/>
        </w:rPr>
        <w:t>Specifically, we may receive approval to increase our amount of available leverage under the 1940 Act either from stockholders holding a majority of the votes cast at a meeting at which a quorum is present, or from our board, including a majority of our board members who are not "interested persons" within the meaning of the 1940 Act. If we receive board approval to reduce our asset coverage requirement, though, we must wait one year from the date of such approval prior to its effectiveness. In both cases, we would be required to make certain disclosures on our website and in SEC filings regarding, among other things, the receipt of approval to increase our leverage, our leverage capacity and usage, and risks related to leverage.</w:t>
      </w:r>
    </w:p>
    <w:p>
      <w:pPr>
        <w:spacing w:after="0" w:line="173"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On August 1, 2018, the Board, including a “required majority” thereof (as defined in Section 57(o) of the 1940 Act), approved the application of the minimum asset coverage ratio of 150% to us, as set forth in Section 61(a)(2) of the 1940 Act, as amended by the SBCAA. As a result and subject to certain additional disclosure requirements, our minimum asset coverage ratio will be changed from 200% to 150% for purposes of the 1940 Act leverage limitation as of August 1, 2019. In other words, pursuant to Section 61(a) of the 1940 Act, as amended by the SBCAA, we will be permitted to potentially increase our debt-to-equity ratio from a maximum of 1:1 to a maximum of 2:1.</w:t>
      </w:r>
    </w:p>
    <w:p>
      <w:pPr>
        <w:spacing w:after="0" w:line="188" w:lineRule="exact"/>
        <w:rPr>
          <w:sz w:val="20"/>
          <w:szCs w:val="20"/>
          <w:color w:val="auto"/>
        </w:rPr>
      </w:pPr>
    </w:p>
    <w:p>
      <w:pPr>
        <w:ind w:right="60" w:firstLine="259"/>
        <w:spacing w:after="0" w:line="302" w:lineRule="auto"/>
        <w:rPr>
          <w:sz w:val="20"/>
          <w:szCs w:val="20"/>
          <w:color w:val="auto"/>
        </w:rPr>
      </w:pPr>
      <w:r>
        <w:rPr>
          <w:rFonts w:ascii="Arial" w:cs="Arial" w:eastAsia="Arial" w:hAnsi="Arial"/>
          <w:sz w:val="16"/>
          <w:szCs w:val="16"/>
          <w:color w:val="auto"/>
        </w:rPr>
        <w:t>In addition, on the same day, the Board also authorized us to submit to our stockholders a proposal to approve the application of the lower minimum asset coverage ratio of 150% to us, to take place at a special meeting of stockholders, so that we may increase our leverage limitation under the 1940 Act sooner than August 1, 2019. The date of the special meeting has not yet been determined. If the proposal is approved by our stockholders at the special meeting, the application of the 150% minimum asset coverage ratio would be effective as of the day after the special meeting.</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a result, you may face increased investment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our credit facilities may contractually limit our ability to incur additional indebtedness.</w:t>
      </w:r>
    </w:p>
    <w:p>
      <w:pPr>
        <w:spacing w:after="0" w:line="225"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Even though our Board has approved the application of the minimum asset coverage ratio of 150% to be effective on August 1, 2019, (or, if we receive approval of our stockholders, to be effective the day after a special meeting to be held for that purpose), contractual leverage limitations under our existing credit facilities or future borrowings may limit our ability to incur additional indebtedness. Currently, our Revolving Credit Facility limits us to a minimum asset coverage ratio of 200%. We cannot assure you that we will be able to negotiate a change to our credit facilities to allow us to incur additional leverage or that any such an amendment will be available to us on favorable terms. An inability on our part to amend the contractual asset coverage limitation and access additional leverage could limit our ability to take advantage of the benefits related to our ability to incur additional leverage and could decrease our earnings, if any, which would have an adverse effect on our business, financial condition and results of operations and the value of our securities.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5" w:name="page66"/>
    <w:bookmarkEnd w:id="65"/>
    <w:p>
      <w:pPr>
        <w:jc w:val="both"/>
        <w:ind w:right="620" w:firstLine="259"/>
        <w:spacing w:after="0" w:line="312" w:lineRule="auto"/>
        <w:rPr>
          <w:sz w:val="20"/>
          <w:szCs w:val="20"/>
          <w:color w:val="auto"/>
        </w:rPr>
      </w:pPr>
      <w:r>
        <w:rPr>
          <w:rFonts w:ascii="Arial" w:cs="Arial" w:eastAsia="Arial" w:hAnsi="Arial"/>
          <w:sz w:val="16"/>
          <w:szCs w:val="16"/>
          <w:i w:val="1"/>
          <w:iCs w:val="1"/>
          <w:color w:val="auto"/>
        </w:rPr>
        <w:t>In addition, pursuant to Section 61(a)(2)(C)(ii) of the 1940 Act, the principal risk factors associated with our senior securities are set forth below. However, since we already use leverage in optimizing our investment portfolio, the principal risk factors associated with our senior securities do not represent material changes to the risk factors previously disclosed in our Annual Report on Form 10-K for the fiscal year ended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225" w:lineRule="exact"/>
        <w:rPr>
          <w:sz w:val="20"/>
          <w:szCs w:val="20"/>
          <w:color w:val="auto"/>
        </w:rPr>
      </w:pPr>
    </w:p>
    <w:p>
      <w:pPr>
        <w:ind w:right="360" w:firstLine="259"/>
        <w:spacing w:after="0" w:line="259" w:lineRule="auto"/>
        <w:rPr>
          <w:sz w:val="20"/>
          <w:szCs w:val="20"/>
          <w:color w:val="auto"/>
        </w:rPr>
      </w:pPr>
      <w:r>
        <w:rPr>
          <w:rFonts w:ascii="Arial" w:cs="Arial" w:eastAsia="Arial" w:hAnsi="Arial"/>
          <w:sz w:val="18"/>
          <w:szCs w:val="18"/>
          <w:color w:val="auto"/>
        </w:rPr>
        <w:t>The 1940 Act imposes numerous constraints on the operations of BDCs.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81"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or, effective August 1, 2019 (unless our stockholders approve the application of the 150% minimum asset coverage ratio to us at an earlier special meeting, in which case effective as of the first day after the special meeting), 150%.</w:t>
      </w:r>
    </w:p>
    <w:p>
      <w:pPr>
        <w:spacing w:after="0" w:line="193"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79"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right="40" w:firstLine="259"/>
        <w:spacing w:after="0" w:line="286"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6" w:name="page67"/>
    <w:bookmarkEnd w:id="66"/>
    <w:p>
      <w:pPr>
        <w:ind w:firstLine="259"/>
        <w:spacing w:after="0" w:line="289"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225" w:lineRule="exact"/>
        <w:rPr>
          <w:sz w:val="20"/>
          <w:szCs w:val="20"/>
          <w:color w:val="auto"/>
        </w:rPr>
      </w:pPr>
    </w:p>
    <w:p>
      <w:pPr>
        <w:ind w:right="180" w:firstLine="259"/>
        <w:spacing w:after="0" w:line="289"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67"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Our credit facilities and indentures governing our indebtedness also impose financial and operating covenants that restrict our business activities, remedies on default and similar matters. As of June 30, 2018,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67" w:lineRule="exact"/>
        <w:rPr>
          <w:sz w:val="20"/>
          <w:szCs w:val="20"/>
          <w:color w:val="auto"/>
        </w:rPr>
      </w:pPr>
    </w:p>
    <w:p>
      <w:pPr>
        <w:ind w:right="560" w:firstLine="259"/>
        <w:spacing w:after="0" w:line="308" w:lineRule="auto"/>
        <w:rPr>
          <w:sz w:val="20"/>
          <w:szCs w:val="20"/>
          <w:color w:val="auto"/>
        </w:rPr>
      </w:pPr>
      <w:r>
        <w:rPr>
          <w:rFonts w:ascii="Arial" w:cs="Arial" w:eastAsia="Arial" w:hAnsi="Arial"/>
          <w:sz w:val="17"/>
          <w:szCs w:val="17"/>
          <w:color w:val="auto"/>
        </w:rPr>
        <w:t>Lastly, the SEC has issued a proposed rule, Rule 18f-4, that if adopted would potentially constrain our ability to use leverage if we have substantial exposure to swaps and other derivatives, or have significant outstanding financial commitments to our portfolio companies.</w:t>
      </w:r>
    </w:p>
    <w:p>
      <w:pPr>
        <w:spacing w:after="0" w:line="147" w:lineRule="exact"/>
        <w:rPr>
          <w:sz w:val="20"/>
          <w:szCs w:val="20"/>
          <w:color w:val="auto"/>
        </w:rPr>
      </w:pPr>
    </w:p>
    <w:p>
      <w:pPr>
        <w:ind w:right="100" w:firstLine="259"/>
        <w:spacing w:after="0" w:line="276" w:lineRule="auto"/>
        <w:rPr>
          <w:sz w:val="20"/>
          <w:szCs w:val="20"/>
          <w:color w:val="auto"/>
        </w:rPr>
      </w:pPr>
      <w:r>
        <w:rPr>
          <w:rFonts w:ascii="Arial" w:cs="Arial" w:eastAsia="Arial" w:hAnsi="Arial"/>
          <w:sz w:val="17"/>
          <w:szCs w:val="17"/>
          <w:color w:val="auto"/>
        </w:rPr>
        <w:t>As of June 30, 2018, we had $876.9 million of outstanding indebtedness, which had an annualized interest cost of 4.1% under the terms of our debt, excluding fees (such as fees on undrawn amounts and amortization of upfront fees) and giving effect to the swap-adjusted interest rates on our Convertible Notes and 2023 Notes. As of June 30, 2018, the interest rate on the 2019 Convertible Notes, as adjusted to give effect to the interest rate swaps, was three-month London Interbank Offered Rate, or LIBOR, plus 2.86% and the interest rate on the 2022 Convertible Notes was three-month LIBOR plus 2.11% (on a weighted-average basis) and the interest rate on the 2023 Notes was three-month LIBOR plus 1.99%.</w:t>
      </w:r>
    </w:p>
    <w:p>
      <w:pPr>
        <w:spacing w:after="0" w:line="173" w:lineRule="exact"/>
        <w:rPr>
          <w:sz w:val="20"/>
          <w:szCs w:val="20"/>
          <w:color w:val="auto"/>
        </w:rPr>
      </w:pPr>
    </w:p>
    <w:p>
      <w:pPr>
        <w:ind w:right="320" w:firstLine="259"/>
        <w:spacing w:after="0" w:line="264"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1.8%.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1" w:lineRule="exact"/>
        <w:rPr>
          <w:sz w:val="20"/>
          <w:szCs w:val="20"/>
          <w:color w:val="auto"/>
        </w:rPr>
      </w:pPr>
    </w:p>
    <w:p>
      <w:pPr>
        <w:ind w:right="220" w:firstLine="259"/>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0" w:type="dxa"/>
            <w:vAlign w:val="bottom"/>
            <w:gridSpan w:val="9"/>
          </w:tcPr>
          <w:p>
            <w:pPr>
              <w:ind w:left="2060"/>
              <w:spacing w:after="0"/>
              <w:rPr>
                <w:sz w:val="20"/>
                <w:szCs w:val="20"/>
                <w:color w:val="auto"/>
              </w:rPr>
            </w:pPr>
            <w:r>
              <w:rPr>
                <w:rFonts w:ascii="Arial" w:cs="Arial" w:eastAsia="Arial" w:hAnsi="Arial"/>
                <w:sz w:val="18"/>
                <w:szCs w:val="18"/>
                <w:b w:val="1"/>
                <w:bCs w:val="1"/>
                <w:color w:val="auto"/>
                <w:w w:val="90"/>
              </w:rPr>
              <w:t>Effects of Leverage Based on Actual Amount of Borrowings Incurred by us as of June 30, 2018</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84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60" w:type="dxa"/>
            <w:vAlign w:val="bottom"/>
            <w:gridSpan w:val="8"/>
          </w:tcPr>
          <w:p>
            <w:pPr>
              <w:ind w:left="180"/>
              <w:spacing w:after="0"/>
              <w:rPr>
                <w:sz w:val="20"/>
                <w:szCs w:val="20"/>
                <w:color w:val="auto"/>
              </w:rPr>
            </w:pPr>
            <w:r>
              <w:rPr>
                <w:rFonts w:ascii="Arial" w:cs="Arial" w:eastAsia="Arial" w:hAnsi="Arial"/>
                <w:sz w:val="18"/>
                <w:szCs w:val="18"/>
                <w:b w:val="1"/>
                <w:bCs w:val="1"/>
                <w:color w:val="auto"/>
              </w:rPr>
              <w:t>Assumed Return on Our Portfolio</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4"/>
          </w:tcPr>
          <w:p>
            <w:pPr>
              <w:spacing w:after="0"/>
              <w:rPr>
                <w:sz w:val="20"/>
                <w:szCs w:val="20"/>
                <w:color w:val="auto"/>
              </w:rPr>
            </w:pPr>
            <w:r>
              <w:rPr>
                <w:rFonts w:ascii="Arial" w:cs="Arial" w:eastAsia="Arial" w:hAnsi="Arial"/>
                <w:sz w:val="18"/>
                <w:szCs w:val="18"/>
                <w:b w:val="1"/>
                <w:bCs w:val="1"/>
                <w:color w:val="auto"/>
              </w:rPr>
              <w:t>(net of expenses)</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-10%</w:t>
            </w:r>
          </w:p>
        </w:tc>
        <w:tc>
          <w:tcPr>
            <w:tcW w:w="520" w:type="dxa"/>
            <w:vAlign w:val="bottom"/>
          </w:tcPr>
          <w:p>
            <w:pPr>
              <w:spacing w:after="0"/>
              <w:rPr>
                <w:sz w:val="19"/>
                <w:szCs w:val="19"/>
                <w:color w:val="auto"/>
              </w:rPr>
            </w:pPr>
          </w:p>
        </w:tc>
        <w:tc>
          <w:tcPr>
            <w:tcW w:w="700" w:type="dxa"/>
            <w:vAlign w:val="bottom"/>
          </w:tcPr>
          <w:p>
            <w:pPr>
              <w:ind w:left="18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9"/>
                <w:szCs w:val="19"/>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b w:val="1"/>
                <w:bCs w:val="1"/>
                <w:color w:val="auto"/>
              </w:rPr>
              <w:t>5%</w:t>
            </w:r>
          </w:p>
        </w:tc>
        <w:tc>
          <w:tcPr>
            <w:tcW w:w="54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56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Corresponding return to stockholder</w:t>
            </w:r>
            <w:r>
              <w:rPr>
                <w:rFonts w:ascii="Arial" w:cs="Arial" w:eastAsia="Arial" w:hAnsi="Arial"/>
                <w:sz w:val="15"/>
                <w:szCs w:val="15"/>
                <w:color w:val="auto"/>
              </w:rPr>
              <w:t>(1)</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18" w:lineRule="exact"/>
        <w:rPr>
          <w:sz w:val="20"/>
          <w:szCs w:val="20"/>
          <w:color w:val="auto"/>
        </w:rPr>
      </w:pPr>
    </w:p>
    <w:p>
      <w:pPr>
        <w:ind w:left="460" w:right="760" w:hanging="452"/>
        <w:spacing w:after="0" w:line="277"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Assumes, as of June 30, 2018, (i) $2.0 billion in total assets, (ii) $876.9 million in outstanding indebtedness, (iii) $1.1 billion in net assets and (iv) annualized interest cost of 4.1%, under the terms of our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225"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170" w:lineRule="exact"/>
        <w:rPr>
          <w:sz w:val="20"/>
          <w:szCs w:val="20"/>
          <w:color w:val="auto"/>
        </w:rPr>
      </w:pPr>
    </w:p>
    <w:p>
      <w:pPr>
        <w:ind w:right="180" w:firstLine="259"/>
        <w:spacing w:after="0" w:line="255" w:lineRule="auto"/>
        <w:rPr>
          <w:sz w:val="20"/>
          <w:szCs w:val="20"/>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93" w:lineRule="exact"/>
        <w:rPr>
          <w:sz w:val="20"/>
          <w:szCs w:val="20"/>
          <w:color w:val="auto"/>
        </w:rPr>
      </w:pPr>
    </w:p>
    <w:p>
      <w:pPr>
        <w:ind w:right="180" w:firstLine="259"/>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ind w:right="160" w:firstLine="259"/>
        <w:spacing w:after="0" w:line="279" w:lineRule="auto"/>
        <w:rPr>
          <w:sz w:val="20"/>
          <w:szCs w:val="20"/>
          <w:color w:val="auto"/>
        </w:rPr>
      </w:pPr>
      <w:r>
        <w:rPr>
          <w:rFonts w:ascii="Arial" w:cs="Arial" w:eastAsia="Arial" w:hAnsi="Arial"/>
          <w:sz w:val="17"/>
          <w:szCs w:val="17"/>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71" w:lineRule="exact"/>
        <w:rPr>
          <w:sz w:val="20"/>
          <w:szCs w:val="20"/>
          <w:color w:val="auto"/>
        </w:rPr>
      </w:pPr>
    </w:p>
    <w:p>
      <w:pPr>
        <w:ind w:right="160" w:firstLine="259"/>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 Exhibits.</w:t>
      </w:r>
    </w:p>
    <w:p>
      <w:pPr>
        <w:spacing w:after="0" w:line="229" w:lineRule="exact"/>
        <w:rPr>
          <w:sz w:val="20"/>
          <w:szCs w:val="20"/>
          <w:color w:val="auto"/>
        </w:rPr>
      </w:pPr>
    </w:p>
    <w:p>
      <w:pPr>
        <w:ind w:left="580" w:right="400" w:hanging="449"/>
        <w:spacing w:after="0" w:line="308" w:lineRule="auto"/>
        <w:tabs>
          <w:tab w:leader="none" w:pos="560" w:val="left"/>
        </w:tabs>
        <w:rPr>
          <w:rFonts w:ascii="Arial" w:cs="Arial" w:eastAsia="Arial" w:hAnsi="Arial"/>
          <w:sz w:val="17"/>
          <w:szCs w:val="17"/>
          <w:u w:val="single" w:color="auto"/>
          <w:color w:val="0000EE"/>
        </w:rPr>
      </w:pPr>
      <w:r>
        <w:rPr>
          <w:rFonts w:ascii="Arial" w:cs="Arial" w:eastAsia="Arial" w:hAnsi="Arial"/>
          <w:sz w:val="18"/>
          <w:szCs w:val="18"/>
          <w:color w:val="auto"/>
        </w:rPr>
        <w:t>4.1</w:t>
      </w:r>
      <w:r>
        <w:rPr>
          <w:sz w:val="20"/>
          <w:szCs w:val="20"/>
          <w:color w:val="auto"/>
        </w:rPr>
        <w:tab/>
      </w:r>
      <w:hyperlink r:id="rId99">
        <w:r>
          <w:rPr>
            <w:rFonts w:ascii="Arial" w:cs="Arial" w:eastAsia="Arial" w:hAnsi="Arial"/>
            <w:sz w:val="17"/>
            <w:szCs w:val="17"/>
            <w:u w:val="single" w:color="auto"/>
            <w:color w:val="0000EE"/>
          </w:rPr>
          <w:t>First Supplemental Indenture, dated as of June 19, 2018, between TPG Specialty Lending, Inc. and Wells Fargo Bank, National Association, as</w:t>
        </w:r>
      </w:hyperlink>
      <w:r>
        <w:rPr>
          <w:rFonts w:ascii="Arial" w:cs="Arial" w:eastAsia="Arial" w:hAnsi="Arial"/>
          <w:sz w:val="17"/>
          <w:szCs w:val="17"/>
          <w:u w:val="single" w:color="auto"/>
          <w:color w:val="0000EE"/>
        </w:rPr>
        <w:t xml:space="preserve"> </w:t>
      </w:r>
      <w:hyperlink r:id="rId99">
        <w:r>
          <w:rPr>
            <w:rFonts w:ascii="Arial" w:cs="Arial" w:eastAsia="Arial" w:hAnsi="Arial"/>
            <w:sz w:val="17"/>
            <w:szCs w:val="17"/>
            <w:u w:val="single" w:color="auto"/>
            <w:color w:val="0000EE"/>
          </w:rPr>
          <w:t>Trustee (incorporated by reference to Exhibit 4.1 to the Company's Current Report on Form 8-K filed on June 19, 2018)</w:t>
        </w:r>
      </w:hyperlink>
    </w:p>
    <w:p>
      <w:pPr>
        <w:spacing w:after="0" w:line="52" w:lineRule="exact"/>
        <w:rPr>
          <w:sz w:val="20"/>
          <w:szCs w:val="20"/>
          <w:color w:val="auto"/>
        </w:rPr>
      </w:pPr>
    </w:p>
    <w:p>
      <w:pPr>
        <w:ind w:left="10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71">
        <w:r>
          <w:rPr>
            <w:rFonts w:ascii="Arial" w:cs="Arial" w:eastAsia="Arial" w:hAnsi="Arial"/>
            <w:sz w:val="16"/>
            <w:szCs w:val="16"/>
            <w:u w:val="single" w:color="auto"/>
            <w:color w:val="0000EE"/>
          </w:rPr>
          <w:t>Certification of Chief Executive Officer Pursuant to 18 U.S.C. Section 1350, as Adopted Pursuant to Section 302 of the Sarbanes-Oxley Act of 2002</w:t>
        </w:r>
      </w:hyperlink>
    </w:p>
    <w:p>
      <w:pPr>
        <w:spacing w:after="0" w:line="131" w:lineRule="exact"/>
        <w:rPr>
          <w:sz w:val="20"/>
          <w:szCs w:val="20"/>
          <w:color w:val="auto"/>
        </w:rPr>
      </w:pPr>
    </w:p>
    <w:p>
      <w:pPr>
        <w:ind w:left="10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72">
        <w:r>
          <w:rPr>
            <w:rFonts w:ascii="Arial" w:cs="Arial" w:eastAsia="Arial" w:hAnsi="Arial"/>
            <w:sz w:val="16"/>
            <w:szCs w:val="16"/>
            <w:u w:val="single" w:color="auto"/>
            <w:color w:val="0000EE"/>
          </w:rPr>
          <w:t>Certification of Chief Financial Officer Pursuant to 18 U.S.C. Section 1350, as Adopted Pursuant to Section 302 of the Sarbanes-Oxley Act of 2002</w:t>
        </w:r>
      </w:hyperlink>
    </w:p>
    <w:p>
      <w:pPr>
        <w:spacing w:after="0" w:line="131" w:lineRule="exact"/>
        <w:rPr>
          <w:sz w:val="20"/>
          <w:szCs w:val="20"/>
          <w:color w:val="auto"/>
        </w:rPr>
      </w:pPr>
    </w:p>
    <w:p>
      <w:pPr>
        <w:ind w:left="580" w:hanging="486"/>
        <w:spacing w:after="0"/>
        <w:tabs>
          <w:tab w:leader="none" w:pos="580" w:val="left"/>
        </w:tabs>
        <w:numPr>
          <w:ilvl w:val="0"/>
          <w:numId w:val="50"/>
        </w:numPr>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Certification of CEO and CFO Pursuant to 18 U.S.C. Section 1350, as Adopted Pursuant to Section 906 of the Sarbanes-Oxley Act of 2002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840" w:type="dxa"/>
            <w:vAlign w:val="bottom"/>
            <w:gridSpan w:val="2"/>
          </w:tcPr>
          <w:p>
            <w:pPr>
              <w:ind w:left="3300"/>
              <w:spacing w:after="0"/>
              <w:rPr>
                <w:sz w:val="20"/>
                <w:szCs w:val="20"/>
                <w:color w:val="auto"/>
              </w:rPr>
            </w:pPr>
            <w:r>
              <w:rPr>
                <w:rFonts w:ascii="Arial" w:cs="Arial" w:eastAsia="Arial" w:hAnsi="Arial"/>
                <w:sz w:val="18"/>
                <w:szCs w:val="18"/>
                <w:color w:val="auto"/>
              </w:rPr>
              <w:t>TPG SPECIALTY LENDING, INC.</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August 1, 2018</w:t>
            </w:r>
          </w:p>
        </w:tc>
        <w:tc>
          <w:tcPr>
            <w:tcW w:w="7840" w:type="dxa"/>
            <w:vAlign w:val="bottom"/>
            <w:gridSpan w:val="2"/>
          </w:tcPr>
          <w:p>
            <w:pPr>
              <w:ind w:left="3300"/>
              <w:spacing w:after="0"/>
              <w:rPr>
                <w:sz w:val="20"/>
                <w:szCs w:val="20"/>
                <w:color w:val="auto"/>
              </w:rPr>
            </w:pPr>
            <w:r>
              <w:rPr>
                <w:rFonts w:ascii="Arial" w:cs="Arial" w:eastAsia="Arial" w:hAnsi="Arial"/>
                <w:sz w:val="18"/>
                <w:szCs w:val="18"/>
                <w:color w:val="auto"/>
              </w:rPr>
              <w:t>By: /s/ Joshua Easterly</w:t>
            </w:r>
          </w:p>
        </w:tc>
      </w:tr>
      <w:tr>
        <w:trPr>
          <w:trHeight w:val="195"/>
        </w:trPr>
        <w:tc>
          <w:tcPr>
            <w:tcW w:w="3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5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August 1, 2018</w:t>
            </w:r>
          </w:p>
        </w:tc>
        <w:tc>
          <w:tcPr>
            <w:tcW w:w="7840" w:type="dxa"/>
            <w:vAlign w:val="bottom"/>
            <w:gridSpan w:val="2"/>
          </w:tcPr>
          <w:p>
            <w:pPr>
              <w:ind w:left="3300"/>
              <w:spacing w:after="0"/>
              <w:rPr>
                <w:sz w:val="20"/>
                <w:szCs w:val="20"/>
                <w:color w:val="auto"/>
              </w:rPr>
            </w:pPr>
            <w:r>
              <w:rPr>
                <w:rFonts w:ascii="Arial" w:cs="Arial" w:eastAsia="Arial" w:hAnsi="Arial"/>
                <w:sz w:val="18"/>
                <w:szCs w:val="18"/>
                <w:color w:val="auto"/>
              </w:rPr>
              <w:t>By: /s/ Ian Simmonds</w:t>
            </w:r>
          </w:p>
        </w:tc>
      </w:tr>
      <w:tr>
        <w:trPr>
          <w:trHeight w:val="195"/>
        </w:trPr>
        <w:tc>
          <w:tcPr>
            <w:tcW w:w="3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5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580" w:type="dxa"/>
            <w:vAlign w:val="bottom"/>
          </w:tcPr>
          <w:p>
            <w:pPr>
              <w:spacing w:after="0"/>
              <w:rPr>
                <w:sz w:val="24"/>
                <w:szCs w:val="24"/>
                <w:color w:val="auto"/>
              </w:rPr>
            </w:pPr>
          </w:p>
        </w:tc>
        <w:tc>
          <w:tcPr>
            <w:tcW w:w="3660" w:type="dxa"/>
            <w:vAlign w:val="bottom"/>
          </w:tcPr>
          <w:p>
            <w:pPr>
              <w:jc w:val="right"/>
              <w:ind w:right="1350"/>
              <w:spacing w:after="0"/>
              <w:rPr>
                <w:sz w:val="20"/>
                <w:szCs w:val="20"/>
                <w:color w:val="auto"/>
              </w:rPr>
            </w:pPr>
            <w:r>
              <w:rPr>
                <w:rFonts w:ascii="Arial" w:cs="Arial" w:eastAsia="Arial" w:hAnsi="Arial"/>
                <w:sz w:val="18"/>
                <w:szCs w:val="18"/>
                <w:color w:val="auto"/>
              </w:rPr>
              <w:t>70</w:t>
            </w:r>
          </w:p>
        </w:tc>
        <w:tc>
          <w:tcPr>
            <w:tcW w:w="41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80" w:hanging="515"/>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60" w:hanging="515"/>
        <w:spacing w:after="0" w:line="308" w:lineRule="auto"/>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40" w:hanging="522"/>
        <w:spacing w:after="0" w:line="342"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August 1, 2018</w:t>
            </w:r>
          </w:p>
        </w:tc>
        <w:tc>
          <w:tcPr>
            <w:tcW w:w="7220" w:type="dxa"/>
            <w:vAlign w:val="bottom"/>
            <w:gridSpan w:val="2"/>
          </w:tcPr>
          <w:p>
            <w:pPr>
              <w:ind w:left="2660"/>
              <w:spacing w:after="0"/>
              <w:rPr>
                <w:sz w:val="20"/>
                <w:szCs w:val="20"/>
                <w:color w:val="auto"/>
              </w:rPr>
            </w:pPr>
            <w:r>
              <w:rPr>
                <w:rFonts w:ascii="Arial" w:cs="Arial" w:eastAsia="Arial" w:hAnsi="Arial"/>
                <w:sz w:val="18"/>
                <w:szCs w:val="18"/>
                <w:color w:val="auto"/>
              </w:rPr>
              <w:t>By:  /s/ Joshua Easterly</w:t>
            </w:r>
          </w:p>
        </w:tc>
      </w:tr>
      <w:tr>
        <w:trPr>
          <w:trHeight w:val="195"/>
        </w:trPr>
        <w:tc>
          <w:tcPr>
            <w:tcW w:w="4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4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80" w:hanging="515"/>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60" w:hanging="515"/>
        <w:spacing w:after="0" w:line="30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40" w:hanging="522"/>
        <w:spacing w:after="0" w:line="342"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Date: August 1, 2018</w:t>
            </w:r>
          </w:p>
        </w:tc>
        <w:tc>
          <w:tcPr>
            <w:tcW w:w="7200" w:type="dxa"/>
            <w:vAlign w:val="bottom"/>
            <w:gridSpan w:val="2"/>
          </w:tcPr>
          <w:p>
            <w:pPr>
              <w:ind w:left="2660"/>
              <w:spacing w:after="0"/>
              <w:rPr>
                <w:sz w:val="20"/>
                <w:szCs w:val="20"/>
                <w:color w:val="auto"/>
              </w:rPr>
            </w:pPr>
            <w:r>
              <w:rPr>
                <w:rFonts w:ascii="Arial" w:cs="Arial" w:eastAsia="Arial" w:hAnsi="Arial"/>
                <w:sz w:val="18"/>
                <w:szCs w:val="18"/>
                <w:color w:val="auto"/>
              </w:rPr>
              <w:t>By:  /</w:t>
            </w:r>
            <w:r>
              <w:rPr>
                <w:rFonts w:ascii="Arial" w:cs="Arial" w:eastAsia="Arial" w:hAnsi="Arial"/>
                <w:sz w:val="13"/>
                <w:szCs w:val="13"/>
                <w:color w:val="auto"/>
              </w:rPr>
              <w:t>S</w:t>
            </w:r>
            <w:r>
              <w:rPr>
                <w:rFonts w:ascii="Arial" w:cs="Arial" w:eastAsia="Arial" w:hAnsi="Arial"/>
                <w:sz w:val="18"/>
                <w:szCs w:val="18"/>
                <w:color w:val="auto"/>
              </w:rPr>
              <w:t>/ Ian Simmonds</w:t>
            </w:r>
          </w:p>
        </w:tc>
      </w:tr>
      <w:tr>
        <w:trPr>
          <w:trHeight w:val="195"/>
        </w:trPr>
        <w:tc>
          <w:tcPr>
            <w:tcW w:w="4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4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3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June 30, 2018,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80" w:hanging="254"/>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Joshua Easterly</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August 1, 2018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Ian Simmonds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Ian Simmonds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880" w:type="dxa"/>
            <w:vAlign w:val="bottom"/>
          </w:tcPr>
          <w:p>
            <w:pPr>
              <w:ind w:left="220"/>
              <w:spacing w:after="0"/>
              <w:rPr>
                <w:sz w:val="20"/>
                <w:szCs w:val="20"/>
                <w:color w:val="auto"/>
              </w:rPr>
            </w:pPr>
            <w:r>
              <w:rPr>
                <w:rFonts w:ascii="Arial" w:cs="Arial" w:eastAsia="Arial" w:hAnsi="Arial"/>
                <w:sz w:val="18"/>
                <w:szCs w:val="18"/>
                <w:color w:val="auto"/>
              </w:rPr>
              <w:t>August 1, 2018</w:t>
            </w:r>
          </w:p>
        </w:tc>
      </w:tr>
    </w:tbl>
    <w:p>
      <w:pPr>
        <w:spacing w:after="0" w:line="20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1"/>
    </w:lvl>
    <w:lvl w:ilvl="1">
      <w:lvlJc w:val="left"/>
      <w:lvlText w:val="(%2)"/>
      <w:numFmt w:val="lowerLetter"/>
      <w:start w:val="1"/>
    </w:lvl>
  </w:abstractNum>
  <w:abstractNum w:abstractNumId="4">
    <w:nsid w:val="2901D82"/>
    <w:multiLevelType w:val="hybridMultilevel"/>
    <w:lvl w:ilvl="0">
      <w:lvlJc w:val="left"/>
      <w:lvlText w:val="(%1)"/>
      <w:numFmt w:val="decimal"/>
      <w:start w:val="1"/>
    </w:lvl>
    <w:lvl w:ilvl="1">
      <w:lvlJc w:val="left"/>
      <w:lvlText w:val="%2"/>
      <w:numFmt w:val="lowerLetter"/>
      <w:start w:val="1"/>
    </w:lvl>
  </w:abstractNum>
  <w:abstractNum w:abstractNumId="5">
    <w:nsid w:val="3A95F874"/>
    <w:multiLevelType w:val="hybridMultilevel"/>
    <w:lvl w:ilvl="0">
      <w:lvlJc w:val="left"/>
      <w:lvlText w:val="%1"/>
      <w:numFmt w:val="decimal"/>
      <w:start w:val="1"/>
    </w:lvl>
    <w:lvl w:ilvl="1">
      <w:lvlJc w:val="left"/>
      <w:lvlText w:val="(%2)"/>
      <w:numFmt w:val="lowerLetter"/>
      <w:start w:val="1"/>
    </w:lvl>
  </w:abstractNum>
  <w:abstractNum w:abstractNumId="6">
    <w:nsid w:val="8138641"/>
    <w:multiLevelType w:val="hybridMultilevel"/>
    <w:lvl w:ilvl="0">
      <w:lvlJc w:val="left"/>
      <w:lvlText w:val="(%1)"/>
      <w:numFmt w:val="decimal"/>
      <w:start w:val="7"/>
    </w:lvl>
    <w:lvl w:ilvl="1">
      <w:lvlJc w:val="left"/>
      <w:lvlText w:val="%2"/>
      <w:numFmt w:val="lowerLetter"/>
      <w:start w:val="1"/>
    </w:lvl>
  </w:abstractNum>
  <w:abstractNum w:abstractNumId="7">
    <w:nsid w:val="1E7FF521"/>
    <w:multiLevelType w:val="hybridMultilevel"/>
    <w:lvl w:ilvl="0">
      <w:lvlJc w:val="left"/>
      <w:lvlText w:val="%1"/>
      <w:numFmt w:val="decimal"/>
      <w:start w:val="1"/>
    </w:lvl>
    <w:lvl w:ilvl="1">
      <w:lvlJc w:val="left"/>
      <w:lvlText w:val="(%2)"/>
      <w:numFmt w:val="lowerLetter"/>
      <w:start w:val="1"/>
    </w:lvl>
  </w:abstractNum>
  <w:abstractNum w:abstractNumId="8">
    <w:nsid w:val="7C3DBD3D"/>
    <w:multiLevelType w:val="hybridMultilevel"/>
    <w:lvl w:ilvl="0">
      <w:lvlJc w:val="left"/>
      <w:lvlText w:val="(%1)"/>
      <w:numFmt w:val="decimal"/>
      <w:start w:val="8"/>
    </w:lvl>
    <w:lvl w:ilvl="1">
      <w:lvlJc w:val="left"/>
      <w:lvlText w:val="%2"/>
      <w:numFmt w:val="lowerLetter"/>
      <w:start w:val="1"/>
    </w:lvl>
  </w:abstractNum>
  <w:abstractNum w:abstractNumId="9">
    <w:nsid w:val="737B8DDC"/>
    <w:multiLevelType w:val="hybridMultilevel"/>
    <w:lvl w:ilvl="0">
      <w:lvlJc w:val="left"/>
      <w:lvlText w:val="%1"/>
      <w:numFmt w:val="decimal"/>
      <w:start w:val="1"/>
    </w:lvl>
    <w:lvl w:ilvl="1">
      <w:lvlJc w:val="left"/>
      <w:lvlText w:val="(%2)"/>
      <w:numFmt w:val="lowerLetter"/>
      <w:start w:val="1"/>
    </w:lvl>
  </w:abstractNum>
  <w:abstractNum w:abstractNumId="10">
    <w:nsid w:val="6CEAF087"/>
    <w:multiLevelType w:val="hybridMultilevel"/>
    <w:lvl w:ilvl="0">
      <w:lvlJc w:val="left"/>
      <w:lvlText w:val="(%1)"/>
      <w:numFmt w:val="decimal"/>
      <w:start w:val="1"/>
    </w:lvl>
    <w:lvl w:ilvl="1">
      <w:lvlJc w:val="left"/>
      <w:lvlText w:val="%2"/>
      <w:numFmt w:val="lowerLetter"/>
      <w:start w:val="1"/>
    </w:lvl>
  </w:abstractNum>
  <w:abstractNum w:abstractNumId="11">
    <w:nsid w:val="22221A70"/>
    <w:multiLevelType w:val="hybridMultilevel"/>
    <w:lvl w:ilvl="0">
      <w:lvlJc w:val="left"/>
      <w:lvlText w:val="(%1)"/>
      <w:numFmt w:val="decimal"/>
      <w:start w:val="5"/>
    </w:lvl>
  </w:abstractNum>
  <w:abstractNum w:abstractNumId="12">
    <w:nsid w:val="4516DDE9"/>
    <w:multiLevelType w:val="hybridMultilevel"/>
    <w:lvl w:ilvl="0">
      <w:lvlJc w:val="left"/>
      <w:lvlText w:val="%1"/>
      <w:numFmt w:val="decimal"/>
      <w:start w:val="1"/>
    </w:lvl>
    <w:lvl w:ilvl="1">
      <w:lvlJc w:val="left"/>
      <w:lvlText w:val="(%2)"/>
      <w:numFmt w:val="lowerLetter"/>
      <w:start w:val="1"/>
    </w:lvl>
  </w:abstractNum>
  <w:abstractNum w:abstractNumId="13">
    <w:nsid w:val="3006C83E"/>
    <w:multiLevelType w:val="hybridMultilevel"/>
    <w:lvl w:ilvl="0">
      <w:lvlJc w:val="left"/>
      <w:lvlText w:val="(%1)"/>
      <w:numFmt w:val="decimal"/>
      <w:start w:val="7"/>
    </w:lvl>
    <w:lvl w:ilvl="1">
      <w:lvlJc w:val="left"/>
      <w:lvlText w:val="%2"/>
      <w:numFmt w:val="lowerLetter"/>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lowerRoman"/>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10"/>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32"/>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0" Type="http://schemas.openxmlformats.org/officeDocument/2006/relationships/image" Target="media/image92.png"/><Relationship Id="rId99" Type="http://schemas.openxmlformats.org/officeDocument/2006/relationships/hyperlink" Target="http://www.sec.gov/Archives/edgar/data/1508655/000119312518196892/d61235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2019-12-28T20:50:53Z</dcterms:created>
  <dcterms:modified xsi:type="dcterms:W3CDTF">2019-12-28T20:50:53Z</dcterms:modified>
</cp:coreProperties>
</file>