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tcPr>
          <w:p>
            <w:pPr>
              <w:spacing w:after="0"/>
              <w:rPr>
                <w:sz w:val="22"/>
                <w:szCs w:val="22"/>
                <w:color w:val="auto"/>
              </w:rPr>
            </w:pPr>
          </w:p>
        </w:tc>
      </w:tr>
      <w:tr>
        <w:trPr>
          <w:trHeight w:val="212"/>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7" w:right="339" w:bottom="1440" w:gutter="0" w:footer="0" w:header="0"/>
        </w:sectPr>
      </w:pPr>
    </w:p>
    <w:p>
      <w:pPr>
        <w:spacing w:after="0" w:line="92"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36"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77"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Emerging growth company</w:t>
      </w:r>
    </w:p>
    <w:p>
      <w:pPr>
        <w:spacing w:after="0" w:line="6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06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May 4, 2020 was 67,062,552.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80"/>
            <w:col w:w="480"/>
          </w:cols>
          <w:pgMar w:left="320" w:top="6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920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INDEX</w:t>
            </w:r>
          </w:p>
        </w:tc>
        <w:tc>
          <w:tcPr>
            <w:tcW w:w="10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9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PART I.</w:t>
            </w:r>
          </w:p>
        </w:tc>
        <w:tc>
          <w:tcPr>
            <w:tcW w:w="93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as of March 31, 2020 (Unaudited)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March 31,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Schedules of Investments as of March 31, 2020 (Unaudited)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w w:val="98"/>
              </w:rPr>
            </w:pPr>
            <w:hyperlink w:anchor="page19">
              <w:r>
                <w:rPr>
                  <w:rFonts w:ascii="Arial" w:cs="Arial" w:eastAsia="Arial" w:hAnsi="Arial"/>
                  <w:sz w:val="18"/>
                  <w:szCs w:val="18"/>
                  <w:u w:val="single" w:color="auto"/>
                  <w:color w:val="0000EE"/>
                  <w:w w:val="98"/>
                </w:rPr>
                <w:t>Consolidated Statements of Changes in Net Assets for the three months ended March 31,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Consolidated Statements of Cash Flows for the three months ended March 31,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Notes to Consolidated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PART II.</w:t>
            </w:r>
          </w:p>
        </w:tc>
        <w:tc>
          <w:tcPr>
            <w:tcW w:w="930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8"/>
        </w:trPr>
        <w:tc>
          <w:tcPr>
            <w:tcW w:w="10340" w:type="dxa"/>
            <w:vAlign w:val="bottom"/>
            <w:gridSpan w:val="3"/>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00" w:right="54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8" w:lineRule="exact"/>
        <w:rPr>
          <w:rFonts w:ascii="Arial" w:cs="Arial" w:eastAsia="Arial" w:hAnsi="Arial"/>
          <w:sz w:val="17"/>
          <w:szCs w:val="17"/>
          <w:color w:val="auto"/>
        </w:rPr>
      </w:pPr>
    </w:p>
    <w:p>
      <w:pPr>
        <w:ind w:left="500" w:right="240" w:hanging="249"/>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00" w:right="12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in our Annual Report on Form 10-K for the year ended December 31, 2019, filed with the SEC on February 19, 2020, and elsewhere in our filings with the SEC.</w:t>
      </w:r>
    </w:p>
    <w:p>
      <w:pPr>
        <w:spacing w:after="0" w:line="146"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8"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“TSLX”, “TOP” and “TAO” marks are marks of Sixth Street. Sixth Street and TPG are no longer affiliates, and accordingly, TPG is not an affiliate of ours. The products and services referred to herein are managed exclusively by Sixth Street, which is entirely responsible for their nature and performance. The “TSL”, “TSL Europe”, “TSLE”, “TICP” and “TCS” marks are marks of TPG and are being used by Sixth Street under an exclusive license.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$2,007,756 and $2,099,781,</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1,963,091</w:t>
            </w: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$49,186 and $49,445,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$88,399 and $88,811, respectively)</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$2,145,341 and $2,238,037,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2,045,572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2,245,928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$14,315 and $9,315, respectively)</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2,081,717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$21,353 and $18,471, respectively)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980,158</w:t>
            </w:r>
          </w:p>
        </w:tc>
        <w:tc>
          <w:tcPr>
            <w:tcW w:w="28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1,094,467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3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66,865,815 and</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66,613,671 shares issued, respectively; and 66,569,771 and 66,524,591 shares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1,013,079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Treasury stock at cost; 296,044 and 89,080 shares held, respectively</w:t>
            </w:r>
          </w:p>
        </w:tc>
        <w:tc>
          <w:tcPr>
            <w:tcW w:w="3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1,036,736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2,081,717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6"/>
              </w:rPr>
              <w:t>Three Months Ended</w:t>
            </w:r>
          </w:p>
        </w:tc>
        <w:tc>
          <w:tcPr>
            <w:tcW w:w="200" w:type="dxa"/>
            <w:vAlign w:val="bottom"/>
          </w:tcPr>
          <w:p>
            <w:pPr>
              <w:spacing w:after="0"/>
              <w:rPr>
                <w:sz w:val="13"/>
                <w:szCs w:val="13"/>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6"/>
              </w:rPr>
              <w:t>Three Months Ended</w:t>
            </w: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March 31, 2020</w:t>
            </w:r>
          </w:p>
        </w:tc>
        <w:tc>
          <w:tcPr>
            <w:tcW w:w="200" w:type="dxa"/>
            <w:vAlign w:val="bottom"/>
          </w:tcPr>
          <w:p>
            <w:pPr>
              <w:spacing w:after="0"/>
              <w:rPr>
                <w:sz w:val="13"/>
                <w:szCs w:val="13"/>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March 31, 2019</w:t>
            </w:r>
          </w:p>
        </w:tc>
        <w:tc>
          <w:tcPr>
            <w:tcW w:w="0" w:type="dxa"/>
            <w:vAlign w:val="bottom"/>
          </w:tcPr>
          <w:p>
            <w:pPr>
              <w:spacing w:after="0"/>
              <w:rPr>
                <w:sz w:val="1"/>
                <w:szCs w:val="1"/>
                <w:color w:val="auto"/>
              </w:rPr>
            </w:pPr>
          </w:p>
        </w:tc>
      </w:tr>
      <w:tr>
        <w:trPr>
          <w:trHeight w:val="156"/>
        </w:trPr>
        <w:tc>
          <w:tcPr>
            <w:tcW w:w="7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180" w:type="dxa"/>
            <w:vAlign w:val="bottom"/>
            <w:tcBorders>
              <w:top w:val="single" w:sz="8" w:color="auto"/>
            </w:tcBorders>
            <w:shd w:val="clear" w:color="auto" w:fill="CFF0FC"/>
          </w:tcPr>
          <w:p>
            <w:pPr>
              <w:spacing w:after="0"/>
              <w:rPr>
                <w:sz w:val="13"/>
                <w:szCs w:val="13"/>
                <w:color w:val="auto"/>
              </w:rPr>
            </w:pPr>
          </w:p>
        </w:tc>
        <w:tc>
          <w:tcPr>
            <w:tcW w:w="1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6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8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60,766</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2,787</w:t>
            </w:r>
          </w:p>
        </w:tc>
        <w:tc>
          <w:tcPr>
            <w:tcW w:w="3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8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18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63,985</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48,601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1,236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3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8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18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1,255</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2,442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1,027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1,030</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8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8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66,270</w:t>
            </w:r>
          </w:p>
        </w:tc>
        <w:tc>
          <w:tcPr>
            <w:tcW w:w="3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52,487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spacing w:after="0"/>
              <w:rPr>
                <w:sz w:val="20"/>
                <w:szCs w:val="20"/>
                <w:color w:val="auto"/>
              </w:rPr>
            </w:pPr>
            <w:r>
              <w:rPr>
                <w:rFonts w:ascii="Arial" w:cs="Arial" w:eastAsia="Arial" w:hAnsi="Arial"/>
                <w:sz w:val="14"/>
                <w:szCs w:val="14"/>
                <w:color w:val="auto"/>
              </w:rPr>
              <w:t>Interest</w:t>
            </w: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12,910</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spacing w:after="0"/>
              <w:rPr>
                <w:sz w:val="20"/>
                <w:szCs w:val="20"/>
                <w:color w:val="auto"/>
              </w:rPr>
            </w:pPr>
            <w:r>
              <w:rPr>
                <w:rFonts w:ascii="Arial" w:cs="Arial" w:eastAsia="Arial" w:hAnsi="Arial"/>
                <w:sz w:val="14"/>
                <w:szCs w:val="14"/>
                <w:color w:val="auto"/>
              </w:rPr>
              <w:t>Management fees</w:t>
            </w: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8,165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6,622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spacing w:after="0"/>
              <w:rPr>
                <w:sz w:val="20"/>
                <w:szCs w:val="20"/>
                <w:color w:val="auto"/>
              </w:rPr>
            </w:pPr>
            <w:r>
              <w:rPr>
                <w:rFonts w:ascii="Arial" w:cs="Arial" w:eastAsia="Arial" w:hAnsi="Arial"/>
                <w:sz w:val="14"/>
                <w:szCs w:val="14"/>
                <w:color w:val="auto"/>
              </w:rPr>
              <w:t>Incentive fees</w:t>
            </w: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7,140</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spacing w:after="0"/>
              <w:rPr>
                <w:sz w:val="20"/>
                <w:szCs w:val="20"/>
                <w:color w:val="auto"/>
              </w:rPr>
            </w:pPr>
            <w:r>
              <w:rPr>
                <w:rFonts w:ascii="Arial" w:cs="Arial" w:eastAsia="Arial" w:hAnsi="Arial"/>
                <w:sz w:val="14"/>
                <w:szCs w:val="14"/>
                <w:color w:val="auto"/>
              </w:rPr>
              <w:t>Professional fees</w:t>
            </w: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w:t>
            </w: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31,598</w:t>
            </w:r>
          </w:p>
        </w:tc>
        <w:tc>
          <w:tcPr>
            <w:tcW w:w="3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and incentive fees waived (Note 3)</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8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18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31,598</w:t>
            </w:r>
          </w:p>
        </w:tc>
        <w:tc>
          <w:tcPr>
            <w:tcW w:w="3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8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18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34,672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26,938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18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3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8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8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33,662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26,638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(92,759)</w:t>
            </w: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180" w:type="dxa"/>
            <w:vAlign w:val="bottom"/>
          </w:tcPr>
          <w:p>
            <w:pPr>
              <w:spacing w:after="0"/>
              <w:rPr>
                <w:sz w:val="14"/>
                <w:szCs w:val="14"/>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4"/>
                <w:szCs w:val="14"/>
                <w:color w:val="auto"/>
              </w:rPr>
              <w:t>(1,394)</w:t>
            </w: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8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(13,507)</w:t>
            </w:r>
          </w:p>
        </w:tc>
        <w:tc>
          <w:tcPr>
            <w:tcW w:w="20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(3,667)</w:t>
            </w:r>
          </w:p>
        </w:tc>
        <w:tc>
          <w:tcPr>
            <w:tcW w:w="0" w:type="dxa"/>
            <w:vAlign w:val="bottom"/>
          </w:tcPr>
          <w:p>
            <w:pPr>
              <w:spacing w:after="0"/>
              <w:rPr>
                <w:sz w:val="1"/>
                <w:szCs w:val="1"/>
                <w:color w:val="auto"/>
              </w:rPr>
            </w:pPr>
          </w:p>
        </w:tc>
      </w:tr>
      <w:tr>
        <w:trPr>
          <w:trHeight w:val="162"/>
        </w:trPr>
        <w:tc>
          <w:tcPr>
            <w:tcW w:w="728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13,799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18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9,181</w:t>
            </w:r>
          </w:p>
        </w:tc>
        <w:tc>
          <w:tcPr>
            <w:tcW w:w="3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(84,680)</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11,460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1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8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(2,097)</w:t>
            </w: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8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180" w:type="dxa"/>
            <w:vAlign w:val="bottom"/>
          </w:tcPr>
          <w:p>
            <w:pPr>
              <w:spacing w:after="0"/>
              <w:rPr>
                <w:sz w:val="14"/>
                <w:szCs w:val="14"/>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728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(2,081)</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(86,761)</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12,107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8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(Decrease) in Net Assets Resulting from Operations</w:t>
            </w: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(53,099)</w:t>
            </w:r>
          </w:p>
        </w:tc>
        <w:tc>
          <w:tcPr>
            <w:tcW w:w="3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38,745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4"/>
                <w:szCs w:val="14"/>
                <w:color w:val="auto"/>
              </w:rPr>
              <w:t>Earnings (Loss) per common share—basic and diluted</w:t>
            </w:r>
          </w:p>
        </w:tc>
        <w:tc>
          <w:tcPr>
            <w:tcW w:w="1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80" w:type="dxa"/>
            <w:vAlign w:val="bottom"/>
            <w:tcBorders>
              <w:bottom w:val="single" w:sz="8" w:color="CFF0FC"/>
            </w:tcBorders>
            <w:vMerge w:val="continue"/>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(0.80)</w:t>
            </w:r>
          </w:p>
        </w:tc>
        <w:tc>
          <w:tcPr>
            <w:tcW w:w="30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 and diluted</w:t>
            </w:r>
          </w:p>
        </w:tc>
        <w:tc>
          <w:tcPr>
            <w:tcW w:w="18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66,656,280</w:t>
            </w:r>
          </w:p>
        </w:tc>
        <w:tc>
          <w:tcPr>
            <w:tcW w:w="3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65,595,441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March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Reference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Rate and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ind w:right="40"/>
              <w:spacing w:after="0" w:line="135" w:lineRule="exact"/>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64"/>
              <w:spacing w:after="0" w:line="135" w:lineRule="exact"/>
              <w:rPr>
                <w:sz w:val="20"/>
                <w:szCs w:val="20"/>
                <w:color w:val="auto"/>
              </w:rPr>
            </w:pPr>
            <w:r>
              <w:rPr>
                <w:rFonts w:ascii="Arial" w:cs="Arial" w:eastAsia="Arial" w:hAnsi="Arial"/>
                <w:sz w:val="13"/>
                <w:szCs w:val="13"/>
                <w:b w:val="1"/>
                <w:bCs w:val="1"/>
                <w:color w:val="auto"/>
                <w:w w:val="91"/>
              </w:rPr>
              <w:t>Percentage</w:t>
            </w:r>
          </w:p>
        </w:tc>
      </w:tr>
      <w:tr>
        <w:trPr>
          <w:trHeight w:val="15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620" w:type="dxa"/>
            <w:vAlign w:val="bottom"/>
            <w:gridSpan w:val="2"/>
          </w:tcPr>
          <w:p>
            <w:pPr>
              <w:ind w:left="94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Spread</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1"/>
              </w:rPr>
              <w:t>Interest Rate</w:t>
            </w:r>
          </w:p>
        </w:tc>
        <w:tc>
          <w:tcPr>
            <w:tcW w:w="800" w:type="dxa"/>
            <w:vAlign w:val="bottom"/>
          </w:tcPr>
          <w:p>
            <w:pPr>
              <w:jc w:val="right"/>
              <w:ind w:right="60"/>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10"/>
                <w:szCs w:val="10"/>
                <w:b w:val="1"/>
                <w:bCs w:val="1"/>
                <w:color w:val="auto"/>
              </w:rPr>
              <w:t>(2)(8)</w:t>
            </w:r>
          </w:p>
        </w:tc>
        <w:tc>
          <w:tcPr>
            <w:tcW w:w="2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 xml:space="preserve">Fair Value </w:t>
            </w:r>
            <w:r>
              <w:rPr>
                <w:rFonts w:ascii="Arial" w:cs="Arial" w:eastAsia="Arial" w:hAnsi="Arial"/>
                <w:sz w:val="10"/>
                <w:szCs w:val="10"/>
                <w:b w:val="1"/>
                <w:bCs w:val="1"/>
                <w:color w:val="auto"/>
                <w:w w:val="90"/>
              </w:rPr>
              <w:t>(10)</w:t>
            </w:r>
          </w:p>
        </w:tc>
        <w:tc>
          <w:tcPr>
            <w:tcW w:w="90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w w:val="84"/>
              </w:rPr>
              <w:t>of Net Assets</w:t>
            </w:r>
          </w:p>
        </w:tc>
      </w:tr>
      <w:tr>
        <w:trPr>
          <w:trHeight w:val="209"/>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Beverage, food and tobacco</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4"/>
                <w:szCs w:val="24"/>
                <w:color w:val="auto"/>
                <w:vertAlign w:val="superscript"/>
              </w:rPr>
              <w:t>(3)(5)(6)</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($45,266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44,745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44,021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63,863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+ 4.75%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47,935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43,522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r>
      <w:tr>
        <w:trPr>
          <w:trHeight w:val="206"/>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7/2023)</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61,947)</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($58,167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8.24%</w:t>
            </w:r>
          </w:p>
        </w:tc>
        <w:tc>
          <w:tcPr>
            <w:tcW w:w="800" w:type="dxa"/>
            <w:vAlign w:val="bottom"/>
          </w:tcPr>
          <w:p>
            <w:pPr>
              <w:jc w:val="right"/>
              <w:spacing w:after="0"/>
              <w:rPr>
                <w:sz w:val="20"/>
                <w:szCs w:val="20"/>
                <w:color w:val="auto"/>
              </w:rPr>
            </w:pPr>
            <w:r>
              <w:rPr>
                <w:rFonts w:ascii="Arial" w:cs="Arial" w:eastAsia="Arial" w:hAnsi="Arial"/>
                <w:sz w:val="16"/>
                <w:szCs w:val="16"/>
                <w:color w:val="auto"/>
              </w:rPr>
              <w:t>56,719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54,287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Dye &amp; Durham Corp. </w:t>
            </w:r>
            <w:r>
              <w:rPr>
                <w:rFonts w:ascii="Arial" w:cs="Arial" w:eastAsia="Arial" w:hAnsi="Arial"/>
                <w:sz w:val="24"/>
                <w:szCs w:val="24"/>
                <w:color w:val="auto"/>
                <w:vertAlign w:val="superscript"/>
              </w:rPr>
              <w:t>(3)(4)</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65,087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+ 7.00%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48,631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43,556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7/2024)</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61,995)</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revolving loan (CAD 3,150</w:t>
            </w:r>
          </w:p>
        </w:tc>
        <w:tc>
          <w:tcPr>
            <w:tcW w:w="860" w:type="dxa"/>
            <w:vAlign w:val="bottom"/>
          </w:tcPr>
          <w:p>
            <w:pPr>
              <w:jc w:val="right"/>
              <w:spacing w:after="0"/>
              <w:rPr>
                <w:sz w:val="20"/>
                <w:szCs w:val="20"/>
                <w:color w:val="auto"/>
              </w:rPr>
            </w:pPr>
            <w:r>
              <w:rPr>
                <w:rFonts w:ascii="Arial" w:cs="Arial" w:eastAsia="Arial" w:hAnsi="Arial"/>
                <w:sz w:val="16"/>
                <w:szCs w:val="16"/>
                <w:color w:val="auto"/>
              </w:rPr>
              <w:t>7/11/2019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2,275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2,096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3"/>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par, due 7/2024)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2,984)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Exela Receivables 1, LLC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First-lien revolving loan ($40,000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+ 4.75%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6.39%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39,021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43,600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1/2025)</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Integration Appliance,</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($71,500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9.43%</w:t>
            </w:r>
          </w:p>
        </w:tc>
        <w:tc>
          <w:tcPr>
            <w:tcW w:w="800" w:type="dxa"/>
            <w:vAlign w:val="bottom"/>
          </w:tcPr>
          <w:p>
            <w:pPr>
              <w:jc w:val="right"/>
              <w:spacing w:after="0"/>
              <w:rPr>
                <w:sz w:val="20"/>
                <w:szCs w:val="20"/>
                <w:color w:val="auto"/>
              </w:rPr>
            </w:pPr>
            <w:r>
              <w:rPr>
                <w:rFonts w:ascii="Arial" w:cs="Arial" w:eastAsia="Arial" w:hAnsi="Arial"/>
                <w:sz w:val="16"/>
                <w:szCs w:val="16"/>
                <w:color w:val="auto"/>
              </w:rPr>
              <w:t>70,697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69,355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500" w:type="dxa"/>
            <w:vAlign w:val="bottom"/>
          </w:tcPr>
          <w:p>
            <w:pPr>
              <w:spacing w:after="0"/>
              <w:rPr>
                <w:sz w:val="20"/>
                <w:szCs w:val="20"/>
                <w:color w:val="auto"/>
              </w:rPr>
            </w:pPr>
            <w:r>
              <w:rPr>
                <w:rFonts w:ascii="Arial" w:cs="Arial" w:eastAsia="Arial" w:hAnsi="Arial"/>
                <w:sz w:val="16"/>
                <w:szCs w:val="16"/>
                <w:color w:val="auto"/>
              </w:rPr>
              <w:t>8/2023)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($2,619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8.54%</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8/2023)</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($59,699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6.96%</w:t>
            </w:r>
          </w:p>
        </w:tc>
        <w:tc>
          <w:tcPr>
            <w:tcW w:w="800" w:type="dxa"/>
            <w:vAlign w:val="bottom"/>
          </w:tcPr>
          <w:p>
            <w:pPr>
              <w:jc w:val="right"/>
              <w:spacing w:after="0"/>
              <w:rPr>
                <w:sz w:val="20"/>
                <w:szCs w:val="20"/>
                <w:color w:val="auto"/>
              </w:rPr>
            </w:pPr>
            <w:r>
              <w:rPr>
                <w:rFonts w:ascii="Arial" w:cs="Arial" w:eastAsia="Arial" w:hAnsi="Arial"/>
                <w:sz w:val="16"/>
                <w:szCs w:val="16"/>
                <w:color w:val="auto"/>
              </w:rPr>
              <w:t>58,671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57,908</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Netwrix Corp. and Concept</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($20,000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10/17/2019</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+ 5.88%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19,000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6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Searching, Inc. </w:t>
            </w:r>
            <w:r>
              <w:rPr>
                <w:rFonts w:ascii="Arial" w:cs="Arial" w:eastAsia="Arial" w:hAnsi="Arial"/>
                <w:sz w:val="25"/>
                <w:szCs w:val="25"/>
                <w:color w:val="auto"/>
                <w:vertAlign w:val="superscript"/>
              </w:rPr>
              <w:t>(3)(5)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($74,034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72,728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72,739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209"/>
        </w:trPr>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4/2024)</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418,831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408,603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39.3%</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Chemicals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Second-lien loan ($4,357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10/31/2016</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+ 12.00%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10/2021)</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($38,500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9.86%</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38,448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36,864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Convertible note ($350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780" w:type="dxa"/>
            <w:vAlign w:val="bottom"/>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3"/>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12/2020)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6"/>
                <w:szCs w:val="16"/>
                <w:color w:val="auto"/>
              </w:rPr>
              <w:t>PIK)</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37,168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($65,638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65,261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63,669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26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9/2023)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Illuminate Education,</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($63,863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63,134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61,627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266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8/2022)</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128,395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125,296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w:t>
            </w:r>
          </w:p>
        </w:tc>
      </w:tr>
      <w:tr>
        <w:trPr>
          <w:trHeight w:val="206"/>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Financial services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($10,468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9,870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($17,413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6.00%</w:t>
            </w:r>
          </w:p>
        </w:tc>
        <w:tc>
          <w:tcPr>
            <w:tcW w:w="800" w:type="dxa"/>
            <w:vAlign w:val="bottom"/>
          </w:tcPr>
          <w:p>
            <w:pPr>
              <w:jc w:val="right"/>
              <w:spacing w:after="0"/>
              <w:rPr>
                <w:sz w:val="20"/>
                <w:szCs w:val="20"/>
                <w:color w:val="auto"/>
              </w:rPr>
            </w:pPr>
            <w:r>
              <w:rPr>
                <w:rFonts w:ascii="Arial" w:cs="Arial" w:eastAsia="Arial" w:hAnsi="Arial"/>
                <w:sz w:val="16"/>
                <w:szCs w:val="16"/>
                <w:color w:val="auto"/>
              </w:rPr>
              <w:t>16,957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16,324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34,350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33,162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revolving loan ($2,500 par,</w:t>
            </w:r>
          </w:p>
        </w:tc>
        <w:tc>
          <w:tcPr>
            <w:tcW w:w="860" w:type="dxa"/>
            <w:vAlign w:val="bottom"/>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2,454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2,369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due 10/2024)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Factor Systems, Inc.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($30,000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28,150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10"/>
        </w:trPr>
        <w:tc>
          <w:tcPr>
            <w:tcW w:w="2320" w:type="dxa"/>
            <w:vAlign w:val="bottom"/>
          </w:tcPr>
          <w:p>
            <w:pPr>
              <w:spacing w:after="0"/>
              <w:rPr>
                <w:sz w:val="20"/>
                <w:szCs w:val="20"/>
                <w:color w:val="auto"/>
              </w:rPr>
            </w:pPr>
            <w:r>
              <w:rPr>
                <w:rFonts w:ascii="Arial" w:cs="Arial" w:eastAsia="Arial" w:hAnsi="Arial"/>
                <w:sz w:val="16"/>
                <w:szCs w:val="16"/>
                <w:color w:val="auto"/>
              </w:rPr>
              <w:t xml:space="preserve">G Treasury SS, LLC </w:t>
            </w:r>
            <w:r>
              <w:rPr>
                <w:rFonts w:ascii="Arial" w:cs="Arial" w:eastAsia="Arial" w:hAnsi="Arial"/>
                <w:sz w:val="27"/>
                <w:szCs w:val="27"/>
                <w:color w:val="auto"/>
                <w:vertAlign w:val="superscript"/>
              </w:rPr>
              <w:t>(3)(5)</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($30,113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10.03%</w:t>
            </w:r>
          </w:p>
        </w:tc>
        <w:tc>
          <w:tcPr>
            <w:tcW w:w="800" w:type="dxa"/>
            <w:vAlign w:val="bottom"/>
          </w:tcPr>
          <w:p>
            <w:pPr>
              <w:jc w:val="right"/>
              <w:spacing w:after="0"/>
              <w:rPr>
                <w:sz w:val="20"/>
                <w:szCs w:val="20"/>
                <w:color w:val="auto"/>
              </w:rPr>
            </w:pPr>
            <w:r>
              <w:rPr>
                <w:rFonts w:ascii="Arial" w:cs="Arial" w:eastAsia="Arial" w:hAnsi="Arial"/>
                <w:sz w:val="16"/>
                <w:szCs w:val="16"/>
                <w:color w:val="auto"/>
              </w:rPr>
              <w:t>29,779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29,511</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3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4/2023)</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First-lien loan ($39,624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39,028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6/2025)</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($13,006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10.50%</w:t>
            </w:r>
          </w:p>
        </w:tc>
        <w:tc>
          <w:tcPr>
            <w:tcW w:w="800" w:type="dxa"/>
            <w:vAlign w:val="bottom"/>
          </w:tcPr>
          <w:p>
            <w:pPr>
              <w:jc w:val="right"/>
              <w:spacing w:after="0"/>
              <w:rPr>
                <w:sz w:val="20"/>
                <w:szCs w:val="20"/>
                <w:color w:val="auto"/>
              </w:rPr>
            </w:pPr>
            <w:r>
              <w:rPr>
                <w:rFonts w:ascii="Arial" w:cs="Arial" w:eastAsia="Arial" w:hAnsi="Arial"/>
                <w:sz w:val="16"/>
                <w:szCs w:val="16"/>
                <w:color w:val="auto"/>
              </w:rPr>
              <w:t>12,692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12,560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2320" w:type="dxa"/>
            <w:vAlign w:val="bottom"/>
          </w:tcPr>
          <w:p>
            <w:pPr>
              <w:spacing w:after="0"/>
              <w:rPr>
                <w:sz w:val="17"/>
                <w:szCs w:val="17"/>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4/2025)</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9.00%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First-lien loan (EUR 7,743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E + 9.00%</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03"/>
        </w:trPr>
        <w:tc>
          <w:tcPr>
            <w:tcW w:w="2320" w:type="dxa"/>
            <w:vAlign w:val="bottom"/>
            <w:shd w:val="clear" w:color="auto" w:fill="CFF0FC"/>
          </w:tcPr>
          <w:p>
            <w:pPr>
              <w:spacing w:after="0"/>
              <w:rPr>
                <w:sz w:val="17"/>
                <w:szCs w:val="17"/>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4/2025)</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2"/>
        </w:trPr>
        <w:tc>
          <w:tcPr>
            <w:tcW w:w="2320" w:type="dxa"/>
            <w:vAlign w:val="bottom"/>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6,966)</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rPr>
                <w:sz w:val="17"/>
                <w:szCs w:val="17"/>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w w:val="99"/>
              </w:rPr>
              <w:t>First-lien revolving loan ($1,411 par,</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1,374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3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due 4/2025)</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First-lien revolving loan (EUR 336</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E + 7.25%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par, due 4/2025)</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287)</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($64,163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63,458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64,323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23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7/2022)</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w w:val="99"/>
              </w:rPr>
              <w:t>First-lien revolving loan ($2,000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7/28/2017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due 7/2022)</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PrimeRevenue, Inc. </w:t>
            </w:r>
            <w:r>
              <w:rPr>
                <w:rFonts w:ascii="Arial" w:cs="Arial" w:eastAsia="Arial" w:hAnsi="Arial"/>
                <w:sz w:val="23"/>
                <w:szCs w:val="23"/>
                <w:color w:val="auto"/>
                <w:vertAlign w:val="superscript"/>
              </w:rPr>
              <w:t>(3)</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($21,440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12/31/2018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21,188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21,232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2320" w:type="dxa"/>
            <w:vAlign w:val="bottom"/>
          </w:tcPr>
          <w:p>
            <w:pPr>
              <w:spacing w:after="0"/>
              <w:rPr>
                <w:sz w:val="17"/>
                <w:szCs w:val="17"/>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12/2023)</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5.50%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4"/>
                <w:szCs w:val="24"/>
                <w:color w:val="auto"/>
                <w:vertAlign w:val="superscript"/>
              </w:rPr>
              <w:t>(3)(5)</w:t>
            </w: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First-lien loan ($27,964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7/31/2017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27,638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28,523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1/2022)</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299,401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294,202</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28.5%</w:t>
            </w:r>
          </w:p>
        </w:tc>
      </w:tr>
      <w:tr>
        <w:trPr>
          <w:trHeight w:val="21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9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20" w:type="dxa"/>
            <w:vAlign w:val="bottom"/>
          </w:tcPr>
          <w:p>
            <w:pPr>
              <w:spacing w:after="0"/>
              <w:rPr>
                <w:sz w:val="20"/>
                <w:szCs w:val="20"/>
                <w:color w:val="auto"/>
              </w:rPr>
            </w:pPr>
            <w:r>
              <w:rPr>
                <w:rFonts w:ascii="Arial" w:cs="Arial" w:eastAsia="Arial" w:hAnsi="Arial"/>
                <w:sz w:val="16"/>
                <w:szCs w:val="16"/>
                <w:color w:val="auto"/>
              </w:rPr>
              <w:t>Caris Life Sciences, Ltd.</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($5,000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11.30%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tcPr>
          <w:p>
            <w:pPr>
              <w:jc w:val="right"/>
              <w:spacing w:after="0"/>
              <w:rPr>
                <w:sz w:val="20"/>
                <w:szCs w:val="20"/>
                <w:color w:val="auto"/>
              </w:rPr>
            </w:pPr>
            <w:r>
              <w:rPr>
                <w:rFonts w:ascii="Arial" w:cs="Arial" w:eastAsia="Arial" w:hAnsi="Arial"/>
                <w:sz w:val="16"/>
                <w:szCs w:val="16"/>
                <w:color w:val="auto"/>
              </w:rPr>
              <w:t>4,863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23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9/2023)</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Convertible note ($2,551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8.00%</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03"/>
        </w:trPr>
        <w:tc>
          <w:tcPr>
            <w:tcW w:w="2320" w:type="dxa"/>
            <w:vAlign w:val="bottom"/>
            <w:shd w:val="clear" w:color="auto" w:fill="CFF0FC"/>
          </w:tcPr>
          <w:p>
            <w:pPr>
              <w:spacing w:after="0"/>
              <w:rPr>
                <w:sz w:val="17"/>
                <w:szCs w:val="17"/>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9/2023)</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20" w:type="dxa"/>
            <w:vAlign w:val="bottom"/>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($15,000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14,871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14,362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23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5/2024)</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w w:val="99"/>
              </w:rPr>
              <w:t>First-lien revolving loan ($2,400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due 5/2024)</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Integrated Practice</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($49,750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48,055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47,884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23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900" w:type="dxa"/>
            <w:vAlign w:val="bottom"/>
          </w:tcPr>
          <w:p>
            <w:pPr>
              <w:ind w:left="340"/>
              <w:spacing w:after="0"/>
              <w:rPr>
                <w:sz w:val="20"/>
                <w:szCs w:val="20"/>
                <w:color w:val="auto"/>
              </w:rPr>
            </w:pPr>
            <w:r>
              <w:rPr>
                <w:rFonts w:ascii="Arial" w:cs="Arial" w:eastAsia="Arial" w:hAnsi="Arial"/>
                <w:sz w:val="16"/>
                <w:szCs w:val="16"/>
                <w:color w:val="auto"/>
              </w:rPr>
              <w:t>10/2024)</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2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23"/>
                <w:szCs w:val="23"/>
                <w:color w:val="auto"/>
                <w:vertAlign w:val="superscript"/>
              </w:rPr>
              <w:t>(3)(5)</w:t>
            </w: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First-lien loan ($40,496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9/30/2015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40,351</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40,091</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w:t>
            </w: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9/2020)</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($18,230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2/29/2016</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18,143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17,866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12/2020)</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First-lien loan ($37,500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4/24/2019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36,681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35,813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3/2024)</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($27,936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4/8/2019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tcPr>
          <w:p>
            <w:pPr>
              <w:jc w:val="right"/>
              <w:spacing w:after="0"/>
              <w:rPr>
                <w:sz w:val="20"/>
                <w:szCs w:val="20"/>
                <w:color w:val="auto"/>
              </w:rPr>
            </w:pPr>
            <w:r>
              <w:rPr>
                <w:rFonts w:ascii="Arial" w:cs="Arial" w:eastAsia="Arial" w:hAnsi="Arial"/>
                <w:sz w:val="16"/>
                <w:szCs w:val="16"/>
                <w:color w:val="auto"/>
              </w:rPr>
              <w:t>27,190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26,411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23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900" w:type="dxa"/>
            <w:vAlign w:val="bottom"/>
          </w:tcPr>
          <w:p>
            <w:pPr>
              <w:ind w:left="340"/>
              <w:spacing w:after="0"/>
              <w:rPr>
                <w:sz w:val="20"/>
                <w:szCs w:val="20"/>
                <w:color w:val="auto"/>
              </w:rPr>
            </w:pPr>
            <w:r>
              <w:rPr>
                <w:rFonts w:ascii="Arial" w:cs="Arial" w:eastAsia="Arial" w:hAnsi="Arial"/>
                <w:sz w:val="16"/>
                <w:szCs w:val="16"/>
                <w:color w:val="auto"/>
              </w:rPr>
              <w:t>4/2024)</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20" w:type="dxa"/>
            <w:vAlign w:val="bottom"/>
            <w:shd w:val="clear" w:color="auto" w:fill="CFF0FC"/>
          </w:tcPr>
          <w:p>
            <w:pPr>
              <w:spacing w:after="0"/>
              <w:rPr>
                <w:sz w:val="17"/>
                <w:szCs w:val="17"/>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w w:val="99"/>
              </w:rPr>
              <w:t>First-lien revolving loan ($1,500 par,</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4/8/2019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due 4/2024)</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900" w:type="dxa"/>
            <w:vAlign w:val="bottom"/>
          </w:tcPr>
          <w:p>
            <w:pPr>
              <w:ind w:left="340"/>
              <w:spacing w:after="0"/>
              <w:rPr>
                <w:sz w:val="20"/>
                <w:szCs w:val="20"/>
                <w:color w:val="auto"/>
              </w:rPr>
            </w:pPr>
            <w:r>
              <w:rPr>
                <w:rFonts w:ascii="Arial" w:cs="Arial" w:eastAsia="Arial" w:hAnsi="Arial"/>
                <w:sz w:val="16"/>
                <w:szCs w:val="16"/>
                <w:color w:val="auto"/>
              </w:rPr>
              <w:t>First-lien loan ($21,773 par, due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2/11/2019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21,264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21,337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2320" w:type="dxa"/>
            <w:vAlign w:val="bottom"/>
            <w:tcBorders>
              <w:bottom w:val="single" w:sz="8" w:color="CFF0FC"/>
            </w:tcBorders>
          </w:tcPr>
          <w:p>
            <w:pPr>
              <w:spacing w:after="0"/>
              <w:rPr>
                <w:sz w:val="18"/>
                <w:szCs w:val="18"/>
                <w:color w:val="auto"/>
              </w:rPr>
            </w:pPr>
          </w:p>
        </w:tc>
        <w:tc>
          <w:tcPr>
            <w:tcW w:w="2900" w:type="dxa"/>
            <w:vAlign w:val="bottom"/>
            <w:tcBorders>
              <w:bottom w:val="single" w:sz="8" w:color="CFF0FC"/>
            </w:tcBorders>
          </w:tcPr>
          <w:p>
            <w:pPr>
              <w:ind w:left="340"/>
              <w:spacing w:after="0"/>
              <w:rPr>
                <w:sz w:val="20"/>
                <w:szCs w:val="20"/>
                <w:color w:val="auto"/>
              </w:rPr>
            </w:pPr>
            <w:r>
              <w:rPr>
                <w:rFonts w:ascii="Arial" w:cs="Arial" w:eastAsia="Arial" w:hAnsi="Arial"/>
                <w:sz w:val="16"/>
                <w:szCs w:val="16"/>
                <w:color w:val="auto"/>
              </w:rPr>
              <w:t>2/2024)</w:t>
            </w:r>
          </w:p>
        </w:tc>
        <w:tc>
          <w:tcPr>
            <w:tcW w:w="10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217,804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214,950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20.8%</w:t>
            </w:r>
          </w:p>
        </w:tc>
      </w:tr>
      <w:tr>
        <w:trPr>
          <w:trHeight w:val="207"/>
        </w:trPr>
        <w:tc>
          <w:tcPr>
            <w:tcW w:w="232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First-lien loan ($29,752 par, due</w:t>
            </w:r>
          </w:p>
        </w:tc>
        <w:tc>
          <w:tcPr>
            <w:tcW w:w="10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10.95%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26,628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2320" w:type="dxa"/>
            <w:vAlign w:val="bottom"/>
            <w:shd w:val="clear" w:color="auto" w:fill="CFF0FC"/>
          </w:tcPr>
          <w:p>
            <w:pPr>
              <w:spacing w:after="0"/>
              <w:rPr>
                <w:sz w:val="17"/>
                <w:szCs w:val="17"/>
                <w:color w:val="auto"/>
              </w:rPr>
            </w:pPr>
          </w:p>
        </w:tc>
        <w:tc>
          <w:tcPr>
            <w:tcW w:w="2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9/2021)</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20" w:type="dxa"/>
            <w:vAlign w:val="bottom"/>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rPr>
                <w:sz w:val="17"/>
                <w:szCs w:val="17"/>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w w:val="99"/>
              </w:rPr>
              <w:t>First-lien revolving loan ($4,719 par,</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10.90%</w:t>
            </w:r>
          </w:p>
        </w:tc>
        <w:tc>
          <w:tcPr>
            <w:tcW w:w="800" w:type="dxa"/>
            <w:vAlign w:val="bottom"/>
          </w:tcPr>
          <w:p>
            <w:pPr>
              <w:jc w:val="right"/>
              <w:spacing w:after="0"/>
              <w:rPr>
                <w:sz w:val="20"/>
                <w:szCs w:val="20"/>
                <w:color w:val="auto"/>
              </w:rPr>
            </w:pPr>
            <w:r>
              <w:rPr>
                <w:rFonts w:ascii="Arial" w:cs="Arial" w:eastAsia="Arial" w:hAnsi="Arial"/>
                <w:sz w:val="16"/>
                <w:szCs w:val="16"/>
                <w:color w:val="auto"/>
              </w:rPr>
              <w:t>4,719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4,162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3"/>
        </w:trPr>
        <w:tc>
          <w:tcPr>
            <w:tcW w:w="2320" w:type="dxa"/>
            <w:vAlign w:val="bottom"/>
          </w:tcPr>
          <w:p>
            <w:pPr>
              <w:spacing w:after="0"/>
              <w:rPr>
                <w:sz w:val="17"/>
                <w:szCs w:val="17"/>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due 9/2021)</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5.00%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20" w:type="dxa"/>
            <w:vAlign w:val="bottom"/>
            <w:tcBorders>
              <w:bottom w:val="single" w:sz="8" w:color="CFF0FC"/>
            </w:tcBorders>
          </w:tcPr>
          <w:p>
            <w:pPr>
              <w:spacing w:after="0"/>
              <w:rPr>
                <w:sz w:val="18"/>
                <w:szCs w:val="18"/>
                <w:color w:val="auto"/>
              </w:rPr>
            </w:pPr>
          </w:p>
        </w:tc>
        <w:tc>
          <w:tcPr>
            <w:tcW w:w="29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0"/>
        </w:trPr>
        <w:tc>
          <w:tcPr>
            <w:tcW w:w="232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32,746</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30,790</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20"/>
                <w:szCs w:val="20"/>
                <w:color w:val="auto"/>
              </w:rPr>
            </w:pPr>
            <w:r>
              <w:rPr>
                <w:rFonts w:ascii="Arial" w:cs="Arial" w:eastAsia="Arial" w:hAnsi="Arial"/>
                <w:sz w:val="16"/>
                <w:szCs w:val="16"/>
                <w:b w:val="1"/>
                <w:bCs w:val="1"/>
                <w:color w:val="auto"/>
                <w:w w:val="94"/>
              </w:rPr>
              <w:t>Human resource support services</w:t>
            </w:r>
          </w:p>
        </w:tc>
        <w:tc>
          <w:tcPr>
            <w:tcW w:w="2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6"/>
        </w:trPr>
        <w:tc>
          <w:tcPr>
            <w:tcW w:w="246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Absorb Software, Inc. </w:t>
            </w:r>
            <w:r>
              <w:rPr>
                <w:rFonts w:ascii="Arial" w:cs="Arial" w:eastAsia="Arial" w:hAnsi="Arial"/>
                <w:sz w:val="23"/>
                <w:szCs w:val="23"/>
                <w:color w:val="auto"/>
                <w:vertAlign w:val="superscript"/>
              </w:rPr>
              <w:t>(3)(4)(5)</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($34,750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34,071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32,752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5/2024)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loan ($19,679 par, due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10.28%</w:t>
            </w:r>
          </w:p>
        </w:tc>
        <w:tc>
          <w:tcPr>
            <w:tcW w:w="800" w:type="dxa"/>
            <w:vAlign w:val="bottom"/>
          </w:tcPr>
          <w:p>
            <w:pPr>
              <w:jc w:val="right"/>
              <w:spacing w:after="0"/>
              <w:rPr>
                <w:sz w:val="20"/>
                <w:szCs w:val="20"/>
                <w:color w:val="auto"/>
              </w:rPr>
            </w:pPr>
            <w:r>
              <w:rPr>
                <w:rFonts w:ascii="Arial" w:cs="Arial" w:eastAsia="Arial" w:hAnsi="Arial"/>
                <w:sz w:val="16"/>
                <w:szCs w:val="16"/>
                <w:color w:val="auto"/>
              </w:rPr>
              <w:t>19,495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18,892</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3"/>
        </w:trPr>
        <w:tc>
          <w:tcPr>
            <w:tcW w:w="246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6"/>
                <w:szCs w:val="16"/>
                <w:color w:val="auto"/>
              </w:rPr>
              <w:t>7/2023)</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($30,499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26,082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6"/>
                <w:szCs w:val="16"/>
                <w:color w:val="auto"/>
                <w:w w:val="99"/>
              </w:rPr>
              <w:t>First-lien revolving loan ($3,000 par,</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P + 6.25%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2,921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2,538</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46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6"/>
                <w:szCs w:val="16"/>
                <w:color w:val="auto"/>
              </w:rPr>
              <w:t>due 10/2024)</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First-lien loan (AUD 51,441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39,437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30,382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2460" w:type="dxa"/>
            <w:vAlign w:val="bottom"/>
            <w:shd w:val="clear" w:color="auto" w:fill="CFF0FC"/>
          </w:tcPr>
          <w:p>
            <w:pPr>
              <w:spacing w:after="0"/>
              <w:rPr>
                <w:sz w:val="17"/>
                <w:szCs w:val="17"/>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12/2022)</w:t>
            </w: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(AUD 49,640)</w:t>
            </w: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46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1.25%</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revolving loan (AUD 5,000</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B + 7.25%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3,017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2,953</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6"/>
                <w:szCs w:val="16"/>
                <w:color w:val="auto"/>
              </w:rPr>
              <w:t>par, due 12/2022)</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(AUD 4,825)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($39,850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37,712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5/2024)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Shaker International, Inc. </w:t>
            </w:r>
            <w:r>
              <w:rPr>
                <w:rFonts w:ascii="Arial" w:cs="Arial" w:eastAsia="Arial" w:hAnsi="Arial"/>
                <w:sz w:val="23"/>
                <w:szCs w:val="23"/>
                <w:color w:val="auto"/>
                <w:vertAlign w:val="superscript"/>
              </w:rPr>
              <w:t>(3)(5)</w:t>
            </w: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loan ($22,331 par, due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5/15/2019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21,848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21,326</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2460" w:type="dxa"/>
            <w:vAlign w:val="bottom"/>
            <w:tcBorders>
              <w:bottom w:val="single" w:sz="8" w:color="CFF0FC"/>
            </w:tcBorders>
          </w:tcPr>
          <w:p>
            <w:pPr>
              <w:spacing w:after="0"/>
              <w:rPr>
                <w:sz w:val="18"/>
                <w:szCs w:val="18"/>
                <w:color w:val="auto"/>
              </w:rPr>
            </w:pPr>
          </w:p>
        </w:tc>
        <w:tc>
          <w:tcPr>
            <w:tcW w:w="26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5/2024)</w:t>
            </w:r>
          </w:p>
        </w:tc>
        <w:tc>
          <w:tcPr>
            <w:tcW w:w="10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189,444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172,637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16.6%</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($51,349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6/30/2017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8.26%</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50,865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49,809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10/2023)</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Vertafore, Inc. </w:t>
            </w:r>
            <w:r>
              <w:rPr>
                <w:rFonts w:ascii="Arial" w:cs="Arial" w:eastAsia="Arial" w:hAnsi="Arial"/>
                <w:sz w:val="23"/>
                <w:szCs w:val="23"/>
                <w:color w:val="auto"/>
                <w:vertAlign w:val="superscript"/>
              </w:rPr>
              <w:t>(3)(11)</w:t>
            </w: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loan ($718 par, due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3/23/2020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+ 3.25%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800" w:type="dxa"/>
            <w:vAlign w:val="bottom"/>
          </w:tcPr>
          <w:p>
            <w:pPr>
              <w:jc w:val="right"/>
              <w:spacing w:after="0"/>
              <w:rPr>
                <w:sz w:val="20"/>
                <w:szCs w:val="20"/>
                <w:color w:val="auto"/>
              </w:rPr>
            </w:pPr>
            <w:r>
              <w:rPr>
                <w:rFonts w:ascii="Arial" w:cs="Arial" w:eastAsia="Arial" w:hAnsi="Arial"/>
                <w:sz w:val="16"/>
                <w:szCs w:val="16"/>
                <w:color w:val="auto"/>
              </w:rPr>
              <w:t>562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630</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460" w:type="dxa"/>
            <w:vAlign w:val="bottom"/>
            <w:tcBorders>
              <w:bottom w:val="single" w:sz="8" w:color="CFF0FC"/>
            </w:tcBorders>
          </w:tcPr>
          <w:p>
            <w:pPr>
              <w:spacing w:after="0"/>
              <w:rPr>
                <w:sz w:val="18"/>
                <w:szCs w:val="18"/>
                <w:color w:val="auto"/>
              </w:rPr>
            </w:pPr>
          </w:p>
        </w:tc>
        <w:tc>
          <w:tcPr>
            <w:tcW w:w="26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7/2025)</w:t>
            </w:r>
          </w:p>
        </w:tc>
        <w:tc>
          <w:tcPr>
            <w:tcW w:w="10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51,427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50,439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w:t>
            </w:r>
          </w:p>
        </w:tc>
      </w:tr>
      <w:tr>
        <w:trPr>
          <w:trHeight w:val="206"/>
        </w:trPr>
        <w:tc>
          <w:tcPr>
            <w:tcW w:w="246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Gainsight, Inc. </w:t>
            </w:r>
            <w:r>
              <w:rPr>
                <w:rFonts w:ascii="Arial" w:cs="Arial" w:eastAsia="Arial" w:hAnsi="Arial"/>
                <w:sz w:val="24"/>
                <w:szCs w:val="24"/>
                <w:color w:val="auto"/>
                <w:vertAlign w:val="superscript"/>
              </w:rPr>
              <w:t>(9)</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($3,432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7/29/2019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13.00%</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3,289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03"/>
        </w:trPr>
        <w:tc>
          <w:tcPr>
            <w:tcW w:w="2460" w:type="dxa"/>
            <w:vAlign w:val="bottom"/>
            <w:shd w:val="clear" w:color="auto" w:fill="CFF0FC"/>
          </w:tcPr>
          <w:p>
            <w:pPr>
              <w:spacing w:after="0"/>
              <w:rPr>
                <w:sz w:val="17"/>
                <w:szCs w:val="17"/>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7/2025)</w:t>
            </w: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46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23"/>
                <w:szCs w:val="23"/>
                <w:color w:val="auto"/>
                <w:vertAlign w:val="superscript"/>
              </w:rPr>
              <w:t>(3)(5)</w:t>
            </w: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loan ($37,050 par, due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6/18/2018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800" w:type="dxa"/>
            <w:vAlign w:val="bottom"/>
          </w:tcPr>
          <w:p>
            <w:pPr>
              <w:jc w:val="right"/>
              <w:spacing w:after="0"/>
              <w:rPr>
                <w:sz w:val="20"/>
                <w:szCs w:val="20"/>
                <w:color w:val="auto"/>
              </w:rPr>
            </w:pPr>
            <w:r>
              <w:rPr>
                <w:rFonts w:ascii="Arial" w:cs="Arial" w:eastAsia="Arial" w:hAnsi="Arial"/>
                <w:sz w:val="16"/>
                <w:szCs w:val="16"/>
                <w:color w:val="auto"/>
              </w:rPr>
              <w:t>36,703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35,475</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6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6"/>
                <w:szCs w:val="16"/>
                <w:color w:val="auto"/>
              </w:rPr>
              <w:t>1/2022)</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($54,700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10/3/2017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53,953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51,474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24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10/2022)</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loan ($12,232 par, due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12.00%</w:t>
            </w:r>
          </w:p>
        </w:tc>
        <w:tc>
          <w:tcPr>
            <w:tcW w:w="800" w:type="dxa"/>
            <w:vAlign w:val="bottom"/>
          </w:tcPr>
          <w:p>
            <w:pPr>
              <w:jc w:val="right"/>
              <w:spacing w:after="0"/>
              <w:rPr>
                <w:sz w:val="20"/>
                <w:szCs w:val="20"/>
                <w:color w:val="auto"/>
              </w:rPr>
            </w:pPr>
            <w:r>
              <w:rPr>
                <w:rFonts w:ascii="Arial" w:cs="Arial" w:eastAsia="Arial" w:hAnsi="Arial"/>
                <w:sz w:val="16"/>
                <w:szCs w:val="16"/>
                <w:color w:val="auto"/>
              </w:rPr>
              <w:t>12,100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11,609</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246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6"/>
                <w:szCs w:val="16"/>
                <w:color w:val="auto"/>
              </w:rPr>
              <w:t>7/2024)</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7.00%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tcBorders>
              <w:bottom w:val="single" w:sz="8" w:color="CFF0FC"/>
            </w:tcBorders>
          </w:tcPr>
          <w:p>
            <w:pPr>
              <w:spacing w:after="0"/>
              <w:rPr>
                <w:sz w:val="18"/>
                <w:szCs w:val="18"/>
                <w:color w:val="auto"/>
              </w:rPr>
            </w:pPr>
          </w:p>
        </w:tc>
        <w:tc>
          <w:tcPr>
            <w:tcW w:w="268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106,126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101,847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Acoustic, L.P. </w:t>
            </w:r>
            <w:r>
              <w:rPr>
                <w:rFonts w:ascii="Arial" w:cs="Arial" w:eastAsia="Arial" w:hAnsi="Arial"/>
                <w:sz w:val="24"/>
                <w:szCs w:val="24"/>
                <w:color w:val="auto"/>
                <w:vertAlign w:val="superscript"/>
              </w:rPr>
              <w:t>(3)</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note ($33,000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12/17/2019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32,265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31,268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6/2024)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ABL FILO term loan ($11,000 par,</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9/12/2017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10,862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9/2022)</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Energy Alloys, LLC </w:t>
            </w:r>
            <w:r>
              <w:rPr>
                <w:rFonts w:ascii="Arial" w:cs="Arial" w:eastAsia="Arial" w:hAnsi="Arial"/>
                <w:sz w:val="24"/>
                <w:szCs w:val="24"/>
                <w:color w:val="auto"/>
                <w:vertAlign w:val="superscript"/>
              </w:rPr>
              <w:t>(3)(5)</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ABL FILO term loan ($20,250 par,</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8/28/2019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19,530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19,369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8/2024)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MD America Energy,</w:t>
            </w: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loan ($18,947 par, due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11/14/2018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9.47%</w:t>
            </w:r>
          </w:p>
        </w:tc>
        <w:tc>
          <w:tcPr>
            <w:tcW w:w="800" w:type="dxa"/>
            <w:vAlign w:val="bottom"/>
          </w:tcPr>
          <w:p>
            <w:pPr>
              <w:jc w:val="right"/>
              <w:spacing w:after="0"/>
              <w:rPr>
                <w:sz w:val="20"/>
                <w:szCs w:val="20"/>
                <w:color w:val="auto"/>
              </w:rPr>
            </w:pPr>
            <w:r>
              <w:rPr>
                <w:rFonts w:ascii="Arial" w:cs="Arial" w:eastAsia="Arial" w:hAnsi="Arial"/>
                <w:sz w:val="16"/>
                <w:szCs w:val="16"/>
                <w:color w:val="auto"/>
              </w:rPr>
              <w:t>18,729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17,194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24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80" w:type="dxa"/>
            <w:vAlign w:val="bottom"/>
          </w:tcPr>
          <w:p>
            <w:pPr>
              <w:ind w:left="120"/>
              <w:spacing w:after="0"/>
              <w:rPr>
                <w:sz w:val="20"/>
                <w:szCs w:val="20"/>
                <w:color w:val="auto"/>
              </w:rPr>
            </w:pPr>
            <w:r>
              <w:rPr>
                <w:rFonts w:ascii="Arial" w:cs="Arial" w:eastAsia="Arial" w:hAnsi="Arial"/>
                <w:sz w:val="16"/>
                <w:szCs w:val="16"/>
                <w:color w:val="auto"/>
              </w:rPr>
              <w:t>11/2023)</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($7,786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6/29/2018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2,842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2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6/2020)</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Verdad Resources Intermediate</w:t>
            </w:r>
          </w:p>
        </w:tc>
        <w:tc>
          <w:tcPr>
            <w:tcW w:w="2680" w:type="dxa"/>
            <w:vAlign w:val="bottom"/>
          </w:tcPr>
          <w:p>
            <w:pPr>
              <w:ind w:left="120"/>
              <w:spacing w:after="0"/>
              <w:rPr>
                <w:sz w:val="20"/>
                <w:szCs w:val="20"/>
                <w:color w:val="auto"/>
              </w:rPr>
            </w:pPr>
            <w:r>
              <w:rPr>
                <w:rFonts w:ascii="Arial" w:cs="Arial" w:eastAsia="Arial" w:hAnsi="Arial"/>
                <w:sz w:val="16"/>
                <w:szCs w:val="16"/>
                <w:color w:val="auto"/>
              </w:rPr>
              <w:t>First-lien loan ($42,222 par, due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4/10/2019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41,313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39,847</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246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6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10/2023)</w:t>
            </w:r>
          </w:p>
        </w:tc>
        <w:tc>
          <w:tcPr>
            <w:tcW w:w="10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0"/>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87,356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79,252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w:t>
            </w:r>
          </w:p>
        </w:tc>
      </w:tr>
      <w:tr>
        <w:trPr>
          <w:trHeight w:val="206"/>
        </w:trPr>
        <w:tc>
          <w:tcPr>
            <w:tcW w:w="246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Nektar Therapeutics </w:t>
            </w:r>
            <w:r>
              <w:rPr>
                <w:rFonts w:ascii="Arial" w:cs="Arial" w:eastAsia="Arial" w:hAnsi="Arial"/>
                <w:sz w:val="24"/>
                <w:szCs w:val="24"/>
                <w:color w:val="auto"/>
                <w:vertAlign w:val="superscript"/>
              </w:rPr>
              <w:t>(4)(5)(9)</w:t>
            </w: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Secured note ($74,950 par, due</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10/5/2015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74,830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75,137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w:t>
            </w:r>
          </w:p>
        </w:tc>
      </w:tr>
      <w:tr>
        <w:trPr>
          <w:trHeight w:val="212"/>
        </w:trPr>
        <w:tc>
          <w:tcPr>
            <w:tcW w:w="2460" w:type="dxa"/>
            <w:vAlign w:val="bottom"/>
            <w:shd w:val="clear" w:color="auto" w:fill="CFF0FC"/>
          </w:tcPr>
          <w:p>
            <w:pPr>
              <w:spacing w:after="0"/>
              <w:rPr>
                <w:sz w:val="18"/>
                <w:szCs w:val="18"/>
                <w:color w:val="auto"/>
              </w:rPr>
            </w:pPr>
          </w:p>
        </w:tc>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10/2020)</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rPr>
          <w:sz w:val="20"/>
          <w:szCs w:val="20"/>
          <w:color w:val="auto"/>
        </w:rPr>
      </w:pPr>
      <w:r>
        <w:rPr>
          <w:rFonts w:ascii="Arial" w:cs="Arial" w:eastAsia="Arial" w:hAnsi="Arial"/>
          <w:sz w:val="16"/>
          <w:szCs w:val="16"/>
          <w:b w:val="1"/>
          <w:bCs w:val="1"/>
          <w:color w:val="auto"/>
        </w:rPr>
        <w:t>Real Estate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10"/>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ResMan, LLC </w:t>
            </w:r>
            <w:r>
              <w:rPr>
                <w:rFonts w:ascii="Arial" w:cs="Arial" w:eastAsia="Arial" w:hAnsi="Arial"/>
                <w:sz w:val="27"/>
                <w:szCs w:val="27"/>
                <w:color w:val="auto"/>
                <w:vertAlign w:val="superscript"/>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($20,805 par, due</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10/3/2019</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L + 8.00%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20,384</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19,410</w:t>
            </w: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r>
      <w:tr>
        <w:trPr>
          <w:trHeight w:val="212"/>
        </w:trPr>
        <w:tc>
          <w:tcPr>
            <w:tcW w:w="240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10/2024)</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99 Cents Only Stores</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ABL FILO term loan ($32,500 par,</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9/6/2017</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L + 7.75%</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32,581</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16"/>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4/2021)</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American Achievement,</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($22,730 par, due</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9/30/2015</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L + 8.25%</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9.84%</w:t>
            </w:r>
          </w:p>
        </w:tc>
        <w:tc>
          <w:tcPr>
            <w:tcW w:w="800" w:type="dxa"/>
            <w:vAlign w:val="bottom"/>
          </w:tcPr>
          <w:p>
            <w:pPr>
              <w:jc w:val="right"/>
              <w:spacing w:after="0"/>
              <w:rPr>
                <w:sz w:val="20"/>
                <w:szCs w:val="20"/>
                <w:color w:val="auto"/>
              </w:rPr>
            </w:pPr>
            <w:r>
              <w:rPr>
                <w:rFonts w:ascii="Arial" w:cs="Arial" w:eastAsia="Arial" w:hAnsi="Arial"/>
                <w:sz w:val="16"/>
                <w:szCs w:val="16"/>
                <w:color w:val="auto"/>
              </w:rPr>
              <w:t>22,658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20,457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206"/>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w:t>
            </w:r>
          </w:p>
        </w:tc>
        <w:tc>
          <w:tcPr>
            <w:tcW w:w="2820" w:type="dxa"/>
            <w:vAlign w:val="bottom"/>
          </w:tcPr>
          <w:p>
            <w:pPr>
              <w:ind w:left="260"/>
              <w:spacing w:after="0"/>
              <w:rPr>
                <w:sz w:val="20"/>
                <w:szCs w:val="20"/>
                <w:color w:val="auto"/>
              </w:rPr>
            </w:pPr>
            <w:r>
              <w:rPr>
                <w:rFonts w:ascii="Arial" w:cs="Arial" w:eastAsia="Arial" w:hAnsi="Arial"/>
                <w:sz w:val="16"/>
                <w:szCs w:val="16"/>
                <w:color w:val="auto"/>
              </w:rPr>
              <w:t>9/2022)</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3.25%</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Forever 21, Inc. </w:t>
            </w:r>
            <w:r>
              <w:rPr>
                <w:rFonts w:ascii="Arial" w:cs="Arial" w:eastAsia="Arial" w:hAnsi="Arial"/>
                <w:sz w:val="24"/>
                <w:szCs w:val="24"/>
                <w:color w:val="auto"/>
                <w:vertAlign w:val="superscript"/>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ABL DIP term loan ($6,227 par, due</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10/2/2019</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L + 12.00%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r>
      <w:tr>
        <w:trPr>
          <w:trHeight w:val="212"/>
        </w:trPr>
        <w:tc>
          <w:tcPr>
            <w:tcW w:w="240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7/2020)</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J.C. Penney Company,</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($9,189 par, due</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6/5/2019</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L + 4.25%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800" w:type="dxa"/>
            <w:vAlign w:val="bottom"/>
          </w:tcPr>
          <w:p>
            <w:pPr>
              <w:jc w:val="right"/>
              <w:spacing w:after="0"/>
              <w:rPr>
                <w:sz w:val="20"/>
                <w:szCs w:val="20"/>
                <w:color w:val="auto"/>
              </w:rPr>
            </w:pPr>
            <w:r>
              <w:rPr>
                <w:rFonts w:ascii="Arial" w:cs="Arial" w:eastAsia="Arial" w:hAnsi="Arial"/>
                <w:sz w:val="16"/>
                <w:szCs w:val="16"/>
                <w:color w:val="auto"/>
              </w:rPr>
              <w:t>7,712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3,676</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r>
      <w:tr>
        <w:trPr>
          <w:trHeight w:val="216"/>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(11)</w:t>
            </w:r>
          </w:p>
        </w:tc>
        <w:tc>
          <w:tcPr>
            <w:tcW w:w="2820" w:type="dxa"/>
            <w:vAlign w:val="bottom"/>
          </w:tcPr>
          <w:p>
            <w:pPr>
              <w:ind w:left="260"/>
              <w:spacing w:after="0" w:line="216" w:lineRule="exact"/>
              <w:rPr>
                <w:sz w:val="20"/>
                <w:szCs w:val="20"/>
                <w:color w:val="auto"/>
              </w:rPr>
            </w:pPr>
            <w:r>
              <w:rPr>
                <w:rFonts w:ascii="Arial" w:cs="Arial" w:eastAsia="Arial" w:hAnsi="Arial"/>
                <w:sz w:val="15"/>
                <w:szCs w:val="15"/>
                <w:color w:val="auto"/>
              </w:rPr>
              <w:t>6/2023)</w:t>
            </w:r>
            <w:r>
              <w:rPr>
                <w:rFonts w:ascii="Arial" w:cs="Arial" w:eastAsia="Arial" w:hAnsi="Arial"/>
                <w:sz w:val="25"/>
                <w:szCs w:val="25"/>
                <w:color w:val="auto"/>
                <w:vertAlign w:val="superscript"/>
              </w:rPr>
              <w:t>(3)</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17"/>
                <w:szCs w:val="17"/>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First-lien secured note ($12,338 par,</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6/5/2019</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5.88%</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10,367</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40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7/2023)</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820" w:type="dxa"/>
            <w:vAlign w:val="bottom"/>
          </w:tcPr>
          <w:p>
            <w:pPr>
              <w:ind w:left="260"/>
              <w:spacing w:after="0"/>
              <w:rPr>
                <w:sz w:val="20"/>
                <w:szCs w:val="20"/>
                <w:color w:val="auto"/>
              </w:rPr>
            </w:pPr>
            <w:r>
              <w:rPr>
                <w:rFonts w:ascii="Arial" w:cs="Arial" w:eastAsia="Arial" w:hAnsi="Arial"/>
                <w:sz w:val="16"/>
                <w:szCs w:val="16"/>
                <w:color w:val="auto"/>
              </w:rPr>
              <w:t>ABL FILO term loan ($26,111 par,</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5/6/2019</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L + 6.50%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8.08%</w:t>
            </w:r>
          </w:p>
        </w:tc>
        <w:tc>
          <w:tcPr>
            <w:tcW w:w="800" w:type="dxa"/>
            <w:vAlign w:val="bottom"/>
          </w:tcPr>
          <w:p>
            <w:pPr>
              <w:jc w:val="right"/>
              <w:spacing w:after="0"/>
              <w:rPr>
                <w:sz w:val="20"/>
                <w:szCs w:val="20"/>
                <w:color w:val="auto"/>
              </w:rPr>
            </w:pPr>
            <w:r>
              <w:rPr>
                <w:rFonts w:ascii="Arial" w:cs="Arial" w:eastAsia="Arial" w:hAnsi="Arial"/>
                <w:sz w:val="16"/>
                <w:szCs w:val="16"/>
                <w:color w:val="auto"/>
              </w:rPr>
              <w:t>25,428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26,111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209"/>
        </w:trPr>
        <w:tc>
          <w:tcPr>
            <w:tcW w:w="240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due 5/2024)</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ABL FILO term loan ($39,138 par,</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6/21/2019</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P + 5.75%</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38,796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39,138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w:t>
            </w:r>
          </w:p>
        </w:tc>
      </w:tr>
      <w:tr>
        <w:trPr>
          <w:trHeight w:val="212"/>
        </w:trPr>
        <w:tc>
          <w:tcPr>
            <w:tcW w:w="240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12/2021)</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Neiman Marcus Group</w:t>
            </w:r>
          </w:p>
        </w:tc>
        <w:tc>
          <w:tcPr>
            <w:tcW w:w="2820" w:type="dxa"/>
            <w:vAlign w:val="bottom"/>
          </w:tcPr>
          <w:p>
            <w:pPr>
              <w:ind w:left="260"/>
              <w:spacing w:after="0"/>
              <w:rPr>
                <w:sz w:val="20"/>
                <w:szCs w:val="20"/>
                <w:color w:val="auto"/>
              </w:rPr>
            </w:pPr>
            <w:r>
              <w:rPr>
                <w:rFonts w:ascii="Arial" w:cs="Arial" w:eastAsia="Arial" w:hAnsi="Arial"/>
                <w:sz w:val="16"/>
                <w:szCs w:val="16"/>
                <w:color w:val="auto"/>
              </w:rPr>
              <w:t>ABL FILO term loan ($72,000 par,</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9/11/2019</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L + 6.00%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71,225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71,100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r>
      <w:tr>
        <w:trPr>
          <w:trHeight w:val="216"/>
        </w:trPr>
        <w:tc>
          <w:tcPr>
            <w:tcW w:w="24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Ltd LLC </w:t>
            </w:r>
            <w:r>
              <w:rPr>
                <w:rFonts w:ascii="Arial" w:cs="Arial" w:eastAsia="Arial" w:hAnsi="Arial"/>
                <w:sz w:val="25"/>
                <w:szCs w:val="25"/>
                <w:color w:val="auto"/>
                <w:vertAlign w:val="superscript"/>
              </w:rPr>
              <w:t>(3)</w:t>
            </w:r>
          </w:p>
        </w:tc>
        <w:tc>
          <w:tcPr>
            <w:tcW w:w="2820" w:type="dxa"/>
            <w:vAlign w:val="bottom"/>
          </w:tcPr>
          <w:p>
            <w:pPr>
              <w:ind w:left="260"/>
              <w:spacing w:after="0"/>
              <w:rPr>
                <w:sz w:val="20"/>
                <w:szCs w:val="20"/>
                <w:color w:val="auto"/>
              </w:rPr>
            </w:pPr>
            <w:r>
              <w:rPr>
                <w:rFonts w:ascii="Arial" w:cs="Arial" w:eastAsia="Arial" w:hAnsi="Arial"/>
                <w:sz w:val="16"/>
                <w:szCs w:val="16"/>
                <w:color w:val="auto"/>
              </w:rPr>
              <w:t>due 7/2021)</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400" w:type="dxa"/>
            <w:vAlign w:val="bottom"/>
            <w:shd w:val="clear" w:color="auto" w:fill="CFF0FC"/>
          </w:tcPr>
          <w:p>
            <w:pPr>
              <w:spacing w:after="0"/>
              <w:rPr>
                <w:sz w:val="17"/>
                <w:szCs w:val="17"/>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($993 par, due</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9/12/2019</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L + 6.00%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40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10/2023) </w:t>
            </w:r>
            <w:r>
              <w:rPr>
                <w:rFonts w:ascii="Arial" w:cs="Arial" w:eastAsia="Arial" w:hAnsi="Arial"/>
                <w:sz w:val="25"/>
                <w:szCs w:val="25"/>
                <w:color w:val="auto"/>
                <w:vertAlign w:val="superscript"/>
              </w:rPr>
              <w:t>(11)</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215,484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204,272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19.7%</w:t>
            </w:r>
          </w:p>
        </w:tc>
      </w:tr>
      <w:tr>
        <w:trPr>
          <w:trHeight w:val="212"/>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Transportation</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23"/>
                <w:szCs w:val="23"/>
                <w:color w:val="auto"/>
                <w:vertAlign w:val="superscript"/>
              </w:rPr>
              <w:t>(3)(4)(5)</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($85,159 par, due</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5/4/2018</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L + 5.75%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7.34%</w:t>
            </w:r>
          </w:p>
        </w:tc>
        <w:tc>
          <w:tcPr>
            <w:tcW w:w="800" w:type="dxa"/>
            <w:vAlign w:val="bottom"/>
          </w:tcPr>
          <w:p>
            <w:pPr>
              <w:jc w:val="right"/>
              <w:spacing w:after="0"/>
              <w:rPr>
                <w:sz w:val="20"/>
                <w:szCs w:val="20"/>
                <w:color w:val="auto"/>
              </w:rPr>
            </w:pPr>
            <w:r>
              <w:rPr>
                <w:rFonts w:ascii="Arial" w:cs="Arial" w:eastAsia="Arial" w:hAnsi="Arial"/>
                <w:sz w:val="16"/>
                <w:szCs w:val="16"/>
                <w:color w:val="auto"/>
              </w:rPr>
              <w:t>84,075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88,901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8.6%</w:t>
            </w:r>
          </w:p>
        </w:tc>
      </w:tr>
      <w:tr>
        <w:trPr>
          <w:trHeight w:val="209"/>
        </w:trPr>
        <w:tc>
          <w:tcPr>
            <w:tcW w:w="2400" w:type="dxa"/>
            <w:vAlign w:val="bottom"/>
            <w:tcBorders>
              <w:bottom w:val="single" w:sz="8" w:color="CFF0FC"/>
            </w:tcBorders>
          </w:tcPr>
          <w:p>
            <w:pPr>
              <w:spacing w:after="0"/>
              <w:rPr>
                <w:sz w:val="18"/>
                <w:szCs w:val="18"/>
                <w:color w:val="auto"/>
              </w:rPr>
            </w:pPr>
          </w:p>
        </w:tc>
        <w:tc>
          <w:tcPr>
            <w:tcW w:w="2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5/2023)</w:t>
            </w:r>
          </w:p>
        </w:tc>
        <w:tc>
          <w:tcPr>
            <w:tcW w:w="104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0"/>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2,057,282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1,993,085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192.3%</w:t>
            </w:r>
          </w:p>
        </w:tc>
      </w:tr>
      <w:tr>
        <w:trPr>
          <w:trHeight w:val="212"/>
        </w:trPr>
        <w:tc>
          <w:tcPr>
            <w:tcW w:w="2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5"/>
                <w:szCs w:val="25"/>
                <w:color w:val="auto"/>
                <w:vertAlign w:val="superscript"/>
              </w:rPr>
              <w:t>(6)(13)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Units (4,441,090 units)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10/16/2018</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Units (1,262 units)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1/17/2018</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3"/>
        </w:trPr>
        <w:tc>
          <w:tcPr>
            <w:tcW w:w="240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Class B Units (517,020 units)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1/17/2018</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Shares (1,197 shares)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3/30/2018</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3"/>
        </w:trPr>
        <w:tc>
          <w:tcPr>
            <w:tcW w:w="240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Class B Shares (398,557 shares)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3/30/2018</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4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40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07"/>
        </w:trPr>
        <w:tc>
          <w:tcPr>
            <w:tcW w:w="240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(13)(14)</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Units (3,386,630 units)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10/31/2016</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4,575</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(13)(14)</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70,000 Warrants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2/28/2020</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(14)</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Shares (293,232 shares)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10/1/2019</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14,854</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Oxford Square Capital</w:t>
            </w:r>
          </w:p>
        </w:tc>
        <w:tc>
          <w:tcPr>
            <w:tcW w:w="2820" w:type="dxa"/>
            <w:vAlign w:val="bottom"/>
          </w:tcPr>
          <w:p>
            <w:pPr>
              <w:ind w:left="260"/>
              <w:spacing w:after="0"/>
              <w:rPr>
                <w:sz w:val="20"/>
                <w:szCs w:val="20"/>
                <w:color w:val="auto"/>
              </w:rPr>
            </w:pPr>
            <w:r>
              <w:rPr>
                <w:rFonts w:ascii="Arial" w:cs="Arial" w:eastAsia="Arial" w:hAnsi="Arial"/>
                <w:sz w:val="16"/>
                <w:szCs w:val="16"/>
                <w:color w:val="auto"/>
              </w:rPr>
              <w:t>Common Shares (1,059 shares)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8/5/2015</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5"/>
                <w:szCs w:val="25"/>
                <w:color w:val="auto"/>
                <w:vertAlign w:val="superscript"/>
              </w:rPr>
              <w:t>(13)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Shares (35,000 shares)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7/31/2017</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0"/>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18,361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23,573</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0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w:t>
            </w:r>
          </w:p>
        </w:tc>
        <w:tc>
          <w:tcPr>
            <w:tcW w:w="2820" w:type="dxa"/>
            <w:vAlign w:val="bottom"/>
          </w:tcPr>
          <w:p>
            <w:pPr>
              <w:ind w:left="260"/>
              <w:spacing w:after="0"/>
              <w:rPr>
                <w:sz w:val="20"/>
                <w:szCs w:val="20"/>
                <w:color w:val="auto"/>
              </w:rPr>
            </w:pPr>
            <w:r>
              <w:rPr>
                <w:rFonts w:ascii="Arial" w:cs="Arial" w:eastAsia="Arial" w:hAnsi="Arial"/>
                <w:sz w:val="16"/>
                <w:szCs w:val="16"/>
                <w:color w:val="auto"/>
              </w:rPr>
              <w:t>633,376 Warrants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9/21/2018</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4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(13)(14)</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4,685,068 Warrants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10/7/2019</w:t>
            </w: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820" w:type="dxa"/>
            <w:vAlign w:val="bottom"/>
          </w:tcPr>
          <w:p>
            <w:pPr>
              <w:ind w:left="260"/>
              <w:spacing w:after="0"/>
              <w:rPr>
                <w:sz w:val="20"/>
                <w:szCs w:val="20"/>
                <w:color w:val="auto"/>
              </w:rPr>
            </w:pPr>
            <w:r>
              <w:rPr>
                <w:rFonts w:ascii="Arial" w:cs="Arial" w:eastAsia="Arial" w:hAnsi="Arial"/>
                <w:sz w:val="16"/>
                <w:szCs w:val="16"/>
                <w:color w:val="auto"/>
              </w:rPr>
              <w:t>954,478 Warrants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(13)(14)(15)</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(13)(15)</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Shares (1,000 shares)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2/11/2019</w:t>
            </w: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0"/>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12"/>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00" w:type="dxa"/>
            <w:vAlign w:val="bottom"/>
          </w:tcPr>
          <w:p>
            <w:pPr>
              <w:spacing w:after="0" w:line="216"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5"/>
                <w:szCs w:val="25"/>
                <w:color w:val="auto"/>
                <w:vertAlign w:val="superscript"/>
              </w:rPr>
              <w:t>(7)(13)</w:t>
            </w:r>
          </w:p>
        </w:tc>
        <w:tc>
          <w:tcPr>
            <w:tcW w:w="28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Class A Units (31,690,171 units) </w:t>
            </w:r>
            <w:r>
              <w:rPr>
                <w:rFonts w:ascii="Arial" w:cs="Arial" w:eastAsia="Arial" w:hAnsi="Arial"/>
                <w:sz w:val="25"/>
                <w:szCs w:val="25"/>
                <w:color w:val="auto"/>
                <w:vertAlign w:val="superscript"/>
              </w:rPr>
              <w:t>(14)</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12/21/2018</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21,836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40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C-1 Units (8,800,000 units)</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12/21/2018</w:t>
            </w: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21,936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365</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2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w w:val="89"/>
              </w:rPr>
              <w:t>Human resource support services</w:t>
            </w: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(13)(15)</w:t>
            </w:r>
          </w:p>
        </w:tc>
        <w:tc>
          <w:tcPr>
            <w:tcW w:w="2400" w:type="dxa"/>
            <w:vAlign w:val="bottom"/>
            <w:gridSpan w:val="4"/>
          </w:tcPr>
          <w:p>
            <w:pPr>
              <w:ind w:left="340"/>
              <w:spacing w:after="0"/>
              <w:rPr>
                <w:sz w:val="20"/>
                <w:szCs w:val="20"/>
                <w:color w:val="auto"/>
              </w:rPr>
            </w:pPr>
            <w:r>
              <w:rPr>
                <w:rFonts w:ascii="Arial" w:cs="Arial" w:eastAsia="Arial" w:hAnsi="Arial"/>
                <w:sz w:val="16"/>
                <w:szCs w:val="16"/>
                <w:color w:val="auto"/>
              </w:rPr>
              <w:t>Class A Units (44,944 units)</w:t>
            </w:r>
          </w:p>
        </w:tc>
        <w:tc>
          <w:tcPr>
            <w:tcW w:w="4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8/24/2018</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1,994</w:t>
            </w: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4740" w:type="dxa"/>
            <w:vAlign w:val="bottom"/>
            <w:gridSpan w:val="6"/>
            <w:shd w:val="clear" w:color="auto" w:fill="CFF0FC"/>
          </w:tcPr>
          <w:p>
            <w:pPr>
              <w:spacing w:after="0" w:line="216" w:lineRule="exact"/>
              <w:rPr>
                <w:sz w:val="20"/>
                <w:szCs w:val="20"/>
                <w:color w:val="auto"/>
              </w:rPr>
            </w:pPr>
            <w:r>
              <w:rPr>
                <w:rFonts w:ascii="Arial" w:cs="Arial" w:eastAsia="Arial" w:hAnsi="Arial"/>
                <w:sz w:val="15"/>
                <w:szCs w:val="15"/>
                <w:color w:val="auto"/>
                <w:w w:val="99"/>
              </w:rPr>
              <w:t xml:space="preserve">DaySmart Holdings, LLC. </w:t>
            </w:r>
            <w:r>
              <w:rPr>
                <w:rFonts w:ascii="Arial" w:cs="Arial" w:eastAsia="Arial" w:hAnsi="Arial"/>
                <w:sz w:val="25"/>
                <w:szCs w:val="25"/>
                <w:color w:val="auto"/>
                <w:w w:val="99"/>
                <w:vertAlign w:val="superscript"/>
              </w:rPr>
              <w:t>(13)(14)(15)</w:t>
            </w:r>
            <w:r>
              <w:rPr>
                <w:rFonts w:ascii="Arial" w:cs="Arial" w:eastAsia="Arial" w:hAnsi="Arial"/>
                <w:sz w:val="15"/>
                <w:szCs w:val="15"/>
                <w:color w:val="auto"/>
                <w:w w:val="99"/>
              </w:rPr>
              <w:t xml:space="preserve">    Class A Units (125,810 units)</w:t>
            </w:r>
          </w:p>
        </w:tc>
        <w:tc>
          <w:tcPr>
            <w:tcW w:w="4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3,014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2,779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8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5"/>
                <w:szCs w:val="25"/>
                <w:color w:val="auto"/>
                <w:vertAlign w:val="superscript"/>
              </w:rPr>
              <w:t>(13)</w:t>
            </w:r>
          </w:p>
        </w:tc>
        <w:tc>
          <w:tcPr>
            <w:tcW w:w="2840" w:type="dxa"/>
            <w:vAlign w:val="bottom"/>
            <w:gridSpan w:val="5"/>
          </w:tcPr>
          <w:p>
            <w:pPr>
              <w:ind w:left="340"/>
              <w:spacing w:after="0"/>
              <w:rPr>
                <w:sz w:val="20"/>
                <w:szCs w:val="20"/>
                <w:color w:val="auto"/>
              </w:rPr>
            </w:pPr>
            <w:r>
              <w:rPr>
                <w:rFonts w:ascii="Arial" w:cs="Arial" w:eastAsia="Arial" w:hAnsi="Arial"/>
                <w:sz w:val="16"/>
                <w:szCs w:val="16"/>
                <w:color w:val="auto"/>
                <w:w w:val="90"/>
              </w:rPr>
              <w:t>Common Shares Class A (1,020 units)</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6/30/2017</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1,193</w:t>
            </w: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40" w:type="dxa"/>
            <w:vAlign w:val="bottom"/>
            <w:gridSpan w:val="5"/>
            <w:shd w:val="clear" w:color="auto" w:fill="CFF0FC"/>
          </w:tcPr>
          <w:p>
            <w:pPr>
              <w:ind w:left="340"/>
              <w:spacing w:after="0"/>
              <w:rPr>
                <w:sz w:val="20"/>
                <w:szCs w:val="20"/>
                <w:color w:val="auto"/>
              </w:rPr>
            </w:pPr>
            <w:r>
              <w:rPr>
                <w:rFonts w:ascii="Arial" w:cs="Arial" w:eastAsia="Arial" w:hAnsi="Arial"/>
                <w:sz w:val="16"/>
                <w:szCs w:val="16"/>
                <w:color w:val="auto"/>
              </w:rPr>
              <w:t>Common Shares Class B (987,929</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6/30/2017</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1,205</w:t>
            </w: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8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(13)(14)</w:t>
            </w:r>
          </w:p>
        </w:tc>
        <w:tc>
          <w:tcPr>
            <w:tcW w:w="2840" w:type="dxa"/>
            <w:vAlign w:val="bottom"/>
            <w:gridSpan w:val="5"/>
          </w:tcPr>
          <w:p>
            <w:pPr>
              <w:ind w:left="340"/>
              <w:spacing w:after="0"/>
              <w:rPr>
                <w:sz w:val="20"/>
                <w:szCs w:val="20"/>
                <w:color w:val="auto"/>
              </w:rPr>
            </w:pPr>
            <w:r>
              <w:rPr>
                <w:rFonts w:ascii="Arial" w:cs="Arial" w:eastAsia="Arial" w:hAnsi="Arial"/>
                <w:sz w:val="16"/>
                <w:szCs w:val="16"/>
                <w:color w:val="auto"/>
                <w:w w:val="97"/>
              </w:rPr>
              <w:t>Series F Preferred Shares (199,054</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8/2/2019</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8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6"/>
                <w:szCs w:val="16"/>
                <w:color w:val="auto"/>
              </w:rPr>
              <w:t>shares)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23"/>
                <w:szCs w:val="23"/>
                <w:color w:val="auto"/>
                <w:vertAlign w:val="superscript"/>
              </w:rPr>
              <w:t>(13)</w:t>
            </w:r>
          </w:p>
        </w:tc>
        <w:tc>
          <w:tcPr>
            <w:tcW w:w="2840" w:type="dxa"/>
            <w:vAlign w:val="bottom"/>
            <w:gridSpan w:val="5"/>
          </w:tcPr>
          <w:p>
            <w:pPr>
              <w:ind w:left="340"/>
              <w:spacing w:after="0"/>
              <w:rPr>
                <w:sz w:val="20"/>
                <w:szCs w:val="20"/>
                <w:color w:val="auto"/>
              </w:rPr>
            </w:pPr>
            <w:r>
              <w:rPr>
                <w:rFonts w:ascii="Arial" w:cs="Arial" w:eastAsia="Arial" w:hAnsi="Arial"/>
                <w:sz w:val="16"/>
                <w:szCs w:val="16"/>
                <w:color w:val="auto"/>
                <w:w w:val="92"/>
              </w:rPr>
              <w:t>Series A Preferred Shares (3,840,000</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5/31/2018</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3,840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9,857</w:t>
            </w:r>
          </w:p>
        </w:tc>
        <w:tc>
          <w:tcPr>
            <w:tcW w:w="8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6"/>
                <w:szCs w:val="16"/>
                <w:color w:val="auto"/>
              </w:rPr>
              <w:t>shares)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gridSpan w:val="2"/>
          </w:tcPr>
          <w:p>
            <w:pPr>
              <w:spacing w:after="0"/>
              <w:rPr>
                <w:sz w:val="20"/>
                <w:szCs w:val="20"/>
                <w:color w:val="auto"/>
              </w:rPr>
            </w:pPr>
            <w:r>
              <w:rPr>
                <w:rFonts w:ascii="Arial" w:cs="Arial" w:eastAsia="Arial" w:hAnsi="Arial"/>
                <w:sz w:val="16"/>
                <w:szCs w:val="16"/>
                <w:color w:val="auto"/>
              </w:rPr>
              <w:t>Mississippi Resources,</w:t>
            </w:r>
          </w:p>
        </w:tc>
        <w:tc>
          <w:tcPr>
            <w:tcW w:w="2840" w:type="dxa"/>
            <w:vAlign w:val="bottom"/>
            <w:gridSpan w:val="5"/>
          </w:tcPr>
          <w:p>
            <w:pPr>
              <w:ind w:left="340"/>
              <w:spacing w:after="0"/>
              <w:rPr>
                <w:sz w:val="20"/>
                <w:szCs w:val="20"/>
                <w:color w:val="auto"/>
              </w:rPr>
            </w:pPr>
            <w:r>
              <w:rPr>
                <w:rFonts w:ascii="Arial" w:cs="Arial" w:eastAsia="Arial" w:hAnsi="Arial"/>
                <w:sz w:val="16"/>
                <w:szCs w:val="16"/>
                <w:color w:val="auto"/>
                <w:w w:val="92"/>
              </w:rPr>
              <w:t>Class A-0 Member Units (1,000 units)</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12/12/2019</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6,693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340" w:type="dxa"/>
            <w:vAlign w:val="bottom"/>
            <w:gridSpan w:val="2"/>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(7)(13)</w:t>
            </w:r>
          </w:p>
        </w:tc>
        <w:tc>
          <w:tcPr>
            <w:tcW w:w="860" w:type="dxa"/>
            <w:vAlign w:val="bottom"/>
          </w:tcPr>
          <w:p>
            <w:pPr>
              <w:ind w:left="34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40" w:type="dxa"/>
            <w:vAlign w:val="bottom"/>
            <w:gridSpan w:val="5"/>
            <w:shd w:val="clear" w:color="auto" w:fill="CFF0FC"/>
          </w:tcPr>
          <w:p>
            <w:pPr>
              <w:ind w:left="340"/>
              <w:spacing w:after="0"/>
              <w:rPr>
                <w:sz w:val="20"/>
                <w:szCs w:val="20"/>
                <w:color w:val="auto"/>
              </w:rPr>
            </w:pPr>
            <w:r>
              <w:rPr>
                <w:rFonts w:ascii="Arial" w:cs="Arial" w:eastAsia="Arial" w:hAnsi="Arial"/>
                <w:sz w:val="16"/>
                <w:szCs w:val="16"/>
                <w:color w:val="auto"/>
                <w:w w:val="92"/>
              </w:rPr>
              <w:t>Class A-1 Member Units (1,360 units)</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5/3/2017</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8"/>
              </w:rPr>
              <w:t>10,366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340"/>
              <w:spacing w:after="0"/>
              <w:rPr>
                <w:sz w:val="20"/>
                <w:szCs w:val="20"/>
                <w:color w:val="auto"/>
              </w:rPr>
            </w:pPr>
            <w:r>
              <w:rPr>
                <w:rFonts w:ascii="Arial" w:cs="Arial" w:eastAsia="Arial" w:hAnsi="Arial"/>
                <w:sz w:val="16"/>
                <w:szCs w:val="16"/>
                <w:color w:val="auto"/>
                <w:w w:val="97"/>
              </w:rPr>
              <w:t>Class A-2 Member Units (933 units)</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6/4/2014</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8,874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8"/>
              </w:rPr>
              <w:t>25,933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8"/>
              </w:rPr>
              <w:t>88,059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w w:val="98"/>
              </w:rPr>
              <w:t>52,487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b w:val="1"/>
                <w:bCs w:val="1"/>
                <w:color w:val="auto"/>
              </w:rPr>
              <w:t>Investments</w:t>
            </w:r>
          </w:p>
        </w:tc>
        <w:tc>
          <w:tcPr>
            <w:tcW w:w="8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4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$ 2,145,341</w:t>
            </w:r>
          </w:p>
        </w:tc>
        <w:tc>
          <w:tcPr>
            <w:tcW w:w="2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$ 2,045,572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197.3%</w:t>
            </w: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gridSpan w:val="2"/>
          </w:tcPr>
          <w:p>
            <w:pPr>
              <w:spacing w:after="0" w:line="20" w:lineRule="exact"/>
              <w:rPr>
                <w:sz w:val="1"/>
                <w:szCs w:val="1"/>
                <w:color w:val="auto"/>
              </w:rPr>
            </w:pPr>
          </w:p>
        </w:tc>
        <w:tc>
          <w:tcPr>
            <w:tcW w:w="1160" w:type="dxa"/>
            <w:vAlign w:val="bottom"/>
            <w:tcBorders>
              <w:top w:val="single" w:sz="8" w:color="CFF0FC"/>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0" w:type="dxa"/>
            <w:vAlign w:val="bottom"/>
            <w:gridSpan w:val="9"/>
          </w:tcPr>
          <w:p>
            <w:pPr>
              <w:jc w:val="center"/>
              <w:ind w:right="540"/>
              <w:spacing w:after="0"/>
              <w:rPr>
                <w:sz w:val="20"/>
                <w:szCs w:val="20"/>
                <w:color w:val="auto"/>
              </w:rPr>
            </w:pPr>
            <w:r>
              <w:rPr>
                <w:rFonts w:ascii="Arial" w:cs="Arial" w:eastAsia="Arial" w:hAnsi="Arial"/>
                <w:sz w:val="14"/>
                <w:szCs w:val="14"/>
                <w:b w:val="1"/>
                <w:bCs w:val="1"/>
                <w:color w:val="auto"/>
                <w:w w:val="92"/>
              </w:rPr>
              <w:t>Interest Rate Swaps as of March 31, 2020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center"/>
              <w:ind w:left="101"/>
              <w:spacing w:after="0" w:line="133" w:lineRule="exact"/>
              <w:rPr>
                <w:sz w:val="20"/>
                <w:szCs w:val="20"/>
                <w:color w:val="auto"/>
              </w:rPr>
            </w:pPr>
            <w:r>
              <w:rPr>
                <w:rFonts w:ascii="Arial" w:cs="Arial" w:eastAsia="Arial" w:hAnsi="Arial"/>
                <w:sz w:val="14"/>
                <w:szCs w:val="14"/>
                <w:b w:val="1"/>
                <w:bCs w:val="1"/>
                <w:color w:val="auto"/>
                <w:w w:val="94"/>
              </w:rPr>
              <w:t>Upfront</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20" w:type="dxa"/>
            <w:vAlign w:val="bottom"/>
            <w:gridSpan w:val="4"/>
            <w:vMerge w:val="restart"/>
          </w:tcPr>
          <w:p>
            <w:pPr>
              <w:jc w:val="right"/>
              <w:ind w:right="390"/>
              <w:spacing w:after="0"/>
              <w:rPr>
                <w:sz w:val="20"/>
                <w:szCs w:val="20"/>
                <w:color w:val="auto"/>
              </w:rPr>
            </w:pPr>
            <w:r>
              <w:rPr>
                <w:rFonts w:ascii="Arial" w:cs="Arial" w:eastAsia="Arial" w:hAnsi="Arial"/>
                <w:sz w:val="14"/>
                <w:szCs w:val="14"/>
                <w:b w:val="1"/>
                <w:bCs w:val="1"/>
                <w:color w:val="auto"/>
              </w:rPr>
              <w:t>Maturity Date</w:t>
            </w: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900" w:type="dxa"/>
            <w:vAlign w:val="bottom"/>
            <w:gridSpan w:val="3"/>
          </w:tcPr>
          <w:p>
            <w:pPr>
              <w:jc w:val="center"/>
              <w:ind w:left="101"/>
              <w:spacing w:after="0" w:line="149" w:lineRule="exact"/>
              <w:rPr>
                <w:sz w:val="20"/>
                <w:szCs w:val="20"/>
                <w:color w:val="auto"/>
              </w:rPr>
            </w:pPr>
            <w:r>
              <w:rPr>
                <w:rFonts w:ascii="Arial" w:cs="Arial" w:eastAsia="Arial" w:hAnsi="Arial"/>
                <w:sz w:val="14"/>
                <w:szCs w:val="14"/>
                <w:b w:val="1"/>
                <w:bCs w:val="1"/>
                <w:color w:val="auto"/>
                <w:w w:val="91"/>
              </w:rPr>
              <w:t>Payments /</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20" w:type="dxa"/>
            <w:vAlign w:val="bottom"/>
            <w:gridSpan w:val="4"/>
            <w:vMerge w:val="continue"/>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900" w:type="dxa"/>
            <w:vAlign w:val="bottom"/>
            <w:gridSpan w:val="3"/>
          </w:tcPr>
          <w:p>
            <w:pPr>
              <w:jc w:val="center"/>
              <w:ind w:left="101"/>
              <w:spacing w:after="0"/>
              <w:rPr>
                <w:sz w:val="20"/>
                <w:szCs w:val="20"/>
                <w:color w:val="auto"/>
              </w:rPr>
            </w:pPr>
            <w:r>
              <w:rPr>
                <w:rFonts w:ascii="Arial" w:cs="Arial" w:eastAsia="Arial" w:hAnsi="Arial"/>
                <w:sz w:val="14"/>
                <w:szCs w:val="14"/>
                <w:b w:val="1"/>
                <w:bCs w:val="1"/>
                <w:color w:val="auto"/>
                <w:w w:val="89"/>
              </w:rPr>
              <w:t>Receipts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center"/>
              <w:ind w:right="157"/>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6/25/2020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7/30/2021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gridSpan w:val="2"/>
            <w:shd w:val="clear" w:color="auto" w:fill="CFF0FC"/>
          </w:tcPr>
          <w:p>
            <w:pPr>
              <w:jc w:val="center"/>
              <w:ind w:right="46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7/29/2022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860" w:type="dxa"/>
            <w:vAlign w:val="bottom"/>
          </w:tcPr>
          <w:p>
            <w:pPr>
              <w:jc w:val="center"/>
              <w:ind w:right="157"/>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860" w:type="dxa"/>
            <w:vAlign w:val="bottom"/>
            <w:shd w:val="clear" w:color="auto" w:fill="CFF0FC"/>
          </w:tcPr>
          <w:p>
            <w:pPr>
              <w:jc w:val="center"/>
              <w:ind w:right="157"/>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860" w:type="dxa"/>
            <w:vAlign w:val="bottom"/>
          </w:tcPr>
          <w:p>
            <w:pPr>
              <w:jc w:val="center"/>
              <w:ind w:right="157"/>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860" w:type="dxa"/>
            <w:vAlign w:val="bottom"/>
            <w:shd w:val="clear" w:color="auto" w:fill="CFF0FC"/>
          </w:tcPr>
          <w:p>
            <w:pPr>
              <w:jc w:val="center"/>
              <w:ind w:right="157"/>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1/22/2023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428,900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860" w:type="dxa"/>
            <w:vAlign w:val="bottom"/>
          </w:tcPr>
          <w:p>
            <w:pPr>
              <w:jc w:val="center"/>
              <w:ind w:right="157"/>
              <w:spacing w:after="0"/>
              <w:rPr>
                <w:sz w:val="20"/>
                <w:szCs w:val="20"/>
                <w:color w:val="auto"/>
              </w:rPr>
            </w:pPr>
            <w:r>
              <w:rPr>
                <w:rFonts w:ascii="Arial" w:cs="Arial" w:eastAsia="Arial" w:hAnsi="Arial"/>
                <w:sz w:val="18"/>
                <w:szCs w:val="18"/>
                <w:color w:val="auto"/>
                <w:w w:val="90"/>
              </w:rPr>
              <w:t>3.88%</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+ 2.25%</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11/1/2024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860" w:type="dxa"/>
            <w:vAlign w:val="bottom"/>
            <w:shd w:val="clear" w:color="auto" w:fill="CFF0FC"/>
          </w:tcPr>
          <w:p>
            <w:pPr>
              <w:jc w:val="center"/>
              <w:ind w:right="157"/>
              <w:spacing w:after="0"/>
              <w:rPr>
                <w:sz w:val="20"/>
                <w:szCs w:val="20"/>
                <w:color w:val="auto"/>
              </w:rPr>
            </w:pPr>
            <w:r>
              <w:rPr>
                <w:rFonts w:ascii="Arial" w:cs="Arial" w:eastAsia="Arial" w:hAnsi="Arial"/>
                <w:sz w:val="18"/>
                <w:szCs w:val="18"/>
                <w:color w:val="auto"/>
                <w:w w:val="90"/>
              </w:rPr>
              <w:t>3.88%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+ 2.46%</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11/1/2024</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18,816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(29,821)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derivatives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778,900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right="200" w:hanging="493"/>
        <w:spacing w:after="0" w:line="26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7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6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ind w:left="500" w:right="20" w:hanging="492"/>
        <w:spacing w:after="0" w:line="26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March 31, 2020.</w:t>
      </w:r>
    </w:p>
    <w:p>
      <w:pPr>
        <w:ind w:left="500" w:right="2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18.8% of total assets as of March 31, 2020.</w:t>
      </w:r>
    </w:p>
    <w:p>
      <w:pPr>
        <w:spacing w:after="0" w:line="1"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120" w:hanging="492"/>
        <w:spacing w:after="0" w:line="25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2020 in which the Company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three months ended March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22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Gain/(Losses)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7"/>
              </w:rPr>
              <w:t>48,484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1,236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50,136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48,484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60" w:hanging="492"/>
        <w:spacing w:after="0" w:line="30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2020 in which the Company was an Affiliated Person of and was deemed to Control a portfolio company are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three months ended March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4"/>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1"/>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3"/>
              </w:rPr>
              <w:t>Gain/(Loss)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1,027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(10,048)</w:t>
            </w:r>
          </w:p>
        </w:tc>
        <w:tc>
          <w:tcPr>
            <w:tcW w:w="12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(13,507</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1,027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March 31, 2020, the estimated cost basis of investments for U.S. federal tax purposes was $2,143,424, resulting in estimated gross unrealized gains and losses of $81,191 and $150,959,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492" w:hanging="492"/>
        <w:spacing w:after="0" w:line="258" w:lineRule="auto"/>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spacing w:after="0" w:line="1" w:lineRule="exact"/>
        <w:rPr>
          <w:rFonts w:ascii="Arial" w:cs="Arial" w:eastAsia="Arial" w:hAnsi="Arial"/>
          <w:sz w:val="18"/>
          <w:szCs w:val="18"/>
          <w:color w:val="auto"/>
        </w:rPr>
      </w:pPr>
    </w:p>
    <w:p>
      <w:pPr>
        <w:ind w:left="492" w:right="80" w:hanging="492"/>
        <w:spacing w:after="0" w:line="250" w:lineRule="auto"/>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492" w:right="40" w:hanging="492"/>
        <w:spacing w:after="0" w:line="250" w:lineRule="auto"/>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492" w:right="40" w:hanging="492"/>
        <w:spacing w:after="0" w:line="250" w:lineRule="auto"/>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492" w:hanging="492"/>
        <w:spacing w:after="0"/>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492" w:right="160" w:hanging="492"/>
        <w:spacing w:after="0" w:line="250" w:lineRule="auto"/>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March 31, 2020, the aggregate fair value of these securities is $16,732, or 1.6% of the Company’s net assets.</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is on non-accrual status as of March 31, 2020.</w:t>
      </w:r>
    </w:p>
    <w:p>
      <w:pPr>
        <w:spacing w:after="0" w:line="21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52"/>
          </w:cols>
          <w:pgMar w:left="328" w:top="341" w:right="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Initial</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Reference</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Rate and</w:t>
            </w: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Amortized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53"/>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320" w:type="dxa"/>
            <w:vAlign w:val="bottom"/>
            <w:gridSpan w:val="2"/>
          </w:tcPr>
          <w:p>
            <w:pPr>
              <w:ind w:left="800"/>
              <w:spacing w:after="0"/>
              <w:rPr>
                <w:sz w:val="20"/>
                <w:szCs w:val="20"/>
                <w:color w:val="auto"/>
              </w:rPr>
            </w:pPr>
            <w:r>
              <w:rPr>
                <w:rFonts w:ascii="Arial" w:cs="Arial" w:eastAsia="Arial" w:hAnsi="Arial"/>
                <w:sz w:val="13"/>
                <w:szCs w:val="13"/>
                <w:b w:val="1"/>
                <w:bCs w:val="1"/>
                <w:color w:val="auto"/>
              </w:rPr>
              <w:t>Investment</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Spread</w:t>
            </w:r>
          </w:p>
        </w:tc>
        <w:tc>
          <w:tcPr>
            <w:tcW w:w="13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Interest Rate</w:t>
            </w:r>
          </w:p>
        </w:tc>
        <w:tc>
          <w:tcPr>
            <w:tcW w:w="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of Net Assets</w:t>
            </w:r>
          </w:p>
        </w:tc>
      </w:tr>
      <w:tr>
        <w:trPr>
          <w:trHeight w:val="209"/>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Beverage, food and tobacco</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4"/>
                <w:szCs w:val="24"/>
                <w:color w:val="auto"/>
                <w:vertAlign w:val="superscript"/>
              </w:rPr>
              <w:t>(3)(5)(6)</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($45,559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10/16/2018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45,004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10/2023)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64,025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+ 4.75%</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48,001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49,497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0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7/2023)</w:t>
            </w: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64,185)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($45,296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8.75%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43,921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44,061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Dye &amp; Durham Corp. </w:t>
            </w:r>
            <w:r>
              <w:rPr>
                <w:rFonts w:ascii="Arial" w:cs="Arial" w:eastAsia="Arial" w:hAnsi="Arial"/>
                <w:sz w:val="24"/>
                <w:szCs w:val="24"/>
                <w:color w:val="auto"/>
                <w:vertAlign w:val="superscript"/>
              </w:rPr>
              <w:t>(3)(4)</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65,669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+ 7.00%</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49,015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03"/>
        </w:trPr>
        <w:tc>
          <w:tcPr>
            <w:tcW w:w="2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7/2024)</w:t>
            </w: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64,355)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revolving loan (CAD</w:t>
            </w:r>
          </w:p>
        </w:tc>
        <w:tc>
          <w:tcPr>
            <w:tcW w:w="820" w:type="dxa"/>
            <w:vAlign w:val="bottom"/>
          </w:tcPr>
          <w:p>
            <w:pPr>
              <w:jc w:val="right"/>
              <w:spacing w:after="0"/>
              <w:rPr>
                <w:sz w:val="20"/>
                <w:szCs w:val="20"/>
                <w:color w:val="auto"/>
              </w:rPr>
            </w:pPr>
            <w:r>
              <w:rPr>
                <w:rFonts w:ascii="Arial" w:cs="Arial" w:eastAsia="Arial" w:hAnsi="Arial"/>
                <w:sz w:val="16"/>
                <w:szCs w:val="16"/>
                <w:color w:val="auto"/>
              </w:rPr>
              <w:t>7/11/2019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6"/>
                <w:szCs w:val="16"/>
                <w:color w:val="auto"/>
              </w:rPr>
              <w:t>1,750 par, due 7/2024)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w w:val="94"/>
              </w:rPr>
              <w:t>(CAD 1,680)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Integration Appliance, Inc. </w:t>
            </w:r>
            <w:r>
              <w:rPr>
                <w:rFonts w:ascii="Arial" w:cs="Arial" w:eastAsia="Arial" w:hAnsi="Arial"/>
                <w:sz w:val="24"/>
                <w:szCs w:val="24"/>
                <w:color w:val="auto"/>
                <w:vertAlign w:val="superscript"/>
              </w:rPr>
              <w:t>(3)</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($71,500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70,619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71,685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8/2023)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($59,853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7.45%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58,764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60,451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Netwrix Corp. and Concept</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($20,000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10/17/2019</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+ 5.88%</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19,541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r>
      <w:tr>
        <w:trPr>
          <w:trHeight w:val="216"/>
        </w:trPr>
        <w:tc>
          <w:tcPr>
            <w:tcW w:w="262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Searching, Inc. </w:t>
            </w:r>
            <w:r>
              <w:rPr>
                <w:rFonts w:ascii="Arial" w:cs="Arial" w:eastAsia="Arial" w:hAnsi="Arial"/>
                <w:sz w:val="25"/>
                <w:szCs w:val="25"/>
                <w:color w:val="auto"/>
                <w:vertAlign w:val="superscript"/>
              </w:rPr>
              <w:t>(3)(5)</w:t>
            </w: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($74,223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8.05%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72,844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75,151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r>
      <w:tr>
        <w:trPr>
          <w:trHeight w:val="209"/>
        </w:trPr>
        <w:tc>
          <w:tcPr>
            <w:tcW w:w="2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4/2024)</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363,974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371,419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33.1%</w:t>
            </w:r>
          </w:p>
        </w:tc>
      </w:tr>
      <w:tr>
        <w:trPr>
          <w:trHeight w:val="207"/>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Chemicals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4"/>
                <w:szCs w:val="24"/>
                <w:color w:val="auto"/>
                <w:vertAlign w:val="superscript"/>
              </w:rPr>
              <w:t>(3)</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Second-lien loan ($4,147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10/31/2016</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+ 12.00%</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10/2021)</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4"/>
                <w:szCs w:val="24"/>
                <w:color w:val="auto"/>
                <w:vertAlign w:val="superscript"/>
              </w:rPr>
              <w:t>(3)</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+ 8.00%</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12/2024)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Curriculum Associates,</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+ 5.50%</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7.30%</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72,055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r>
      <w:tr>
        <w:trPr>
          <w:trHeight w:val="21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6"/>
                <w:szCs w:val="16"/>
                <w:color w:val="auto"/>
              </w:rPr>
              <w:t>Frontline Technologies</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($65,798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+ 5.75%</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7.55%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65,395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65,963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r>
      <w:tr>
        <w:trPr>
          <w:trHeight w:val="216"/>
        </w:trPr>
        <w:tc>
          <w:tcPr>
            <w:tcW w:w="262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rPr>
              <w:t>9/2023)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Illuminate Education,</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($64,025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63,227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r>
      <w:tr>
        <w:trPr>
          <w:trHeight w:val="213"/>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8/2022)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200,677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206,946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r>
      <w:tr>
        <w:trPr>
          <w:trHeight w:val="213"/>
        </w:trPr>
        <w:tc>
          <w:tcPr>
            <w:tcW w:w="2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Electronics</w:t>
            </w:r>
          </w:p>
        </w:tc>
        <w:tc>
          <w:tcPr>
            <w:tcW w:w="2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APX Group, Inc. </w:t>
            </w:r>
            <w:r>
              <w:rPr>
                <w:rFonts w:ascii="Arial" w:cs="Arial" w:eastAsia="Arial" w:hAnsi="Arial"/>
                <w:sz w:val="23"/>
                <w:szCs w:val="23"/>
                <w:color w:val="auto"/>
                <w:vertAlign w:val="superscript"/>
              </w:rPr>
              <w:t>(11)</w:t>
            </w:r>
          </w:p>
        </w:tc>
        <w:tc>
          <w:tcPr>
            <w:tcW w:w="2320" w:type="dxa"/>
            <w:vAlign w:val="bottom"/>
            <w:gridSpan w:val="2"/>
          </w:tcPr>
          <w:p>
            <w:pPr>
              <w:spacing w:after="0"/>
              <w:rPr>
                <w:sz w:val="20"/>
                <w:szCs w:val="20"/>
                <w:color w:val="auto"/>
              </w:rPr>
            </w:pPr>
            <w:r>
              <w:rPr>
                <w:rFonts w:ascii="Arial" w:cs="Arial" w:eastAsia="Arial" w:hAnsi="Arial"/>
                <w:sz w:val="16"/>
                <w:szCs w:val="16"/>
                <w:color w:val="auto"/>
              </w:rPr>
              <w:t>Secured note ($1,000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5/31/2019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7.88%</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7.88%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1,009</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12/2022)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AppStar Financial, LLC </w:t>
            </w:r>
            <w:r>
              <w:rPr>
                <w:rFonts w:ascii="Arial" w:cs="Arial" w:eastAsia="Arial" w:hAnsi="Arial"/>
                <w:sz w:val="23"/>
                <w:szCs w:val="23"/>
                <w:color w:val="auto"/>
                <w:vertAlign w:val="superscript"/>
              </w:rPr>
              <w:t>(3)</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($15,855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8/18/2015</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9.30%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15,794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15,944</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8/2020)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($10,350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11.00%</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($17,456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10/10/2019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+ 5.00%</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6.80%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16,978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10/25/2019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8.80%</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34,273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($30,000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4/9/2018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10.03%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29,643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4/2023)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($39,724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39,099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6/2025)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320" w:type="dxa"/>
            <w:vAlign w:val="bottom"/>
            <w:gridSpan w:val="2"/>
          </w:tcPr>
          <w:p>
            <w:pPr>
              <w:spacing w:after="0"/>
              <w:rPr>
                <w:sz w:val="20"/>
                <w:szCs w:val="20"/>
                <w:color w:val="auto"/>
              </w:rPr>
            </w:pPr>
            <w:r>
              <w:rPr>
                <w:rFonts w:ascii="Arial" w:cs="Arial" w:eastAsia="Arial" w:hAnsi="Arial"/>
                <w:sz w:val="16"/>
                <w:szCs w:val="16"/>
                <w:color w:val="auto"/>
              </w:rPr>
              <w:t>First-lien loan ($12,717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4/9/2019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+ 9.00%</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10.94% (incl.</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12,391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12,866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4/2025)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9.00% PIK)</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6"/>
        </w:trPr>
        <w:tc>
          <w:tcPr>
            <w:tcW w:w="2320" w:type="dxa"/>
            <w:vAlign w:val="bottom"/>
            <w:shd w:val="clear" w:color="auto" w:fill="CFF0FC"/>
          </w:tcPr>
          <w:p>
            <w:pPr>
              <w:spacing w:after="0"/>
              <w:rPr>
                <w:sz w:val="17"/>
                <w:szCs w:val="17"/>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(EUR 7,571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E + 9.00%</w:t>
            </w: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7,759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due 4/2025)</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6,912)</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rPr>
                <w:sz w:val="17"/>
                <w:szCs w:val="17"/>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First-lien revolving loan ($427</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760" w:type="dxa"/>
            <w:vAlign w:val="bottom"/>
          </w:tcPr>
          <w:p>
            <w:pPr>
              <w:jc w:val="right"/>
              <w:spacing w:after="0"/>
              <w:rPr>
                <w:sz w:val="20"/>
                <w:szCs w:val="20"/>
                <w:color w:val="auto"/>
              </w:rPr>
            </w:pPr>
            <w:r>
              <w:rPr>
                <w:rFonts w:ascii="Arial" w:cs="Arial" w:eastAsia="Arial" w:hAnsi="Arial"/>
                <w:sz w:val="16"/>
                <w:szCs w:val="16"/>
                <w:color w:val="auto"/>
              </w:rPr>
              <w:t>384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par, due 4/2025)</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revolving loan (EUR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E + 7.25%</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183 par, due 4/2025)</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54)</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($64,327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760" w:type="dxa"/>
            <w:vAlign w:val="bottom"/>
          </w:tcPr>
          <w:p>
            <w:pPr>
              <w:jc w:val="right"/>
              <w:spacing w:after="0"/>
              <w:rPr>
                <w:sz w:val="20"/>
                <w:szCs w:val="20"/>
                <w:color w:val="auto"/>
              </w:rPr>
            </w:pPr>
            <w:r>
              <w:rPr>
                <w:rFonts w:ascii="Arial" w:cs="Arial" w:eastAsia="Arial" w:hAnsi="Arial"/>
                <w:sz w:val="16"/>
                <w:szCs w:val="16"/>
                <w:color w:val="auto"/>
              </w:rPr>
              <w:t>63,518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65,511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7/2022)</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($21,144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+ 8.50%</w:t>
            </w: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10.30%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21,213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12/2023)</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5.50%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Swift Gift, Ltd. </w:t>
            </w:r>
            <w:r>
              <w:rPr>
                <w:rFonts w:ascii="Arial" w:cs="Arial" w:eastAsia="Arial" w:hAnsi="Arial"/>
                <w:sz w:val="23"/>
                <w:szCs w:val="23"/>
                <w:color w:val="auto"/>
                <w:vertAlign w:val="superscript"/>
              </w:rPr>
              <w:t>(3)(5)</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($28,146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7/31/2017</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8.31%</w:t>
            </w:r>
          </w:p>
        </w:tc>
        <w:tc>
          <w:tcPr>
            <w:tcW w:w="760" w:type="dxa"/>
            <w:vAlign w:val="bottom"/>
          </w:tcPr>
          <w:p>
            <w:pPr>
              <w:jc w:val="right"/>
              <w:spacing w:after="0"/>
              <w:rPr>
                <w:sz w:val="20"/>
                <w:szCs w:val="20"/>
                <w:color w:val="auto"/>
              </w:rPr>
            </w:pPr>
            <w:r>
              <w:rPr>
                <w:rFonts w:ascii="Arial" w:cs="Arial" w:eastAsia="Arial" w:hAnsi="Arial"/>
                <w:sz w:val="16"/>
                <w:szCs w:val="16"/>
                <w:color w:val="auto"/>
              </w:rPr>
              <w:t>27,776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32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1/2022)</w:t>
            </w:r>
          </w:p>
        </w:tc>
        <w:tc>
          <w:tcPr>
            <w:tcW w:w="9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283,696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25.3%</w:t>
            </w:r>
          </w:p>
        </w:tc>
      </w:tr>
      <w:tr>
        <w:trPr>
          <w:trHeight w:val="207"/>
        </w:trPr>
        <w:tc>
          <w:tcPr>
            <w:tcW w:w="232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Ltd.</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($5,000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11.30%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4,956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9/2023)</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rPr>
                <w:sz w:val="17"/>
                <w:szCs w:val="17"/>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w w:val="93"/>
              </w:rPr>
              <w:t>Convertible note ($2,500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8.00%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tcPr>
          <w:p>
            <w:pPr>
              <w:jc w:val="right"/>
              <w:spacing w:after="0"/>
              <w:rPr>
                <w:sz w:val="20"/>
                <w:szCs w:val="20"/>
                <w:color w:val="auto"/>
              </w:rPr>
            </w:pPr>
            <w:r>
              <w:rPr>
                <w:rFonts w:ascii="Arial" w:cs="Arial" w:eastAsia="Arial" w:hAnsi="Arial"/>
                <w:sz w:val="16"/>
                <w:szCs w:val="16"/>
                <w:color w:val="auto"/>
              </w:rPr>
              <w:t>2,500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9/2023)</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Clinicient, Inc.</w:t>
            </w:r>
            <w:r>
              <w:rPr>
                <w:rFonts w:ascii="Arial" w:cs="Arial" w:eastAsia="Arial" w:hAnsi="Arial"/>
                <w:sz w:val="24"/>
                <w:szCs w:val="24"/>
                <w:color w:val="auto"/>
                <w:vertAlign w:val="superscript"/>
              </w:rPr>
              <w:t>(3)</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($15,000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14,858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5/2024)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Integrated Practice</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($49,875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+ 7.50%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760" w:type="dxa"/>
            <w:vAlign w:val="bottom"/>
          </w:tcPr>
          <w:p>
            <w:pPr>
              <w:jc w:val="right"/>
              <w:spacing w:after="0"/>
              <w:rPr>
                <w:sz w:val="20"/>
                <w:szCs w:val="20"/>
                <w:color w:val="auto"/>
              </w:rPr>
            </w:pPr>
            <w:r>
              <w:rPr>
                <w:rFonts w:ascii="Arial" w:cs="Arial" w:eastAsia="Arial" w:hAnsi="Arial"/>
                <w:sz w:val="16"/>
                <w:szCs w:val="16"/>
                <w:color w:val="auto"/>
              </w:rPr>
              <w:t>48,104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49,875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23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560" w:type="dxa"/>
            <w:vAlign w:val="bottom"/>
          </w:tcPr>
          <w:p>
            <w:pPr>
              <w:ind w:left="300"/>
              <w:spacing w:after="0"/>
              <w:rPr>
                <w:sz w:val="20"/>
                <w:szCs w:val="20"/>
                <w:color w:val="auto"/>
              </w:rPr>
            </w:pPr>
            <w:r>
              <w:rPr>
                <w:rFonts w:ascii="Arial" w:cs="Arial" w:eastAsia="Arial" w:hAnsi="Arial"/>
                <w:sz w:val="16"/>
                <w:szCs w:val="16"/>
                <w:color w:val="auto"/>
              </w:rPr>
              <w:t>10/2024)</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2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23"/>
                <w:szCs w:val="23"/>
                <w:color w:val="auto"/>
                <w:vertAlign w:val="superscript"/>
              </w:rPr>
              <w:t>(3)(5)</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($40,773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40,556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40,875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9/2020)</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($18,444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2/29/2016</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+ 8.50%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760" w:type="dxa"/>
            <w:vAlign w:val="bottom"/>
          </w:tcPr>
          <w:p>
            <w:pPr>
              <w:jc w:val="right"/>
              <w:spacing w:after="0"/>
              <w:rPr>
                <w:sz w:val="20"/>
                <w:szCs w:val="20"/>
                <w:color w:val="auto"/>
              </w:rPr>
            </w:pPr>
            <w:r>
              <w:rPr>
                <w:rFonts w:ascii="Arial" w:cs="Arial" w:eastAsia="Arial" w:hAnsi="Arial"/>
                <w:sz w:val="16"/>
                <w:szCs w:val="16"/>
                <w:color w:val="auto"/>
              </w:rPr>
              <w:t>18,326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18,444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12/2020)</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($30,000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29,333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29,100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3/2024)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($27,936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+ 8.75%</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760" w:type="dxa"/>
            <w:vAlign w:val="bottom"/>
          </w:tcPr>
          <w:p>
            <w:pPr>
              <w:jc w:val="right"/>
              <w:spacing w:after="0"/>
              <w:rPr>
                <w:sz w:val="20"/>
                <w:szCs w:val="20"/>
                <w:color w:val="auto"/>
              </w:rPr>
            </w:pPr>
            <w:r>
              <w:rPr>
                <w:rFonts w:ascii="Arial" w:cs="Arial" w:eastAsia="Arial" w:hAnsi="Arial"/>
                <w:sz w:val="16"/>
                <w:szCs w:val="16"/>
                <w:color w:val="auto"/>
              </w:rPr>
              <w:t>27,117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27,372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23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560" w:type="dxa"/>
            <w:vAlign w:val="bottom"/>
          </w:tcPr>
          <w:p>
            <w:pPr>
              <w:ind w:left="300"/>
              <w:spacing w:after="0"/>
              <w:rPr>
                <w:sz w:val="20"/>
                <w:szCs w:val="20"/>
                <w:color w:val="auto"/>
              </w:rPr>
            </w:pPr>
            <w:r>
              <w:rPr>
                <w:rFonts w:ascii="Arial" w:cs="Arial" w:eastAsia="Arial" w:hAnsi="Arial"/>
                <w:sz w:val="16"/>
                <w:szCs w:val="16"/>
                <w:color w:val="auto"/>
              </w:rPr>
              <w:t>4/2024)</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2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($21,773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2/11/2019</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+ 6.50%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21,237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21,773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2/2024)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206,857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209,803</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5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($31,600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+ 9.50%</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11.44% (incl.</w:t>
            </w:r>
          </w:p>
        </w:tc>
        <w:tc>
          <w:tcPr>
            <w:tcW w:w="760" w:type="dxa"/>
            <w:vAlign w:val="bottom"/>
          </w:tcPr>
          <w:p>
            <w:pPr>
              <w:jc w:val="right"/>
              <w:spacing w:after="0"/>
              <w:rPr>
                <w:sz w:val="20"/>
                <w:szCs w:val="20"/>
                <w:color w:val="auto"/>
              </w:rPr>
            </w:pPr>
            <w:r>
              <w:rPr>
                <w:rFonts w:ascii="Arial" w:cs="Arial" w:eastAsia="Arial" w:hAnsi="Arial"/>
                <w:sz w:val="16"/>
                <w:szCs w:val="16"/>
                <w:color w:val="auto"/>
              </w:rPr>
              <w:t>29,746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31,047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9/2021)</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5.00%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revolving loan ($3,221</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+ 9.50%</w:t>
            </w: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11.44%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par, due 9/2021)</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5.00% PIK)</w:t>
            </w: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3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32,967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34,175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99"/>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Human resource support</w:t>
            </w:r>
          </w:p>
        </w:tc>
        <w:tc>
          <w:tcPr>
            <w:tcW w:w="25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6"/>
        </w:trPr>
        <w:tc>
          <w:tcPr>
            <w:tcW w:w="23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services</w:t>
            </w:r>
          </w:p>
        </w:tc>
        <w:tc>
          <w:tcPr>
            <w:tcW w:w="2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Absorb Software, Inc. </w:t>
            </w:r>
            <w:r>
              <w:rPr>
                <w:rFonts w:ascii="Arial" w:cs="Arial" w:eastAsia="Arial" w:hAnsi="Arial"/>
                <w:sz w:val="23"/>
                <w:szCs w:val="23"/>
                <w:color w:val="auto"/>
                <w:vertAlign w:val="superscript"/>
              </w:rPr>
              <w:t>(3)(4)(5)</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($34,837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7/31/2019</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760" w:type="dxa"/>
            <w:vAlign w:val="bottom"/>
          </w:tcPr>
          <w:p>
            <w:pPr>
              <w:jc w:val="right"/>
              <w:spacing w:after="0"/>
              <w:rPr>
                <w:sz w:val="20"/>
                <w:szCs w:val="20"/>
                <w:color w:val="auto"/>
              </w:rPr>
            </w:pPr>
            <w:r>
              <w:rPr>
                <w:rFonts w:ascii="Arial" w:cs="Arial" w:eastAsia="Arial" w:hAnsi="Arial"/>
                <w:sz w:val="16"/>
                <w:szCs w:val="16"/>
                <w:color w:val="auto"/>
              </w:rPr>
              <w:t>34,122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34,228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5/2024)</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(3)</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($19,192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7/23/2018</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+ 8.50%</w:t>
            </w: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10.34%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18,993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19,140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7/2023)</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2.50%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DaySmart Holdings, LLC. </w:t>
            </w:r>
            <w:r>
              <w:rPr>
                <w:rFonts w:ascii="Arial" w:cs="Arial" w:eastAsia="Arial" w:hAnsi="Arial"/>
                <w:sz w:val="23"/>
                <w:szCs w:val="23"/>
                <w:color w:val="auto"/>
                <w:vertAlign w:val="superscript"/>
              </w:rPr>
              <w:t>(3)</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($30,247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10/1/2019</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760" w:type="dxa"/>
            <w:vAlign w:val="bottom"/>
          </w:tcPr>
          <w:p>
            <w:pPr>
              <w:jc w:val="right"/>
              <w:spacing w:after="0"/>
              <w:rPr>
                <w:sz w:val="20"/>
                <w:szCs w:val="20"/>
                <w:color w:val="auto"/>
              </w:rPr>
            </w:pPr>
            <w:r>
              <w:rPr>
                <w:rFonts w:ascii="Arial" w:cs="Arial" w:eastAsia="Arial" w:hAnsi="Arial"/>
                <w:sz w:val="16"/>
                <w:szCs w:val="16"/>
                <w:color w:val="auto"/>
              </w:rPr>
              <w:t>29,370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29,456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10/2024)</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9"/>
              </w:rPr>
              <w:t>First-lien loan (AUD 51,401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B + 7.25%</w:t>
            </w: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39,391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36,042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due 12/2022)</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1.25% PIK)</w:t>
            </w:r>
          </w:p>
        </w:tc>
        <w:tc>
          <w:tcPr>
            <w:tcW w:w="7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51,273)</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rPr>
                <w:sz w:val="17"/>
                <w:szCs w:val="17"/>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First-lien revolving loan (AUD</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B + 7.25%</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714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32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6"/>
                <w:szCs w:val="16"/>
                <w:color w:val="auto"/>
              </w:rPr>
              <w:t>1,000 par, due 12/2022)</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(AUD 988)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($39,900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5/3/2019</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39,187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5/2024)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20" w:type="dxa"/>
            <w:vAlign w:val="bottom"/>
          </w:tcPr>
          <w:p>
            <w:pPr>
              <w:spacing w:after="0" w:line="207" w:lineRule="exact"/>
              <w:rPr>
                <w:sz w:val="20"/>
                <w:szCs w:val="20"/>
                <w:color w:val="auto"/>
              </w:rPr>
            </w:pPr>
            <w:r>
              <w:rPr>
                <w:rFonts w:ascii="Arial" w:cs="Arial" w:eastAsia="Arial" w:hAnsi="Arial"/>
                <w:sz w:val="14"/>
                <w:szCs w:val="14"/>
                <w:color w:val="auto"/>
              </w:rPr>
              <w:t xml:space="preserve">Shaker International, Inc. </w:t>
            </w:r>
            <w:r>
              <w:rPr>
                <w:rFonts w:ascii="Arial" w:cs="Arial" w:eastAsia="Arial" w:hAnsi="Arial"/>
                <w:sz w:val="23"/>
                <w:szCs w:val="23"/>
                <w:color w:val="auto"/>
                <w:vertAlign w:val="superscript"/>
              </w:rPr>
              <w:t>(3)(5)</w:t>
            </w:r>
          </w:p>
        </w:tc>
        <w:tc>
          <w:tcPr>
            <w:tcW w:w="2560" w:type="dxa"/>
            <w:vAlign w:val="bottom"/>
          </w:tcPr>
          <w:p>
            <w:pPr>
              <w:ind w:left="300"/>
              <w:spacing w:after="0"/>
              <w:rPr>
                <w:sz w:val="20"/>
                <w:szCs w:val="20"/>
                <w:color w:val="auto"/>
              </w:rPr>
            </w:pPr>
            <w:r>
              <w:rPr>
                <w:rFonts w:ascii="Arial" w:cs="Arial" w:eastAsia="Arial" w:hAnsi="Arial"/>
                <w:sz w:val="16"/>
                <w:szCs w:val="16"/>
                <w:color w:val="auto"/>
                <w:w w:val="98"/>
              </w:rPr>
              <w:t>First-lien loan ($22,388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5/15/2019</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L + 7.00%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760" w:type="dxa"/>
            <w:vAlign w:val="bottom"/>
          </w:tcPr>
          <w:p>
            <w:pPr>
              <w:jc w:val="right"/>
              <w:spacing w:after="0"/>
              <w:rPr>
                <w:sz w:val="20"/>
                <w:szCs w:val="20"/>
                <w:color w:val="auto"/>
              </w:rPr>
            </w:pPr>
            <w:r>
              <w:rPr>
                <w:rFonts w:ascii="Arial" w:cs="Arial" w:eastAsia="Arial" w:hAnsi="Arial"/>
                <w:sz w:val="16"/>
                <w:szCs w:val="16"/>
                <w:color w:val="auto"/>
              </w:rPr>
              <w:t>21,879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21,940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32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5/2024)</w:t>
            </w:r>
          </w:p>
        </w:tc>
        <w:tc>
          <w:tcPr>
            <w:tcW w:w="9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183,383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180,687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w:t>
            </w:r>
          </w:p>
        </w:tc>
      </w:tr>
      <w:tr>
        <w:trPr>
          <w:trHeight w:val="206"/>
        </w:trPr>
        <w:tc>
          <w:tcPr>
            <w:tcW w:w="232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($49,813 par, due</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49,346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50,186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w:t>
            </w:r>
          </w:p>
        </w:tc>
      </w:tr>
      <w:tr>
        <w:trPr>
          <w:trHeight w:val="212"/>
        </w:trPr>
        <w:tc>
          <w:tcPr>
            <w:tcW w:w="2320" w:type="dxa"/>
            <w:vAlign w:val="bottom"/>
            <w:shd w:val="clear" w:color="auto" w:fill="CFF0FC"/>
          </w:tcPr>
          <w:p>
            <w:pPr>
              <w:spacing w:after="0"/>
              <w:rPr>
                <w:sz w:val="18"/>
                <w:szCs w:val="18"/>
                <w:color w:val="auto"/>
              </w:rPr>
            </w:pPr>
          </w:p>
        </w:tc>
        <w:tc>
          <w:tcPr>
            <w:tcW w:w="2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10/2023)</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10"/>
        </w:trPr>
        <w:tc>
          <w:tcPr>
            <w:tcW w:w="2400" w:type="dxa"/>
            <w:vAlign w:val="bottom"/>
          </w:tcPr>
          <w:p>
            <w:pPr>
              <w:spacing w:after="0"/>
              <w:rPr>
                <w:sz w:val="20"/>
                <w:szCs w:val="20"/>
                <w:color w:val="auto"/>
              </w:rPr>
            </w:pPr>
            <w:r>
              <w:rPr>
                <w:rFonts w:ascii="Arial" w:cs="Arial" w:eastAsia="Arial" w:hAnsi="Arial"/>
                <w:sz w:val="16"/>
                <w:szCs w:val="16"/>
                <w:color w:val="auto"/>
              </w:rPr>
              <w:t xml:space="preserve">Gainsight, Inc. </w:t>
            </w:r>
            <w:r>
              <w:rPr>
                <w:rFonts w:ascii="Arial" w:cs="Arial" w:eastAsia="Arial" w:hAnsi="Arial"/>
                <w:sz w:val="27"/>
                <w:szCs w:val="27"/>
                <w:color w:val="auto"/>
                <w:vertAlign w:val="superscript"/>
              </w:rPr>
              <w:t>(9)</w:t>
            </w:r>
          </w:p>
        </w:tc>
        <w:tc>
          <w:tcPr>
            <w:tcW w:w="2480" w:type="dxa"/>
            <w:vAlign w:val="bottom"/>
          </w:tcPr>
          <w:p>
            <w:pPr>
              <w:ind w:left="220"/>
              <w:spacing w:after="0"/>
              <w:rPr>
                <w:sz w:val="20"/>
                <w:szCs w:val="20"/>
                <w:color w:val="auto"/>
              </w:rPr>
            </w:pPr>
            <w:r>
              <w:rPr>
                <w:rFonts w:ascii="Arial" w:cs="Arial" w:eastAsia="Arial" w:hAnsi="Arial"/>
                <w:sz w:val="16"/>
                <w:szCs w:val="16"/>
                <w:color w:val="auto"/>
              </w:rPr>
              <w:t>First-lien loan ($3,322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7/29/2019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13.00%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13.00%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3,255</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3,284</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7/2025)</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13.00% PIK)</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First-lien loan ($37,430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6/18/2018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37,034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37,243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23"/>
                <w:szCs w:val="23"/>
                <w:color w:val="auto"/>
                <w:vertAlign w:val="superscript"/>
              </w:rPr>
              <w:t>(3)</w:t>
            </w:r>
          </w:p>
        </w:tc>
        <w:tc>
          <w:tcPr>
            <w:tcW w:w="2480" w:type="dxa"/>
            <w:vAlign w:val="bottom"/>
          </w:tcPr>
          <w:p>
            <w:pPr>
              <w:ind w:left="220"/>
              <w:spacing w:after="0"/>
              <w:rPr>
                <w:sz w:val="20"/>
                <w:szCs w:val="20"/>
                <w:color w:val="auto"/>
              </w:rPr>
            </w:pPr>
            <w:r>
              <w:rPr>
                <w:rFonts w:ascii="Arial" w:cs="Arial" w:eastAsia="Arial" w:hAnsi="Arial"/>
                <w:sz w:val="16"/>
                <w:szCs w:val="16"/>
                <w:color w:val="auto"/>
                <w:w w:val="98"/>
              </w:rPr>
              <w:t>First-lien loan ($54,700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10/3/2017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10.04%</w:t>
            </w:r>
          </w:p>
        </w:tc>
        <w:tc>
          <w:tcPr>
            <w:tcW w:w="760" w:type="dxa"/>
            <w:vAlign w:val="bottom"/>
          </w:tcPr>
          <w:p>
            <w:pPr>
              <w:jc w:val="right"/>
              <w:spacing w:after="0"/>
              <w:rPr>
                <w:sz w:val="20"/>
                <w:szCs w:val="20"/>
                <w:color w:val="auto"/>
              </w:rPr>
            </w:pPr>
            <w:r>
              <w:rPr>
                <w:rFonts w:ascii="Arial" w:cs="Arial" w:eastAsia="Arial" w:hAnsi="Arial"/>
                <w:sz w:val="16"/>
                <w:szCs w:val="16"/>
                <w:color w:val="auto"/>
              </w:rPr>
              <w:t>53,888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53,967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10/2022)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(9)</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First-lien loan ($12,018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12.00%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12.00%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11,941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7/2024)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7.00% PIK)</w:t>
            </w: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00" w:type="dxa"/>
            <w:vAlign w:val="bottom"/>
            <w:tcBorders>
              <w:bottom w:val="single" w:sz="8" w:color="CFF0FC"/>
            </w:tcBorders>
          </w:tcPr>
          <w:p>
            <w:pPr>
              <w:spacing w:after="0"/>
              <w:rPr>
                <w:sz w:val="17"/>
                <w:szCs w:val="17"/>
                <w:color w:val="auto"/>
              </w:rPr>
            </w:pPr>
          </w:p>
        </w:tc>
        <w:tc>
          <w:tcPr>
            <w:tcW w:w="248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106,056</w:t>
            </w:r>
          </w:p>
        </w:tc>
        <w:tc>
          <w:tcPr>
            <w:tcW w:w="22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106,435</w:t>
            </w:r>
          </w:p>
        </w:tc>
        <w:tc>
          <w:tcPr>
            <w:tcW w:w="2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4"/>
              </w:rPr>
              <w:t>%</w:t>
            </w:r>
          </w:p>
        </w:tc>
      </w:tr>
      <w:tr>
        <w:trPr>
          <w:trHeight w:val="212"/>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480" w:type="dxa"/>
            <w:vAlign w:val="bottom"/>
          </w:tcPr>
          <w:p>
            <w:pPr>
              <w:ind w:left="220"/>
              <w:spacing w:after="0"/>
              <w:rPr>
                <w:sz w:val="20"/>
                <w:szCs w:val="20"/>
                <w:color w:val="auto"/>
              </w:rPr>
            </w:pPr>
            <w:r>
              <w:rPr>
                <w:rFonts w:ascii="Arial" w:cs="Arial" w:eastAsia="Arial" w:hAnsi="Arial"/>
                <w:sz w:val="16"/>
                <w:szCs w:val="16"/>
                <w:color w:val="auto"/>
                <w:w w:val="98"/>
              </w:rPr>
              <w:t>First-lien note ($33,000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12/17/2019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8.80%</w:t>
            </w:r>
          </w:p>
        </w:tc>
        <w:tc>
          <w:tcPr>
            <w:tcW w:w="760" w:type="dxa"/>
            <w:vAlign w:val="bottom"/>
          </w:tcPr>
          <w:p>
            <w:pPr>
              <w:jc w:val="right"/>
              <w:spacing w:after="0"/>
              <w:rPr>
                <w:sz w:val="20"/>
                <w:szCs w:val="20"/>
                <w:color w:val="auto"/>
              </w:rPr>
            </w:pPr>
            <w:r>
              <w:rPr>
                <w:rFonts w:ascii="Arial" w:cs="Arial" w:eastAsia="Arial" w:hAnsi="Arial"/>
                <w:sz w:val="16"/>
                <w:szCs w:val="16"/>
                <w:color w:val="auto"/>
              </w:rPr>
              <w:t>32,230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6/2024)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480" w:type="dxa"/>
            <w:vAlign w:val="bottom"/>
          </w:tcPr>
          <w:p>
            <w:pPr>
              <w:ind w:left="220"/>
              <w:spacing w:after="0"/>
              <w:rPr>
                <w:sz w:val="20"/>
                <w:szCs w:val="20"/>
                <w:color w:val="auto"/>
              </w:rPr>
            </w:pPr>
            <w:r>
              <w:rPr>
                <w:rFonts w:ascii="Arial" w:cs="Arial" w:eastAsia="Arial" w:hAnsi="Arial"/>
                <w:sz w:val="16"/>
                <w:szCs w:val="16"/>
                <w:color w:val="auto"/>
              </w:rPr>
              <w:t>ABL FILO term loan ($11,500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9/12/2017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9.45%</w:t>
            </w:r>
          </w:p>
        </w:tc>
        <w:tc>
          <w:tcPr>
            <w:tcW w:w="760" w:type="dxa"/>
            <w:vAlign w:val="bottom"/>
          </w:tcPr>
          <w:p>
            <w:pPr>
              <w:jc w:val="right"/>
              <w:spacing w:after="0"/>
              <w:rPr>
                <w:sz w:val="20"/>
                <w:szCs w:val="20"/>
                <w:color w:val="auto"/>
              </w:rPr>
            </w:pPr>
            <w:r>
              <w:rPr>
                <w:rFonts w:ascii="Arial" w:cs="Arial" w:eastAsia="Arial" w:hAnsi="Arial"/>
                <w:sz w:val="16"/>
                <w:szCs w:val="16"/>
                <w:color w:val="auto"/>
              </w:rPr>
              <w:t>11,338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11,701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par, due 9/2022)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Energy Alloys, LLC </w:t>
            </w:r>
            <w:r>
              <w:rPr>
                <w:rFonts w:ascii="Arial" w:cs="Arial" w:eastAsia="Arial" w:hAnsi="Arial"/>
                <w:sz w:val="23"/>
                <w:szCs w:val="23"/>
                <w:color w:val="auto"/>
                <w:vertAlign w:val="superscript"/>
              </w:rPr>
              <w:t>(3)(5)</w:t>
            </w:r>
          </w:p>
        </w:tc>
        <w:tc>
          <w:tcPr>
            <w:tcW w:w="2480" w:type="dxa"/>
            <w:vAlign w:val="bottom"/>
          </w:tcPr>
          <w:p>
            <w:pPr>
              <w:ind w:left="220"/>
              <w:spacing w:after="0"/>
              <w:rPr>
                <w:sz w:val="20"/>
                <w:szCs w:val="20"/>
                <w:color w:val="auto"/>
              </w:rPr>
            </w:pPr>
            <w:r>
              <w:rPr>
                <w:rFonts w:ascii="Arial" w:cs="Arial" w:eastAsia="Arial" w:hAnsi="Arial"/>
                <w:sz w:val="16"/>
                <w:szCs w:val="16"/>
                <w:color w:val="auto"/>
              </w:rPr>
              <w:t>ABL FILO term loan ($22,000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8/28/2019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+ 6.25%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21,171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21,260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par, due 8/2024)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MD America Energy, LLC </w:t>
            </w:r>
            <w:r>
              <w:rPr>
                <w:rFonts w:ascii="Arial" w:cs="Arial" w:eastAsia="Arial" w:hAnsi="Arial"/>
                <w:sz w:val="24"/>
                <w:szCs w:val="24"/>
                <w:color w:val="auto"/>
                <w:vertAlign w:val="superscript"/>
              </w:rPr>
              <w:t>(3)</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First-lien loan ($19,069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11/14/2018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11/2023)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23"/>
                <w:szCs w:val="23"/>
                <w:color w:val="auto"/>
                <w:vertAlign w:val="superscript"/>
              </w:rPr>
              <w:t>(3)(7)</w:t>
            </w:r>
          </w:p>
        </w:tc>
        <w:tc>
          <w:tcPr>
            <w:tcW w:w="2480" w:type="dxa"/>
            <w:vAlign w:val="bottom"/>
          </w:tcPr>
          <w:p>
            <w:pPr>
              <w:ind w:left="220"/>
              <w:spacing w:after="0"/>
              <w:rPr>
                <w:sz w:val="20"/>
                <w:szCs w:val="20"/>
                <w:color w:val="auto"/>
              </w:rPr>
            </w:pPr>
            <w:r>
              <w:rPr>
                <w:rFonts w:ascii="Arial" w:cs="Arial" w:eastAsia="Arial" w:hAnsi="Arial"/>
                <w:sz w:val="16"/>
                <w:szCs w:val="16"/>
                <w:color w:val="auto"/>
              </w:rPr>
              <w:t>First-lien loan ($8,000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6/29/2018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+ 9.00%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10.80%</w:t>
            </w:r>
          </w:p>
        </w:tc>
        <w:tc>
          <w:tcPr>
            <w:tcW w:w="760" w:type="dxa"/>
            <w:vAlign w:val="bottom"/>
          </w:tcPr>
          <w:p>
            <w:pPr>
              <w:jc w:val="right"/>
              <w:spacing w:after="0"/>
              <w:rPr>
                <w:sz w:val="20"/>
                <w:szCs w:val="20"/>
                <w:color w:val="auto"/>
              </w:rPr>
            </w:pPr>
            <w:r>
              <w:rPr>
                <w:rFonts w:ascii="Arial" w:cs="Arial" w:eastAsia="Arial" w:hAnsi="Arial"/>
                <w:sz w:val="16"/>
                <w:szCs w:val="16"/>
                <w:color w:val="auto"/>
              </w:rPr>
              <w:t>7,998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6/2020)</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First-lien loan ($42,222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4/10/2019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41,257</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41,347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4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89,262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89,247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4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23"/>
                <w:szCs w:val="23"/>
                <w:color w:val="auto"/>
                <w:vertAlign w:val="superscript"/>
              </w:rPr>
              <w:t>(4)(5)(9)</w:t>
            </w:r>
          </w:p>
        </w:tc>
        <w:tc>
          <w:tcPr>
            <w:tcW w:w="2480" w:type="dxa"/>
            <w:vAlign w:val="bottom"/>
          </w:tcPr>
          <w:p>
            <w:pPr>
              <w:ind w:left="220"/>
              <w:spacing w:after="0"/>
              <w:rPr>
                <w:sz w:val="20"/>
                <w:szCs w:val="20"/>
                <w:color w:val="auto"/>
              </w:rPr>
            </w:pPr>
            <w:r>
              <w:rPr>
                <w:rFonts w:ascii="Arial" w:cs="Arial" w:eastAsia="Arial" w:hAnsi="Arial"/>
                <w:sz w:val="16"/>
                <w:szCs w:val="16"/>
                <w:color w:val="auto"/>
                <w:w w:val="99"/>
              </w:rPr>
              <w:t>Secured note ($74,950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10/5/2015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74,774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76,074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10/2020)</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480" w:type="dxa"/>
            <w:vAlign w:val="bottom"/>
          </w:tcPr>
          <w:p>
            <w:pPr>
              <w:ind w:left="220"/>
              <w:spacing w:after="0"/>
              <w:rPr>
                <w:sz w:val="20"/>
                <w:szCs w:val="20"/>
                <w:color w:val="auto"/>
              </w:rPr>
            </w:pPr>
            <w:r>
              <w:rPr>
                <w:rFonts w:ascii="Arial" w:cs="Arial" w:eastAsia="Arial" w:hAnsi="Arial"/>
                <w:sz w:val="16"/>
                <w:szCs w:val="16"/>
                <w:color w:val="auto"/>
                <w:w w:val="98"/>
              </w:rPr>
              <w:t>First-lien loan ($20,648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10/3/2019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9.94%</w:t>
            </w:r>
          </w:p>
        </w:tc>
        <w:tc>
          <w:tcPr>
            <w:tcW w:w="760" w:type="dxa"/>
            <w:vAlign w:val="bottom"/>
          </w:tcPr>
          <w:p>
            <w:pPr>
              <w:jc w:val="right"/>
              <w:spacing w:after="0"/>
              <w:rPr>
                <w:sz w:val="20"/>
                <w:szCs w:val="20"/>
                <w:color w:val="auto"/>
              </w:rPr>
            </w:pPr>
            <w:r>
              <w:rPr>
                <w:rFonts w:ascii="Arial" w:cs="Arial" w:eastAsia="Arial" w:hAnsi="Arial"/>
                <w:sz w:val="16"/>
                <w:szCs w:val="16"/>
                <w:color w:val="auto"/>
              </w:rPr>
              <w:t>20,208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20,303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10/2024)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23"/>
                <w:szCs w:val="23"/>
                <w:color w:val="auto"/>
                <w:vertAlign w:val="superscript"/>
              </w:rPr>
              <w:t>(3)</w:t>
            </w:r>
          </w:p>
        </w:tc>
        <w:tc>
          <w:tcPr>
            <w:tcW w:w="2480" w:type="dxa"/>
            <w:vAlign w:val="bottom"/>
          </w:tcPr>
          <w:p>
            <w:pPr>
              <w:ind w:left="220"/>
              <w:spacing w:after="0"/>
              <w:rPr>
                <w:sz w:val="20"/>
                <w:szCs w:val="20"/>
                <w:color w:val="auto"/>
              </w:rPr>
            </w:pPr>
            <w:r>
              <w:rPr>
                <w:rFonts w:ascii="Arial" w:cs="Arial" w:eastAsia="Arial" w:hAnsi="Arial"/>
                <w:sz w:val="16"/>
                <w:szCs w:val="16"/>
                <w:color w:val="auto"/>
              </w:rPr>
              <w:t>ABL FILO term loan ($32,500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9/6/2017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9.64%</w:t>
            </w:r>
          </w:p>
        </w:tc>
        <w:tc>
          <w:tcPr>
            <w:tcW w:w="760" w:type="dxa"/>
            <w:vAlign w:val="bottom"/>
          </w:tcPr>
          <w:p>
            <w:pPr>
              <w:jc w:val="right"/>
              <w:spacing w:after="0"/>
              <w:rPr>
                <w:sz w:val="20"/>
                <w:szCs w:val="20"/>
                <w:color w:val="auto"/>
              </w:rPr>
            </w:pPr>
            <w:r>
              <w:rPr>
                <w:rFonts w:ascii="Arial" w:cs="Arial" w:eastAsia="Arial" w:hAnsi="Arial"/>
                <w:sz w:val="16"/>
                <w:szCs w:val="16"/>
                <w:color w:val="auto"/>
              </w:rPr>
              <w:t>32,303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32,581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par, due 4/2021)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First-lien loan ($22,619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9/30/2015</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+ 8.25%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22,540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9/2022)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Forever 21, Inc. </w:t>
            </w:r>
            <w:r>
              <w:rPr>
                <w:rFonts w:ascii="Arial" w:cs="Arial" w:eastAsia="Arial" w:hAnsi="Arial"/>
                <w:sz w:val="23"/>
                <w:szCs w:val="23"/>
                <w:color w:val="auto"/>
                <w:vertAlign w:val="superscript"/>
              </w:rPr>
              <w:t>(3)</w:t>
            </w:r>
          </w:p>
        </w:tc>
        <w:tc>
          <w:tcPr>
            <w:tcW w:w="2480" w:type="dxa"/>
            <w:vAlign w:val="bottom"/>
          </w:tcPr>
          <w:p>
            <w:pPr>
              <w:ind w:left="220"/>
              <w:spacing w:after="0"/>
              <w:rPr>
                <w:sz w:val="20"/>
                <w:szCs w:val="20"/>
                <w:color w:val="auto"/>
              </w:rPr>
            </w:pPr>
            <w:r>
              <w:rPr>
                <w:rFonts w:ascii="Arial" w:cs="Arial" w:eastAsia="Arial" w:hAnsi="Arial"/>
                <w:sz w:val="16"/>
                <w:szCs w:val="16"/>
                <w:color w:val="auto"/>
                <w:w w:val="96"/>
              </w:rPr>
              <w:t>ABL DIP term loan ($50,000 par,</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+ 12.00%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13.81%</w:t>
            </w:r>
          </w:p>
        </w:tc>
        <w:tc>
          <w:tcPr>
            <w:tcW w:w="760" w:type="dxa"/>
            <w:vAlign w:val="bottom"/>
          </w:tcPr>
          <w:p>
            <w:pPr>
              <w:jc w:val="right"/>
              <w:spacing w:after="0"/>
              <w:rPr>
                <w:sz w:val="20"/>
                <w:szCs w:val="20"/>
                <w:color w:val="auto"/>
              </w:rPr>
            </w:pPr>
            <w:r>
              <w:rPr>
                <w:rFonts w:ascii="Arial" w:cs="Arial" w:eastAsia="Arial" w:hAnsi="Arial"/>
                <w:sz w:val="16"/>
                <w:szCs w:val="16"/>
                <w:color w:val="auto"/>
              </w:rPr>
              <w:t>48,970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due 7/2020)</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J.C. Penney Company, Inc. </w:t>
            </w:r>
            <w:r>
              <w:rPr>
                <w:rFonts w:ascii="Arial" w:cs="Arial" w:eastAsia="Arial" w:hAnsi="Arial"/>
                <w:sz w:val="23"/>
                <w:szCs w:val="23"/>
                <w:color w:val="auto"/>
                <w:vertAlign w:val="superscript"/>
              </w:rPr>
              <w:t>(4)(11)</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($6,201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+ 4.25%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6.16%</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20"/>
              <w:spacing w:after="0" w:line="216" w:lineRule="exact"/>
              <w:rPr>
                <w:sz w:val="20"/>
                <w:szCs w:val="20"/>
                <w:color w:val="auto"/>
              </w:rPr>
            </w:pPr>
            <w:r>
              <w:rPr>
                <w:rFonts w:ascii="Arial" w:cs="Arial" w:eastAsia="Arial" w:hAnsi="Arial"/>
                <w:sz w:val="15"/>
                <w:szCs w:val="15"/>
                <w:color w:val="auto"/>
              </w:rPr>
              <w:t>6/2023)</w:t>
            </w:r>
            <w:r>
              <w:rPr>
                <w:rFonts w:ascii="Arial" w:cs="Arial" w:eastAsia="Arial" w:hAnsi="Arial"/>
                <w:sz w:val="25"/>
                <w:szCs w:val="25"/>
                <w:color w:val="auto"/>
                <w:vertAlign w:val="superscript"/>
              </w:rPr>
              <w:t>(3)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rPr>
                <w:sz w:val="17"/>
                <w:szCs w:val="17"/>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w w:val="99"/>
              </w:rPr>
              <w:t>First-lien secured note ($11,559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5.88%</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5.88%</w:t>
            </w:r>
          </w:p>
        </w:tc>
        <w:tc>
          <w:tcPr>
            <w:tcW w:w="760" w:type="dxa"/>
            <w:vAlign w:val="bottom"/>
          </w:tcPr>
          <w:p>
            <w:pPr>
              <w:jc w:val="right"/>
              <w:spacing w:after="0"/>
              <w:rPr>
                <w:sz w:val="20"/>
                <w:szCs w:val="20"/>
                <w:color w:val="auto"/>
              </w:rPr>
            </w:pPr>
            <w:r>
              <w:rPr>
                <w:rFonts w:ascii="Arial" w:cs="Arial" w:eastAsia="Arial" w:hAnsi="Arial"/>
                <w:sz w:val="16"/>
                <w:szCs w:val="16"/>
                <w:color w:val="auto"/>
              </w:rPr>
              <w:t>9,761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9,911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par, due 7/2023)</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Maurices, Inc. </w:t>
            </w:r>
            <w:r>
              <w:rPr>
                <w:rFonts w:ascii="Arial" w:cs="Arial" w:eastAsia="Arial" w:hAnsi="Arial"/>
                <w:sz w:val="24"/>
                <w:szCs w:val="24"/>
                <w:color w:val="auto"/>
                <w:vertAlign w:val="superscript"/>
              </w:rPr>
              <w:t>(3)(5)</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ABL FILO term loan ($27,778</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8.21%</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28,958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par, due 5/2024)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Moran Foods, LLC </w:t>
            </w:r>
            <w:r>
              <w:rPr>
                <w:rFonts w:ascii="Arial" w:cs="Arial" w:eastAsia="Arial" w:hAnsi="Arial"/>
                <w:sz w:val="23"/>
                <w:szCs w:val="23"/>
                <w:color w:val="auto"/>
                <w:vertAlign w:val="superscript"/>
              </w:rPr>
              <w:t>(3)</w:t>
            </w:r>
          </w:p>
        </w:tc>
        <w:tc>
          <w:tcPr>
            <w:tcW w:w="2480" w:type="dxa"/>
            <w:vAlign w:val="bottom"/>
          </w:tcPr>
          <w:p>
            <w:pPr>
              <w:ind w:left="220"/>
              <w:spacing w:after="0"/>
              <w:rPr>
                <w:sz w:val="20"/>
                <w:szCs w:val="20"/>
                <w:color w:val="auto"/>
              </w:rPr>
            </w:pPr>
            <w:r>
              <w:rPr>
                <w:rFonts w:ascii="Arial" w:cs="Arial" w:eastAsia="Arial" w:hAnsi="Arial"/>
                <w:sz w:val="16"/>
                <w:szCs w:val="16"/>
                <w:color w:val="auto"/>
              </w:rPr>
              <w:t>ABL FILO term loan ($39,138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6/21/2019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8.69%</w:t>
            </w:r>
          </w:p>
        </w:tc>
        <w:tc>
          <w:tcPr>
            <w:tcW w:w="760" w:type="dxa"/>
            <w:vAlign w:val="bottom"/>
          </w:tcPr>
          <w:p>
            <w:pPr>
              <w:jc w:val="right"/>
              <w:spacing w:after="0"/>
              <w:rPr>
                <w:sz w:val="20"/>
                <w:szCs w:val="20"/>
                <w:color w:val="auto"/>
              </w:rPr>
            </w:pPr>
            <w:r>
              <w:rPr>
                <w:rFonts w:ascii="Arial" w:cs="Arial" w:eastAsia="Arial" w:hAnsi="Arial"/>
                <w:sz w:val="16"/>
                <w:szCs w:val="16"/>
                <w:color w:val="auto"/>
              </w:rPr>
              <w:t>38,750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39,138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2400" w:type="dxa"/>
            <w:vAlign w:val="bottom"/>
          </w:tcPr>
          <w:p>
            <w:pPr>
              <w:spacing w:after="0"/>
              <w:rPr>
                <w:sz w:val="18"/>
                <w:szCs w:val="18"/>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par, due 12/2021)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Neiman Marcus Group</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ABL FILO term loan ($72,000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71,086</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24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Ltd LLC </w:t>
            </w:r>
            <w:r>
              <w:rPr>
                <w:rFonts w:ascii="Arial" w:cs="Arial" w:eastAsia="Arial" w:hAnsi="Arial"/>
                <w:sz w:val="25"/>
                <w:szCs w:val="25"/>
                <w:color w:val="auto"/>
                <w:vertAlign w:val="superscript"/>
              </w:rPr>
              <w:t>(3)</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par, due 7/2021)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17"/>
                <w:szCs w:val="17"/>
                <w:color w:val="auto"/>
              </w:rPr>
            </w:pPr>
          </w:p>
        </w:tc>
        <w:tc>
          <w:tcPr>
            <w:tcW w:w="2480" w:type="dxa"/>
            <w:vAlign w:val="bottom"/>
          </w:tcPr>
          <w:p>
            <w:pPr>
              <w:ind w:left="220"/>
              <w:spacing w:after="0"/>
              <w:rPr>
                <w:sz w:val="20"/>
                <w:szCs w:val="20"/>
                <w:color w:val="auto"/>
              </w:rPr>
            </w:pPr>
            <w:r>
              <w:rPr>
                <w:rFonts w:ascii="Arial" w:cs="Arial" w:eastAsia="Arial" w:hAnsi="Arial"/>
                <w:sz w:val="16"/>
                <w:szCs w:val="16"/>
                <w:color w:val="auto"/>
              </w:rPr>
              <w:t>First-lien loan ($996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9/12/2019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7.71%</w:t>
            </w:r>
          </w:p>
        </w:tc>
        <w:tc>
          <w:tcPr>
            <w:tcW w:w="760" w:type="dxa"/>
            <w:vAlign w:val="bottom"/>
          </w:tcPr>
          <w:p>
            <w:pPr>
              <w:jc w:val="right"/>
              <w:spacing w:after="0"/>
              <w:rPr>
                <w:sz w:val="20"/>
                <w:szCs w:val="20"/>
                <w:color w:val="auto"/>
              </w:rPr>
            </w:pPr>
            <w:r>
              <w:rPr>
                <w:rFonts w:ascii="Arial" w:cs="Arial" w:eastAsia="Arial" w:hAnsi="Arial"/>
                <w:sz w:val="16"/>
                <w:szCs w:val="16"/>
                <w:color w:val="auto"/>
              </w:rPr>
              <w:t>799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2400" w:type="dxa"/>
            <w:vAlign w:val="bottom"/>
          </w:tcPr>
          <w:p>
            <w:pPr>
              <w:spacing w:after="0"/>
              <w:rPr>
                <w:sz w:val="18"/>
                <w:szCs w:val="18"/>
                <w:color w:val="auto"/>
              </w:rPr>
            </w:pPr>
          </w:p>
        </w:tc>
        <w:tc>
          <w:tcPr>
            <w:tcW w:w="2480" w:type="dxa"/>
            <w:vAlign w:val="bottom"/>
          </w:tcPr>
          <w:p>
            <w:pPr>
              <w:ind w:left="220"/>
              <w:spacing w:after="0" w:line="216" w:lineRule="exact"/>
              <w:rPr>
                <w:sz w:val="20"/>
                <w:szCs w:val="20"/>
                <w:color w:val="auto"/>
              </w:rPr>
            </w:pPr>
            <w:r>
              <w:rPr>
                <w:rFonts w:ascii="Arial" w:cs="Arial" w:eastAsia="Arial" w:hAnsi="Arial"/>
                <w:sz w:val="15"/>
                <w:szCs w:val="15"/>
                <w:color w:val="auto"/>
              </w:rPr>
              <w:t xml:space="preserve">10/2023) </w:t>
            </w:r>
            <w:r>
              <w:rPr>
                <w:rFonts w:ascii="Arial" w:cs="Arial" w:eastAsia="Arial" w:hAnsi="Arial"/>
                <w:sz w:val="25"/>
                <w:szCs w:val="25"/>
                <w:color w:val="auto"/>
                <w:vertAlign w:val="superscript"/>
              </w:rPr>
              <w:t>(11)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23"/>
                <w:szCs w:val="23"/>
                <w:color w:val="auto"/>
                <w:vertAlign w:val="superscript"/>
              </w:rPr>
              <w:t>(3)</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ABL FILO term loan ($75,000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74,359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75,750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par, due 2/2024)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330,940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334,375</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Transportation</w:t>
            </w:r>
          </w:p>
        </w:tc>
        <w:tc>
          <w:tcPr>
            <w:tcW w:w="24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23"/>
                <w:szCs w:val="23"/>
                <w:color w:val="auto"/>
                <w:vertAlign w:val="superscript"/>
              </w:rPr>
              <w:t>(3)(4)(5)</w:t>
            </w:r>
          </w:p>
        </w:tc>
        <w:tc>
          <w:tcPr>
            <w:tcW w:w="2480" w:type="dxa"/>
            <w:vAlign w:val="bottom"/>
          </w:tcPr>
          <w:p>
            <w:pPr>
              <w:ind w:left="220"/>
              <w:spacing w:after="0"/>
              <w:rPr>
                <w:sz w:val="20"/>
                <w:szCs w:val="20"/>
                <w:color w:val="auto"/>
              </w:rPr>
            </w:pPr>
            <w:r>
              <w:rPr>
                <w:rFonts w:ascii="Arial" w:cs="Arial" w:eastAsia="Arial" w:hAnsi="Arial"/>
                <w:sz w:val="16"/>
                <w:szCs w:val="16"/>
                <w:color w:val="auto"/>
                <w:w w:val="98"/>
              </w:rPr>
              <w:t>First-lien loan ($85,159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+ 5.75%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7.45%</w:t>
            </w:r>
          </w:p>
        </w:tc>
        <w:tc>
          <w:tcPr>
            <w:tcW w:w="760" w:type="dxa"/>
            <w:vAlign w:val="bottom"/>
          </w:tcPr>
          <w:p>
            <w:pPr>
              <w:jc w:val="right"/>
              <w:spacing w:after="0"/>
              <w:rPr>
                <w:sz w:val="20"/>
                <w:szCs w:val="20"/>
                <w:color w:val="auto"/>
              </w:rPr>
            </w:pPr>
            <w:r>
              <w:rPr>
                <w:rFonts w:ascii="Arial" w:cs="Arial" w:eastAsia="Arial" w:hAnsi="Arial"/>
                <w:sz w:val="16"/>
                <w:szCs w:val="16"/>
                <w:color w:val="auto"/>
              </w:rPr>
              <w:t>83,994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90,053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240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5/2023)</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0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2,150,478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2,182,815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195.0%</w:t>
            </w:r>
          </w:p>
        </w:tc>
      </w:tr>
      <w:tr>
        <w:trPr>
          <w:trHeight w:val="213"/>
        </w:trPr>
        <w:tc>
          <w:tcPr>
            <w:tcW w:w="2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5"/>
                <w:szCs w:val="25"/>
                <w:color w:val="auto"/>
                <w:vertAlign w:val="superscript"/>
              </w:rPr>
              <w:t>(6)(13)</w:t>
            </w:r>
          </w:p>
        </w:tc>
        <w:tc>
          <w:tcPr>
            <w:tcW w:w="24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6"/>
              </w:rPr>
              <w:t>Preferred Units (4,441,090 units)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10/16/2018</w:t>
            </w: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240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10"/>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Motus, LLC </w:t>
            </w:r>
            <w:r>
              <w:rPr>
                <w:rFonts w:ascii="Arial" w:cs="Arial" w:eastAsia="Arial" w:hAnsi="Arial"/>
                <w:sz w:val="27"/>
                <w:szCs w:val="27"/>
                <w:color w:val="auto"/>
                <w:vertAlign w:val="superscript"/>
              </w:rPr>
              <w:t>(13)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Units (1,262 units)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1/17/2018</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0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w:t>
            </w:r>
          </w:p>
        </w:tc>
        <w:tc>
          <w:tcPr>
            <w:tcW w:w="22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240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Class B Units (517,020 units)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1/17/2018</w:t>
            </w:r>
          </w:p>
        </w:tc>
        <w:tc>
          <w:tcPr>
            <w:tcW w:w="1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Shares (1,197 shares)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3/30/2018</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240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w w:val="96"/>
              </w:rPr>
              <w:t>Class B Shares (398,557 shares)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3/30/2018</w:t>
            </w: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240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3"/>
        </w:trPr>
        <w:tc>
          <w:tcPr>
            <w:tcW w:w="240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06"/>
        </w:trPr>
        <w:tc>
          <w:tcPr>
            <w:tcW w:w="240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2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(13)(14)</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Common Units (3,386,630 units)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10/31/2016</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4,575</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(14)</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Preferred Shares (293,232 shares)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10/1/2019</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Oxford Square Capital</w:t>
            </w:r>
          </w:p>
        </w:tc>
        <w:tc>
          <w:tcPr>
            <w:tcW w:w="2560" w:type="dxa"/>
            <w:vAlign w:val="bottom"/>
          </w:tcPr>
          <w:p>
            <w:pPr>
              <w:ind w:left="260"/>
              <w:spacing w:after="0"/>
              <w:rPr>
                <w:sz w:val="20"/>
                <w:szCs w:val="20"/>
                <w:color w:val="auto"/>
              </w:rPr>
            </w:pPr>
            <w:r>
              <w:rPr>
                <w:rFonts w:ascii="Arial" w:cs="Arial" w:eastAsia="Arial" w:hAnsi="Arial"/>
                <w:sz w:val="16"/>
                <w:szCs w:val="16"/>
                <w:color w:val="auto"/>
              </w:rPr>
              <w:t>Common Shares (1,059 shares)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8/5/2015</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5"/>
                <w:szCs w:val="25"/>
                <w:color w:val="auto"/>
                <w:vertAlign w:val="superscript"/>
              </w:rPr>
              <w:t>(13)</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Common Shares (35,000 shares)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7/31/2017</w:t>
            </w: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10,255</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2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2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17,930</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24,684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56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240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w:t>
            </w:r>
          </w:p>
        </w:tc>
        <w:tc>
          <w:tcPr>
            <w:tcW w:w="2560" w:type="dxa"/>
            <w:vAlign w:val="bottom"/>
          </w:tcPr>
          <w:p>
            <w:pPr>
              <w:ind w:left="260"/>
              <w:spacing w:after="0"/>
              <w:rPr>
                <w:sz w:val="20"/>
                <w:szCs w:val="20"/>
                <w:color w:val="auto"/>
              </w:rPr>
            </w:pPr>
            <w:r>
              <w:rPr>
                <w:rFonts w:ascii="Arial" w:cs="Arial" w:eastAsia="Arial" w:hAnsi="Arial"/>
                <w:sz w:val="16"/>
                <w:szCs w:val="16"/>
                <w:color w:val="auto"/>
              </w:rPr>
              <w:t>633,376 Warrants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9/21/2018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24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(13)(14)</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4,685,068 Warrants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10/7/2019</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560" w:type="dxa"/>
            <w:vAlign w:val="bottom"/>
          </w:tcPr>
          <w:p>
            <w:pPr>
              <w:ind w:left="260"/>
              <w:spacing w:after="0"/>
              <w:rPr>
                <w:sz w:val="20"/>
                <w:szCs w:val="20"/>
                <w:color w:val="auto"/>
              </w:rPr>
            </w:pPr>
            <w:r>
              <w:rPr>
                <w:rFonts w:ascii="Arial" w:cs="Arial" w:eastAsia="Arial" w:hAnsi="Arial"/>
                <w:sz w:val="16"/>
                <w:szCs w:val="16"/>
                <w:color w:val="auto"/>
              </w:rPr>
              <w:t>954,478 Warrants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4/8/2019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(13)(14)(15)</w:t>
            </w: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(13)(14)(15)</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Shares (1,000 shares)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2/11/2019</w:t>
            </w: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2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6"/>
        </w:trPr>
        <w:tc>
          <w:tcPr>
            <w:tcW w:w="2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1,612</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56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2400" w:type="dxa"/>
            <w:vAlign w:val="bottom"/>
          </w:tcPr>
          <w:p>
            <w:pPr>
              <w:spacing w:after="0" w:line="203"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560" w:type="dxa"/>
            <w:vAlign w:val="bottom"/>
          </w:tcPr>
          <w:p>
            <w:pPr>
              <w:ind w:left="260"/>
              <w:spacing w:after="0"/>
              <w:rPr>
                <w:sz w:val="20"/>
                <w:szCs w:val="20"/>
                <w:color w:val="auto"/>
              </w:rPr>
            </w:pPr>
            <w:r>
              <w:rPr>
                <w:rFonts w:ascii="Arial" w:cs="Arial" w:eastAsia="Arial" w:hAnsi="Arial"/>
                <w:sz w:val="16"/>
                <w:szCs w:val="16"/>
                <w:color w:val="auto"/>
                <w:w w:val="99"/>
              </w:rPr>
              <w:t>Class A Units (29,440,171 units)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12/21/2018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21,813</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589</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175"/>
        </w:trPr>
        <w:tc>
          <w:tcPr>
            <w:tcW w:w="240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Arial" w:cs="Arial" w:eastAsia="Arial" w:hAnsi="Arial"/>
                <w:sz w:val="14"/>
                <w:szCs w:val="14"/>
                <w:color w:val="auto"/>
              </w:rPr>
              <w:t>(14)</w:t>
            </w:r>
          </w:p>
        </w:tc>
        <w:tc>
          <w:tcPr>
            <w:tcW w:w="2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3"/>
        </w:trPr>
        <w:tc>
          <w:tcPr>
            <w:tcW w:w="240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Class C-1 Units (8,800,000 units)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12/21/2018</w:t>
            </w: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2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21,913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199"/>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Human resource support</w:t>
            </w:r>
          </w:p>
        </w:tc>
        <w:tc>
          <w:tcPr>
            <w:tcW w:w="2560" w:type="dxa"/>
            <w:vAlign w:val="bottom"/>
            <w:tcBorders>
              <w:top w:val="single" w:sz="8" w:color="CFF0FC"/>
            </w:tcBorders>
            <w:shd w:val="clear" w:color="auto" w:fill="CFF0FC"/>
          </w:tcPr>
          <w:p>
            <w:pPr>
              <w:spacing w:after="0"/>
              <w:rPr>
                <w:sz w:val="17"/>
                <w:szCs w:val="17"/>
                <w:color w:val="auto"/>
              </w:rPr>
            </w:pPr>
          </w:p>
        </w:tc>
        <w:tc>
          <w:tcPr>
            <w:tcW w:w="208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6"/>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services</w:t>
            </w:r>
          </w:p>
        </w:tc>
        <w:tc>
          <w:tcPr>
            <w:tcW w:w="2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400" w:type="dxa"/>
            <w:vAlign w:val="bottom"/>
          </w:tcPr>
          <w:p>
            <w:pPr>
              <w:spacing w:after="0" w:line="216"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(13)(15)</w:t>
            </w:r>
          </w:p>
        </w:tc>
        <w:tc>
          <w:tcPr>
            <w:tcW w:w="2560" w:type="dxa"/>
            <w:vAlign w:val="bottom"/>
          </w:tcPr>
          <w:p>
            <w:pPr>
              <w:ind w:left="260"/>
              <w:spacing w:after="0"/>
              <w:rPr>
                <w:sz w:val="20"/>
                <w:szCs w:val="20"/>
                <w:color w:val="auto"/>
              </w:rPr>
            </w:pPr>
            <w:r>
              <w:rPr>
                <w:rFonts w:ascii="Arial" w:cs="Arial" w:eastAsia="Arial" w:hAnsi="Arial"/>
                <w:sz w:val="16"/>
                <w:szCs w:val="16"/>
                <w:color w:val="auto"/>
              </w:rPr>
              <w:t>Class A Units (44,944 units)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8/24/2018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2,014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3"/>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DaySmart Holdings,</w:t>
            </w: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Units (125,810 units)</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10/1/2019</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(13)(14)(15)</w:t>
            </w:r>
          </w:p>
        </w:tc>
        <w:tc>
          <w:tcPr>
            <w:tcW w:w="2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2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3,014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56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(13)</w:t>
            </w:r>
          </w:p>
        </w:tc>
        <w:tc>
          <w:tcPr>
            <w:tcW w:w="2560" w:type="dxa"/>
            <w:vAlign w:val="bottom"/>
          </w:tcPr>
          <w:p>
            <w:pPr>
              <w:ind w:left="260"/>
              <w:spacing w:after="0"/>
              <w:rPr>
                <w:sz w:val="20"/>
                <w:szCs w:val="20"/>
                <w:color w:val="auto"/>
              </w:rPr>
            </w:pPr>
            <w:r>
              <w:rPr>
                <w:rFonts w:ascii="Arial" w:cs="Arial" w:eastAsia="Arial" w:hAnsi="Arial"/>
                <w:sz w:val="16"/>
                <w:szCs w:val="16"/>
                <w:color w:val="auto"/>
                <w:w w:val="99"/>
              </w:rPr>
              <w:t>Common Shares Class A (1,020</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6/30/2017</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1,020</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1,412</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40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units)</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Shares Class B</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6/30/2017</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0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(987,929 units)</w:t>
            </w:r>
          </w:p>
        </w:tc>
        <w:tc>
          <w:tcPr>
            <w:tcW w:w="2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2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1,030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1,426</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56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(13)(14)</w:t>
            </w:r>
          </w:p>
        </w:tc>
        <w:tc>
          <w:tcPr>
            <w:tcW w:w="2560" w:type="dxa"/>
            <w:vAlign w:val="bottom"/>
          </w:tcPr>
          <w:p>
            <w:pPr>
              <w:ind w:left="260"/>
              <w:spacing w:after="0"/>
              <w:rPr>
                <w:sz w:val="20"/>
                <w:szCs w:val="20"/>
                <w:color w:val="auto"/>
              </w:rPr>
            </w:pPr>
            <w:r>
              <w:rPr>
                <w:rFonts w:ascii="Arial" w:cs="Arial" w:eastAsia="Arial" w:hAnsi="Arial"/>
                <w:sz w:val="16"/>
                <w:szCs w:val="16"/>
                <w:color w:val="auto"/>
              </w:rPr>
              <w:t>Series F Preferred Shares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8/2/2019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40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(199,054 shares)</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56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23"/>
                <w:szCs w:val="23"/>
                <w:color w:val="auto"/>
                <w:vertAlign w:val="superscript"/>
              </w:rPr>
              <w:t>(13)</w:t>
            </w:r>
          </w:p>
        </w:tc>
        <w:tc>
          <w:tcPr>
            <w:tcW w:w="2560" w:type="dxa"/>
            <w:vAlign w:val="bottom"/>
          </w:tcPr>
          <w:p>
            <w:pPr>
              <w:ind w:left="260"/>
              <w:spacing w:after="0"/>
              <w:rPr>
                <w:sz w:val="20"/>
                <w:szCs w:val="20"/>
                <w:color w:val="auto"/>
              </w:rPr>
            </w:pPr>
            <w:r>
              <w:rPr>
                <w:rFonts w:ascii="Arial" w:cs="Arial" w:eastAsia="Arial" w:hAnsi="Arial"/>
                <w:sz w:val="16"/>
                <w:szCs w:val="16"/>
                <w:color w:val="auto"/>
              </w:rPr>
              <w:t>Series A Preferred Shares</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5/31/2018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3,840</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12,379</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240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(3,840,000 shares)</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56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Mississippi Resources,</w:t>
            </w:r>
          </w:p>
        </w:tc>
        <w:tc>
          <w:tcPr>
            <w:tcW w:w="2560" w:type="dxa"/>
            <w:vAlign w:val="bottom"/>
          </w:tcPr>
          <w:p>
            <w:pPr>
              <w:ind w:left="260"/>
              <w:spacing w:after="0"/>
              <w:rPr>
                <w:sz w:val="20"/>
                <w:szCs w:val="20"/>
                <w:color w:val="auto"/>
              </w:rPr>
            </w:pPr>
            <w:r>
              <w:rPr>
                <w:rFonts w:ascii="Arial" w:cs="Arial" w:eastAsia="Arial" w:hAnsi="Arial"/>
                <w:sz w:val="16"/>
                <w:szCs w:val="16"/>
                <w:color w:val="auto"/>
              </w:rPr>
              <w:t>Class A-0 Member Units (1,000</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12/12/2019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6,693</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5,104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(7)(13)</w:t>
            </w:r>
          </w:p>
        </w:tc>
        <w:tc>
          <w:tcPr>
            <w:tcW w:w="256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units) </w:t>
            </w:r>
            <w:r>
              <w:rPr>
                <w:rFonts w:ascii="Arial" w:cs="Arial" w:eastAsia="Arial" w:hAnsi="Arial"/>
                <w:sz w:val="25"/>
                <w:szCs w:val="25"/>
                <w:color w:val="auto"/>
                <w:vertAlign w:val="superscript"/>
              </w:rPr>
              <w:t>(14)</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17"/>
                <w:szCs w:val="17"/>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A-1 Member Units (1,360</w:t>
            </w:r>
          </w:p>
        </w:tc>
        <w:tc>
          <w:tcPr>
            <w:tcW w:w="208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5/3/2017</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10,366</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400" w:type="dxa"/>
            <w:vAlign w:val="bottom"/>
            <w:shd w:val="clear" w:color="auto" w:fill="CFF0FC"/>
          </w:tcPr>
          <w:p>
            <w:pPr>
              <w:spacing w:after="0"/>
              <w:rPr>
                <w:sz w:val="18"/>
                <w:szCs w:val="18"/>
                <w:color w:val="auto"/>
              </w:rPr>
            </w:pPr>
          </w:p>
        </w:tc>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units)</w:t>
            </w:r>
          </w:p>
        </w:tc>
        <w:tc>
          <w:tcPr>
            <w:tcW w:w="2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rPr>
                <w:sz w:val="17"/>
                <w:szCs w:val="17"/>
                <w:color w:val="auto"/>
              </w:rPr>
            </w:pPr>
          </w:p>
        </w:tc>
        <w:tc>
          <w:tcPr>
            <w:tcW w:w="2560" w:type="dxa"/>
            <w:vAlign w:val="bottom"/>
          </w:tcPr>
          <w:p>
            <w:pPr>
              <w:ind w:left="260"/>
              <w:spacing w:after="0"/>
              <w:rPr>
                <w:sz w:val="20"/>
                <w:szCs w:val="20"/>
                <w:color w:val="auto"/>
              </w:rPr>
            </w:pPr>
            <w:r>
              <w:rPr>
                <w:rFonts w:ascii="Arial" w:cs="Arial" w:eastAsia="Arial" w:hAnsi="Arial"/>
                <w:sz w:val="16"/>
                <w:szCs w:val="16"/>
                <w:color w:val="auto"/>
              </w:rPr>
              <w:t>Class A-2 Member Units (933</w:t>
            </w:r>
          </w:p>
        </w:tc>
        <w:tc>
          <w:tcPr>
            <w:tcW w:w="2080" w:type="dxa"/>
            <w:vAlign w:val="bottom"/>
          </w:tcPr>
          <w:p>
            <w:pPr>
              <w:jc w:val="right"/>
              <w:ind w:right="1159"/>
              <w:spacing w:after="0"/>
              <w:rPr>
                <w:sz w:val="20"/>
                <w:szCs w:val="20"/>
                <w:color w:val="auto"/>
              </w:rPr>
            </w:pPr>
            <w:r>
              <w:rPr>
                <w:rFonts w:ascii="Arial" w:cs="Arial" w:eastAsia="Arial" w:hAnsi="Arial"/>
                <w:sz w:val="16"/>
                <w:szCs w:val="16"/>
                <w:color w:val="auto"/>
              </w:rPr>
              <w:t>6/4/2014</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8,874</w:t>
            </w: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0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units)</w:t>
            </w:r>
          </w:p>
        </w:tc>
        <w:tc>
          <w:tcPr>
            <w:tcW w:w="208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r>
      <w:tr>
        <w:trPr>
          <w:trHeight w:val="213"/>
        </w:trPr>
        <w:tc>
          <w:tcPr>
            <w:tcW w:w="240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25,933</w:t>
            </w:r>
          </w:p>
        </w:tc>
        <w:tc>
          <w:tcPr>
            <w:tcW w:w="2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5,104</w:t>
            </w: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r>
      <w:tr>
        <w:trPr>
          <w:trHeight w:val="196"/>
        </w:trPr>
        <w:tc>
          <w:tcPr>
            <w:tcW w:w="2400" w:type="dxa"/>
            <w:vAlign w:val="bottom"/>
          </w:tcPr>
          <w:p>
            <w:pPr>
              <w:spacing w:after="0"/>
              <w:rPr>
                <w:sz w:val="20"/>
                <w:szCs w:val="20"/>
                <w:color w:val="auto"/>
              </w:rPr>
            </w:pPr>
            <w:r>
              <w:rPr>
                <w:rFonts w:ascii="Arial" w:cs="Arial" w:eastAsia="Arial" w:hAnsi="Arial"/>
                <w:sz w:val="16"/>
                <w:szCs w:val="16"/>
                <w:b w:val="1"/>
                <w:bCs w:val="1"/>
                <w:color w:val="auto"/>
              </w:rPr>
              <w:t>Total Equity and Other</w:t>
            </w:r>
          </w:p>
        </w:tc>
        <w:tc>
          <w:tcPr>
            <w:tcW w:w="2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87,559</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63,113</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560" w:type="dxa"/>
            <w:vAlign w:val="bottom"/>
            <w:tcBorders>
              <w:bottom w:val="single" w:sz="8" w:color="CFF0FC"/>
            </w:tcBorders>
          </w:tcPr>
          <w:p>
            <w:pPr>
              <w:spacing w:after="0"/>
              <w:rPr>
                <w:sz w:val="18"/>
                <w:szCs w:val="18"/>
                <w:color w:val="auto"/>
              </w:rPr>
            </w:pPr>
          </w:p>
        </w:tc>
        <w:tc>
          <w:tcPr>
            <w:tcW w:w="208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r>
      <w:tr>
        <w:trPr>
          <w:trHeight w:val="210"/>
        </w:trPr>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5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$ 2,238,037</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  2,245,928</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200.6</w:t>
            </w:r>
          </w:p>
        </w:tc>
        <w:tc>
          <w:tcPr>
            <w:tcW w:w="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r>
      <w:tr>
        <w:trPr>
          <w:trHeight w:val="20"/>
        </w:trPr>
        <w:tc>
          <w:tcPr>
            <w:tcW w:w="2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Interest Rate Swaps as of December 31, 2019</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Notional</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Upfront</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2"/>
              <w:spacing w:after="0" w:line="133" w:lineRule="exact"/>
              <w:rPr>
                <w:sz w:val="20"/>
                <w:szCs w:val="20"/>
                <w:color w:val="auto"/>
              </w:rPr>
            </w:pPr>
            <w:r>
              <w:rPr>
                <w:rFonts w:ascii="Arial" w:cs="Arial" w:eastAsia="Arial" w:hAnsi="Arial"/>
                <w:sz w:val="14"/>
                <w:szCs w:val="14"/>
                <w:b w:val="1"/>
                <w:bCs w:val="1"/>
                <w:color w:val="auto"/>
                <w:w w:val="91"/>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407"/>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Payments /</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Receipts</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6/25/2020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7/30/2021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+ 2.37%</w:t>
            </w:r>
          </w:p>
        </w:tc>
        <w:tc>
          <w:tcPr>
            <w:tcW w:w="11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+ 1.59%</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+ 1.60%</w:t>
            </w:r>
          </w:p>
        </w:tc>
        <w:tc>
          <w:tcPr>
            <w:tcW w:w="11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+ 1.99%</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+ 2.86%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2.66%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3.88%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+ 2.25%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(3,737)</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00" w:type="dxa"/>
            <w:vAlign w:val="bottom"/>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728,900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00" w:hanging="493"/>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Interest rate swap was terminated or matured in 2019.</w:t>
      </w:r>
    </w:p>
    <w:p>
      <w:pPr>
        <w:spacing w:after="0" w:line="9" w:lineRule="exact"/>
        <w:rPr>
          <w:rFonts w:ascii="Arial" w:cs="Arial" w:eastAsia="Arial" w:hAnsi="Arial"/>
          <w:sz w:val="18"/>
          <w:szCs w:val="18"/>
          <w:color w:val="auto"/>
        </w:rPr>
      </w:pPr>
    </w:p>
    <w:p>
      <w:pPr>
        <w:ind w:left="1000" w:right="220" w:hanging="493"/>
        <w:spacing w:after="0" w:line="260"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40" w:hanging="492"/>
        <w:spacing w:after="0" w:line="28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December 31, 2019.</w:t>
      </w:r>
    </w:p>
    <w:p>
      <w:pPr>
        <w:spacing w:after="0" w:line="3" w:lineRule="exact"/>
        <w:rPr>
          <w:rFonts w:ascii="Arial" w:cs="Arial" w:eastAsia="Arial" w:hAnsi="Arial"/>
          <w:sz w:val="16"/>
          <w:szCs w:val="16"/>
          <w:color w:val="auto"/>
        </w:rPr>
      </w:pPr>
    </w:p>
    <w:p>
      <w:pPr>
        <w:ind w:left="500" w:right="40" w:hanging="492"/>
        <w:spacing w:after="0" w:line="265"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18.5% of total assets as of December 31, 2019.</w:t>
      </w:r>
    </w:p>
    <w:p>
      <w:pPr>
        <w:ind w:left="500" w:right="80" w:hanging="492"/>
        <w:spacing w:after="0" w:line="265"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40" w:hanging="492"/>
        <w:spacing w:after="0" w:line="255"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2019 in which the Company was an Affiliated Person of the portfolio company are as follows: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w w:val="87"/>
              </w:rPr>
              <w:t>Transfers</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31, 2018</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Gain/(Losses)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7"/>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5,207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Validity, Inc.</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w w:val="87"/>
              </w:rPr>
              <w:t>38,590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(39,993)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b w:val="1"/>
                <w:bCs w:val="1"/>
                <w:color w:val="auto"/>
                <w:w w:val="87"/>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(1,409</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(39,993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6,370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597"/>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16" w:right="319" w:bottom="1440" w:gutter="0" w:footer="0" w:header="0"/>
        </w:sectPr>
      </w:pPr>
    </w:p>
    <w:bookmarkStart w:id="17" w:name="page18"/>
    <w:bookmarkEnd w:id="17"/>
    <w:p>
      <w:pPr>
        <w:ind w:left="1000" w:right="100" w:hanging="493"/>
        <w:spacing w:after="0" w:line="258"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2019 in which the Company was an Affiliated Person of and was deemed to Control a portfolio company are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89"/>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December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3"/>
          </w:tcPr>
          <w:p>
            <w:pPr>
              <w:jc w:val="right"/>
              <w:ind w:right="201"/>
              <w:spacing w:after="0" w:line="149" w:lineRule="exact"/>
              <w:rPr>
                <w:sz w:val="20"/>
                <w:szCs w:val="20"/>
                <w:color w:val="auto"/>
              </w:rPr>
            </w:pPr>
            <w:r>
              <w:rPr>
                <w:rFonts w:ascii="Arial" w:cs="Arial" w:eastAsia="Arial" w:hAnsi="Arial"/>
                <w:sz w:val="14"/>
                <w:szCs w:val="14"/>
                <w:b w:val="1"/>
                <w:bCs w:val="1"/>
                <w:color w:val="auto"/>
                <w:w w:val="98"/>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31, 2018</w:t>
            </w: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0"/>
              </w:rPr>
              <w:t>Gain/(Loss)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(4,164)</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1,995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(12,381</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00" w:right="640" w:hanging="492"/>
        <w:spacing w:after="0" w:line="25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2019, the estimated cost basis of investments for U.S. federal tax purposes was $2,230,116, resulting in estimated gross unrealized gains and losses of $87,386 and $78,478,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16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00" w:right="36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2019, the aggregate fair value of these securities is $23,986, or 2.1%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40" w:type="dxa"/>
            <w:vAlign w:val="bottom"/>
            <w:gridSpan w:val="7"/>
          </w:tcPr>
          <w:p>
            <w:pPr>
              <w:ind w:left="280"/>
              <w:spacing w:after="0"/>
              <w:rPr>
                <w:sz w:val="20"/>
                <w:szCs w:val="20"/>
                <w:color w:val="auto"/>
              </w:rPr>
            </w:pPr>
            <w:r>
              <w:rPr>
                <w:rFonts w:ascii="Arial" w:cs="Arial" w:eastAsia="Arial" w:hAnsi="Arial"/>
                <w:sz w:val="15"/>
                <w:szCs w:val="15"/>
                <w:b w:val="1"/>
                <w:bCs w:val="1"/>
                <w:color w:val="auto"/>
              </w:rPr>
              <w:t>Common Stock</w:t>
            </w:r>
          </w:p>
        </w:tc>
        <w:tc>
          <w:tcPr>
            <w:tcW w:w="1520" w:type="dxa"/>
            <w:vAlign w:val="bottom"/>
            <w:gridSpan w:val="4"/>
          </w:tcPr>
          <w:p>
            <w:pPr>
              <w:jc w:val="right"/>
              <w:ind w:right="324"/>
              <w:spacing w:after="0"/>
              <w:rPr>
                <w:sz w:val="20"/>
                <w:szCs w:val="20"/>
                <w:color w:val="auto"/>
              </w:rPr>
            </w:pPr>
            <w:r>
              <w:rPr>
                <w:rFonts w:ascii="Arial" w:cs="Arial" w:eastAsia="Arial" w:hAnsi="Arial"/>
                <w:sz w:val="15"/>
                <w:szCs w:val="15"/>
                <w:b w:val="1"/>
                <w:bCs w:val="1"/>
                <w:color w:val="auto"/>
              </w:rPr>
              <w:t>Treasury Stock</w:t>
            </w:r>
          </w:p>
        </w:tc>
        <w:tc>
          <w:tcPr>
            <w:tcW w:w="120" w:type="dxa"/>
            <w:vAlign w:val="bottom"/>
          </w:tcPr>
          <w:p>
            <w:pPr>
              <w:spacing w:after="0"/>
              <w:rPr>
                <w:sz w:val="15"/>
                <w:szCs w:val="15"/>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5"/>
              </w:rPr>
              <w:t>Paid in Capital in</w:t>
            </w:r>
          </w:p>
        </w:tc>
        <w:tc>
          <w:tcPr>
            <w:tcW w:w="1160" w:type="dxa"/>
            <w:vAlign w:val="bottom"/>
            <w:gridSpan w:val="4"/>
            <w:vMerge w:val="restart"/>
          </w:tcPr>
          <w:p>
            <w:pPr>
              <w:ind w:left="80"/>
              <w:spacing w:after="0"/>
              <w:rPr>
                <w:sz w:val="20"/>
                <w:szCs w:val="20"/>
                <w:color w:val="auto"/>
              </w:rPr>
            </w:pPr>
            <w:r>
              <w:rPr>
                <w:rFonts w:ascii="Arial" w:cs="Arial" w:eastAsia="Arial" w:hAnsi="Arial"/>
                <w:sz w:val="15"/>
                <w:szCs w:val="15"/>
                <w:b w:val="1"/>
                <w:bCs w:val="1"/>
                <w:color w:val="auto"/>
              </w:rPr>
              <w:t>Distributable</w:t>
            </w:r>
          </w:p>
        </w:tc>
        <w:tc>
          <w:tcPr>
            <w:tcW w:w="8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Total Net</w:t>
            </w: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84"/>
              <w:spacing w:after="0" w:line="152" w:lineRule="exact"/>
              <w:rPr>
                <w:sz w:val="20"/>
                <w:szCs w:val="20"/>
                <w:color w:val="auto"/>
              </w:rPr>
            </w:pPr>
            <w:r>
              <w:rPr>
                <w:rFonts w:ascii="Arial" w:cs="Arial" w:eastAsia="Arial" w:hAnsi="Arial"/>
                <w:sz w:val="15"/>
                <w:szCs w:val="15"/>
                <w:b w:val="1"/>
                <w:bCs w:val="1"/>
                <w:color w:val="auto"/>
                <w:w w:val="82"/>
              </w:rPr>
              <w:t>Par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80" w:type="dxa"/>
            <w:vAlign w:val="bottom"/>
          </w:tcPr>
          <w:p>
            <w:pPr>
              <w:jc w:val="right"/>
              <w:ind w:right="184"/>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5"/>
                <w:szCs w:val="15"/>
                <w:color w:val="auto"/>
              </w:rPr>
            </w:pPr>
          </w:p>
        </w:tc>
        <w:tc>
          <w:tcPr>
            <w:tcW w:w="820" w:type="dxa"/>
            <w:vAlign w:val="bottom"/>
            <w:gridSpan w:val="5"/>
          </w:tcPr>
          <w:p>
            <w:pPr>
              <w:spacing w:after="0"/>
              <w:rPr>
                <w:sz w:val="20"/>
                <w:szCs w:val="20"/>
                <w:color w:val="auto"/>
              </w:rPr>
            </w:pPr>
            <w:r>
              <w:rPr>
                <w:rFonts w:ascii="Arial" w:cs="Arial" w:eastAsia="Arial" w:hAnsi="Arial"/>
                <w:sz w:val="15"/>
                <w:szCs w:val="15"/>
                <w:b w:val="1"/>
                <w:bCs w:val="1"/>
                <w:color w:val="auto"/>
              </w:rPr>
              <w:t>Amount</w:t>
            </w:r>
          </w:p>
        </w:tc>
        <w:tc>
          <w:tcPr>
            <w:tcW w:w="560" w:type="dxa"/>
            <w:vAlign w:val="bottom"/>
          </w:tcPr>
          <w:p>
            <w:pPr>
              <w:jc w:val="right"/>
              <w:ind w:right="24"/>
              <w:spacing w:after="0"/>
              <w:rPr>
                <w:sz w:val="20"/>
                <w:szCs w:val="20"/>
                <w:color w:val="auto"/>
              </w:rPr>
            </w:pPr>
            <w:r>
              <w:rPr>
                <w:rFonts w:ascii="Arial" w:cs="Arial" w:eastAsia="Arial" w:hAnsi="Arial"/>
                <w:sz w:val="15"/>
                <w:szCs w:val="15"/>
                <w:b w:val="1"/>
                <w:bCs w:val="1"/>
                <w:color w:val="auto"/>
                <w:w w:val="87"/>
              </w:rPr>
              <w:t>Shares</w:t>
            </w:r>
          </w:p>
        </w:tc>
        <w:tc>
          <w:tcPr>
            <w:tcW w:w="220" w:type="dxa"/>
            <w:vAlign w:val="bottom"/>
          </w:tcPr>
          <w:p>
            <w:pPr>
              <w:spacing w:after="0"/>
              <w:rPr>
                <w:sz w:val="15"/>
                <w:szCs w:val="15"/>
                <w:color w:val="auto"/>
              </w:rPr>
            </w:pPr>
          </w:p>
        </w:tc>
        <w:tc>
          <w:tcPr>
            <w:tcW w:w="740" w:type="dxa"/>
            <w:vAlign w:val="bottom"/>
            <w:gridSpan w:val="2"/>
          </w:tcPr>
          <w:p>
            <w:pPr>
              <w:jc w:val="right"/>
              <w:ind w:right="264"/>
              <w:spacing w:after="0"/>
              <w:rPr>
                <w:sz w:val="20"/>
                <w:szCs w:val="20"/>
                <w:color w:val="auto"/>
              </w:rPr>
            </w:pPr>
            <w:r>
              <w:rPr>
                <w:rFonts w:ascii="Arial" w:cs="Arial" w:eastAsia="Arial" w:hAnsi="Arial"/>
                <w:sz w:val="15"/>
                <w:szCs w:val="15"/>
                <w:b w:val="1"/>
                <w:bCs w:val="1"/>
                <w:color w:val="auto"/>
              </w:rPr>
              <w:t>Cost</w:t>
            </w:r>
          </w:p>
        </w:tc>
        <w:tc>
          <w:tcPr>
            <w:tcW w:w="12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Excess of Par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3"/>
              </w:rPr>
              <w:t>Earnings</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81"/>
              </w:rPr>
              <w:t>Assets</w:t>
            </w: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FF0FC"/>
          </w:tcPr>
          <w:p>
            <w:pPr>
              <w:spacing w:after="0"/>
              <w:rPr>
                <w:sz w:val="20"/>
                <w:szCs w:val="20"/>
                <w:color w:val="auto"/>
              </w:rPr>
            </w:pPr>
            <w:r>
              <w:rPr>
                <w:rFonts w:ascii="Arial" w:cs="Arial" w:eastAsia="Arial" w:hAnsi="Arial"/>
                <w:sz w:val="15"/>
                <w:szCs w:val="15"/>
                <w:b w:val="1"/>
                <w:bCs w:val="1"/>
                <w:color w:val="auto"/>
              </w:rPr>
              <w:t>Balance at December 31, 2019</w:t>
            </w:r>
          </w:p>
        </w:tc>
        <w:tc>
          <w:tcPr>
            <w:tcW w:w="88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60" w:type="dxa"/>
            <w:vAlign w:val="bottom"/>
            <w:gridSpan w:val="2"/>
            <w:vMerge w:val="continue"/>
            <w:shd w:val="clear" w:color="auto" w:fill="CFF0FC"/>
          </w:tcPr>
          <w:p>
            <w:pPr>
              <w:spacing w:after="0"/>
              <w:rPr>
                <w:sz w:val="14"/>
                <w:szCs w:val="14"/>
                <w:color w:val="auto"/>
              </w:rPr>
            </w:pPr>
          </w:p>
        </w:tc>
        <w:tc>
          <w:tcPr>
            <w:tcW w:w="880" w:type="dxa"/>
            <w:vAlign w:val="bottom"/>
            <w:tcBorders>
              <w:left w:val="single" w:sz="8" w:color="CFF0FC"/>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66,524,591</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666</w:t>
            </w: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89,080</w:t>
            </w:r>
          </w:p>
        </w:tc>
        <w:tc>
          <w:tcPr>
            <w:tcW w:w="960" w:type="dxa"/>
            <w:vAlign w:val="bottom"/>
            <w:gridSpan w:val="3"/>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 (1,359)</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1,009,270</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110,720</w:t>
            </w: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0"/>
              </w:rPr>
              <w:t>$ 1,119,297</w:t>
            </w:r>
          </w:p>
        </w:tc>
        <w:tc>
          <w:tcPr>
            <w:tcW w:w="0" w:type="dxa"/>
            <w:vAlign w:val="bottom"/>
          </w:tcPr>
          <w:p>
            <w:pPr>
              <w:spacing w:after="0"/>
              <w:rPr>
                <w:sz w:val="1"/>
                <w:szCs w:val="1"/>
                <w:color w:val="auto"/>
              </w:rPr>
            </w:pPr>
          </w:p>
        </w:tc>
      </w:tr>
      <w:tr>
        <w:trPr>
          <w:trHeight w:val="176"/>
        </w:trPr>
        <w:tc>
          <w:tcPr>
            <w:tcW w:w="4260" w:type="dxa"/>
            <w:vAlign w:val="bottom"/>
            <w:gridSpan w:val="2"/>
          </w:tcPr>
          <w:p>
            <w:pPr>
              <w:ind w:left="140"/>
              <w:spacing w:after="0"/>
              <w:rPr>
                <w:sz w:val="20"/>
                <w:szCs w:val="20"/>
                <w:color w:val="auto"/>
              </w:rPr>
            </w:pPr>
            <w:r>
              <w:rPr>
                <w:rFonts w:ascii="Arial" w:cs="Arial" w:eastAsia="Arial" w:hAnsi="Arial"/>
                <w:sz w:val="15"/>
                <w:szCs w:val="15"/>
                <w:color w:val="auto"/>
              </w:rPr>
              <w:t>Net decrease in net assets resulting from operations: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investment income</w:t>
            </w:r>
          </w:p>
        </w:tc>
        <w:tc>
          <w:tcPr>
            <w:tcW w:w="880" w:type="dxa"/>
            <w:vAlign w:val="bottom"/>
            <w:tcBorders>
              <w:left w:val="single" w:sz="8" w:color="CFF0FC"/>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33,662</w:t>
            </w:r>
          </w:p>
        </w:tc>
        <w:tc>
          <w:tcPr>
            <w:tcW w:w="20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33,662</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020" w:type="dxa"/>
            <w:vAlign w:val="bottom"/>
          </w:tcPr>
          <w:p>
            <w:pPr>
              <w:ind w:left="20"/>
              <w:spacing w:after="0" w:line="162" w:lineRule="exact"/>
              <w:rPr>
                <w:sz w:val="20"/>
                <w:szCs w:val="20"/>
                <w:color w:val="auto"/>
              </w:rPr>
            </w:pPr>
            <w:r>
              <w:rPr>
                <w:rFonts w:ascii="Arial" w:cs="Arial" w:eastAsia="Arial" w:hAnsi="Arial"/>
                <w:sz w:val="15"/>
                <w:szCs w:val="15"/>
                <w:color w:val="auto"/>
                <w:w w:val="99"/>
              </w:rPr>
              <w:t>Net change in unrealized gains (losses) on investments and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020" w:type="dxa"/>
            <w:vAlign w:val="bottom"/>
          </w:tcPr>
          <w:p>
            <w:pPr>
              <w:ind w:left="120"/>
              <w:spacing w:after="0"/>
              <w:rPr>
                <w:sz w:val="20"/>
                <w:szCs w:val="20"/>
                <w:color w:val="auto"/>
              </w:rPr>
            </w:pPr>
            <w:r>
              <w:rPr>
                <w:rFonts w:ascii="Arial" w:cs="Arial" w:eastAsia="Arial" w:hAnsi="Arial"/>
                <w:sz w:val="15"/>
                <w:szCs w:val="15"/>
                <w:color w:val="auto"/>
              </w:rPr>
              <w:t>foreign currency translation</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(84,680)</w:t>
            </w:r>
          </w:p>
        </w:tc>
        <w:tc>
          <w:tcPr>
            <w:tcW w:w="820" w:type="dxa"/>
            <w:vAlign w:val="bottom"/>
          </w:tcPr>
          <w:p>
            <w:pPr>
              <w:jc w:val="right"/>
              <w:spacing w:after="0"/>
              <w:rPr>
                <w:sz w:val="20"/>
                <w:szCs w:val="20"/>
                <w:color w:val="auto"/>
              </w:rPr>
            </w:pPr>
            <w:r>
              <w:rPr>
                <w:rFonts w:ascii="Arial" w:cs="Arial" w:eastAsia="Arial" w:hAnsi="Arial"/>
                <w:sz w:val="15"/>
                <w:szCs w:val="15"/>
                <w:color w:val="auto"/>
              </w:rPr>
              <w:t>(84,680)</w:t>
            </w: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02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w w:val="99"/>
              </w:rPr>
              <w:t>Net realized gain (loss) on investments and foreign currency</w:t>
            </w:r>
          </w:p>
        </w:tc>
        <w:tc>
          <w:tcPr>
            <w:tcW w:w="88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transactions</w:t>
            </w:r>
          </w:p>
        </w:tc>
        <w:tc>
          <w:tcPr>
            <w:tcW w:w="880" w:type="dxa"/>
            <w:vAlign w:val="bottom"/>
            <w:tcBorders>
              <w:left w:val="single" w:sz="8" w:color="CFF0FC"/>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(2,081)</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(2,081)</w:t>
            </w:r>
          </w:p>
        </w:tc>
        <w:tc>
          <w:tcPr>
            <w:tcW w:w="0" w:type="dxa"/>
            <w:vAlign w:val="bottom"/>
          </w:tcPr>
          <w:p>
            <w:pPr>
              <w:spacing w:after="0"/>
              <w:rPr>
                <w:sz w:val="1"/>
                <w:szCs w:val="1"/>
                <w:color w:val="auto"/>
              </w:rPr>
            </w:pPr>
          </w:p>
        </w:tc>
      </w:tr>
      <w:tr>
        <w:trPr>
          <w:trHeight w:val="162"/>
        </w:trPr>
        <w:tc>
          <w:tcPr>
            <w:tcW w:w="42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Decrease in Net Assets Resulting from Capital Share</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5"/>
                <w:szCs w:val="15"/>
                <w:color w:val="auto"/>
              </w:rPr>
              <w:t>Transactions: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Purchases of Treasury Stock</w:t>
            </w:r>
          </w:p>
        </w:tc>
        <w:tc>
          <w:tcPr>
            <w:tcW w:w="88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(206,964)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206,964</w:t>
            </w:r>
          </w:p>
        </w:tc>
        <w:tc>
          <w:tcPr>
            <w:tcW w:w="960" w:type="dxa"/>
            <w:vAlign w:val="bottom"/>
            <w:gridSpan w:val="3"/>
            <w:shd w:val="clear" w:color="auto" w:fill="CFF0FC"/>
          </w:tcPr>
          <w:p>
            <w:pPr>
              <w:jc w:val="right"/>
              <w:ind w:right="84"/>
              <w:spacing w:after="0"/>
              <w:rPr>
                <w:sz w:val="20"/>
                <w:szCs w:val="20"/>
                <w:color w:val="auto"/>
              </w:rPr>
            </w:pPr>
            <w:r>
              <w:rPr>
                <w:rFonts w:ascii="Arial" w:cs="Arial" w:eastAsia="Arial" w:hAnsi="Arial"/>
                <w:sz w:val="15"/>
                <w:szCs w:val="15"/>
                <w:color w:val="auto"/>
              </w:rPr>
              <w:t>(2,932)</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(2,932)</w:t>
            </w:r>
          </w:p>
        </w:tc>
        <w:tc>
          <w:tcPr>
            <w:tcW w:w="0" w:type="dxa"/>
            <w:vAlign w:val="bottom"/>
          </w:tcPr>
          <w:p>
            <w:pPr>
              <w:spacing w:after="0"/>
              <w:rPr>
                <w:sz w:val="1"/>
                <w:szCs w:val="1"/>
                <w:color w:val="auto"/>
              </w:rPr>
            </w:pPr>
          </w:p>
        </w:tc>
      </w:tr>
      <w:tr>
        <w:trPr>
          <w:trHeight w:val="176"/>
        </w:trPr>
        <w:tc>
          <w:tcPr>
            <w:tcW w:w="4260" w:type="dxa"/>
            <w:vAlign w:val="bottom"/>
            <w:gridSpan w:val="2"/>
          </w:tcPr>
          <w:p>
            <w:pPr>
              <w:ind w:left="140"/>
              <w:spacing w:after="0"/>
              <w:rPr>
                <w:sz w:val="20"/>
                <w:szCs w:val="20"/>
                <w:color w:val="auto"/>
              </w:rPr>
            </w:pPr>
            <w:r>
              <w:rPr>
                <w:rFonts w:ascii="Arial" w:cs="Arial" w:eastAsia="Arial" w:hAnsi="Arial"/>
                <w:sz w:val="15"/>
                <w:szCs w:val="15"/>
                <w:color w:val="auto"/>
              </w:rPr>
              <w:t>Dividends to stockholders: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80" w:type="dxa"/>
            <w:vAlign w:val="bottom"/>
            <w:tcBorders>
              <w:left w:val="single" w:sz="8" w:color="CFF0FC"/>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252,144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4,828</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20" w:type="dxa"/>
            <w:vAlign w:val="bottom"/>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(31,358)</w:t>
            </w:r>
          </w:p>
        </w:tc>
        <w:tc>
          <w:tcPr>
            <w:tcW w:w="820" w:type="dxa"/>
            <w:vAlign w:val="bottom"/>
          </w:tcPr>
          <w:p>
            <w:pPr>
              <w:jc w:val="right"/>
              <w:spacing w:after="0"/>
              <w:rPr>
                <w:sz w:val="20"/>
                <w:szCs w:val="20"/>
                <w:color w:val="auto"/>
              </w:rPr>
            </w:pPr>
            <w:r>
              <w:rPr>
                <w:rFonts w:ascii="Arial" w:cs="Arial" w:eastAsia="Arial" w:hAnsi="Arial"/>
                <w:sz w:val="15"/>
                <w:szCs w:val="15"/>
                <w:color w:val="auto"/>
              </w:rPr>
              <w:t>(31,358)</w:t>
            </w: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FF0FC"/>
          </w:tcPr>
          <w:p>
            <w:pPr>
              <w:ind w:left="140"/>
              <w:spacing w:after="0" w:line="162" w:lineRule="exact"/>
              <w:rPr>
                <w:sz w:val="20"/>
                <w:szCs w:val="20"/>
                <w:color w:val="auto"/>
              </w:rPr>
            </w:pPr>
            <w:r>
              <w:rPr>
                <w:rFonts w:ascii="Arial" w:cs="Arial" w:eastAsia="Arial" w:hAnsi="Arial"/>
                <w:sz w:val="15"/>
                <w:szCs w:val="15"/>
                <w:color w:val="auto"/>
                <w:w w:val="99"/>
              </w:rPr>
              <w:t>Tax reclassification of stockholders' equity in accordance with</w:t>
            </w:r>
          </w:p>
        </w:tc>
        <w:tc>
          <w:tcPr>
            <w:tcW w:w="88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880" w:type="dxa"/>
            <w:vAlign w:val="bottom"/>
            <w:tcBorders>
              <w:left w:val="single" w:sz="8" w:color="CFF0FC"/>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(1,016)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w:t>
            </w:r>
          </w:p>
        </w:tc>
        <w:tc>
          <w:tcPr>
            <w:tcW w:w="20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Balance at March 31, 2020</w:t>
            </w:r>
          </w:p>
        </w:tc>
        <w:tc>
          <w:tcPr>
            <w:tcW w:w="88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rPr>
              <w:t>66,569,771</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5"/>
                <w:szCs w:val="15"/>
                <w:b w:val="1"/>
                <w:bCs w:val="1"/>
                <w:color w:val="auto"/>
              </w:rPr>
              <w:t>$</w:t>
            </w:r>
          </w:p>
        </w:tc>
        <w:tc>
          <w:tcPr>
            <w:tcW w:w="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9"/>
              </w:rPr>
              <w:t>296,044</w:t>
            </w:r>
          </w:p>
        </w:tc>
        <w:tc>
          <w:tcPr>
            <w:tcW w:w="2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22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auto"/>
                <w:w w:val="79"/>
              </w:rPr>
              <w:t>)</w:t>
            </w: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1,013,079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27,279</w:t>
            </w:r>
          </w:p>
        </w:tc>
        <w:tc>
          <w:tcPr>
            <w:tcW w:w="2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90"/>
              </w:rPr>
              <w:t>$ 1,036,736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40" w:type="dxa"/>
            <w:vAlign w:val="bottom"/>
            <w:gridSpan w:val="7"/>
          </w:tcPr>
          <w:p>
            <w:pPr>
              <w:ind w:left="340"/>
              <w:spacing w:after="0"/>
              <w:rPr>
                <w:sz w:val="20"/>
                <w:szCs w:val="20"/>
                <w:color w:val="auto"/>
              </w:rPr>
            </w:pPr>
            <w:r>
              <w:rPr>
                <w:rFonts w:ascii="Arial" w:cs="Arial" w:eastAsia="Arial" w:hAnsi="Arial"/>
                <w:sz w:val="15"/>
                <w:szCs w:val="15"/>
                <w:b w:val="1"/>
                <w:bCs w:val="1"/>
                <w:color w:val="auto"/>
              </w:rPr>
              <w:t>Common Stock</w:t>
            </w:r>
          </w:p>
        </w:tc>
        <w:tc>
          <w:tcPr>
            <w:tcW w:w="1520" w:type="dxa"/>
            <w:vAlign w:val="bottom"/>
            <w:gridSpan w:val="4"/>
          </w:tcPr>
          <w:p>
            <w:pPr>
              <w:jc w:val="right"/>
              <w:ind w:right="304"/>
              <w:spacing w:after="0"/>
              <w:rPr>
                <w:sz w:val="20"/>
                <w:szCs w:val="20"/>
                <w:color w:val="auto"/>
              </w:rPr>
            </w:pPr>
            <w:r>
              <w:rPr>
                <w:rFonts w:ascii="Arial" w:cs="Arial" w:eastAsia="Arial" w:hAnsi="Arial"/>
                <w:sz w:val="15"/>
                <w:szCs w:val="15"/>
                <w:b w:val="1"/>
                <w:bCs w:val="1"/>
                <w:color w:val="auto"/>
              </w:rPr>
              <w:t>Treasury Stock</w:t>
            </w:r>
          </w:p>
        </w:tc>
        <w:tc>
          <w:tcPr>
            <w:tcW w:w="120" w:type="dxa"/>
            <w:vAlign w:val="bottom"/>
          </w:tcPr>
          <w:p>
            <w:pPr>
              <w:spacing w:after="0"/>
              <w:rPr>
                <w:sz w:val="24"/>
                <w:szCs w:val="2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5"/>
              </w:rPr>
              <w:t>Paid in Capital in</w:t>
            </w:r>
          </w:p>
        </w:tc>
        <w:tc>
          <w:tcPr>
            <w:tcW w:w="1160" w:type="dxa"/>
            <w:vAlign w:val="bottom"/>
            <w:gridSpan w:val="4"/>
            <w:vMerge w:val="restart"/>
          </w:tcPr>
          <w:p>
            <w:pPr>
              <w:ind w:left="80"/>
              <w:spacing w:after="0"/>
              <w:rPr>
                <w:sz w:val="20"/>
                <w:szCs w:val="20"/>
                <w:color w:val="auto"/>
              </w:rPr>
            </w:pPr>
            <w:r>
              <w:rPr>
                <w:rFonts w:ascii="Arial" w:cs="Arial" w:eastAsia="Arial" w:hAnsi="Arial"/>
                <w:sz w:val="15"/>
                <w:szCs w:val="15"/>
                <w:b w:val="1"/>
                <w:bCs w:val="1"/>
                <w:color w:val="auto"/>
              </w:rPr>
              <w:t>Distributable</w:t>
            </w:r>
          </w:p>
        </w:tc>
        <w:tc>
          <w:tcPr>
            <w:tcW w:w="8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Total Net</w:t>
            </w: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jc w:val="right"/>
              <w:ind w:right="160"/>
              <w:spacing w:after="0" w:line="152" w:lineRule="exact"/>
              <w:rPr>
                <w:sz w:val="20"/>
                <w:szCs w:val="20"/>
                <w:color w:val="auto"/>
              </w:rPr>
            </w:pPr>
            <w:r>
              <w:rPr>
                <w:rFonts w:ascii="Arial" w:cs="Arial" w:eastAsia="Arial" w:hAnsi="Arial"/>
                <w:sz w:val="15"/>
                <w:szCs w:val="15"/>
                <w:b w:val="1"/>
                <w:bCs w:val="1"/>
                <w:color w:val="auto"/>
              </w:rPr>
              <w:t>Par</w:t>
            </w:r>
          </w:p>
        </w:tc>
        <w:tc>
          <w:tcPr>
            <w:tcW w:w="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0" w:type="dxa"/>
            <w:vAlign w:val="bottom"/>
            <w:tcBorders>
              <w:bottom w:val="single" w:sz="8" w:color="CFF0FC"/>
            </w:tcBorders>
          </w:tcPr>
          <w:p>
            <w:pPr>
              <w:spacing w:after="0"/>
              <w:rPr>
                <w:sz w:val="15"/>
                <w:szCs w:val="15"/>
                <w:color w:val="auto"/>
              </w:rPr>
            </w:pPr>
          </w:p>
        </w:tc>
        <w:tc>
          <w:tcPr>
            <w:tcW w:w="40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1"/>
              </w:rPr>
              <w:t>Amount</w:t>
            </w: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Shares</w:t>
            </w:r>
          </w:p>
        </w:tc>
        <w:tc>
          <w:tcPr>
            <w:tcW w:w="2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Cost</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89"/>
              </w:rPr>
              <w:t>Excess of Par</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1"/>
              </w:rPr>
              <w:t>Assets</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December 31, 2018</w:t>
            </w:r>
          </w:p>
        </w:tc>
        <w:tc>
          <w:tcPr>
            <w:tcW w:w="880" w:type="dxa"/>
            <w:vAlign w:val="bottom"/>
            <w:tcBorders>
              <w:left w:val="single" w:sz="8" w:color="CFF0FC"/>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65,412,817</w:t>
            </w:r>
          </w:p>
        </w:tc>
        <w:tc>
          <w:tcPr>
            <w:tcW w:w="300" w:type="dxa"/>
            <w:vAlign w:val="bottom"/>
            <w:gridSpan w:val="3"/>
            <w:shd w:val="clear" w:color="auto" w:fill="CFF0FC"/>
          </w:tcPr>
          <w:p>
            <w:pPr>
              <w:ind w:left="220"/>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655</w:t>
            </w:r>
          </w:p>
        </w:tc>
        <w:tc>
          <w:tcPr>
            <w:tcW w:w="200" w:type="dxa"/>
            <w:vAlign w:val="bottom"/>
            <w:tcBorders>
              <w:right w:val="single" w:sz="8" w:color="CFF0FC"/>
            </w:tcBorders>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89,080</w:t>
            </w:r>
          </w:p>
        </w:tc>
        <w:tc>
          <w:tcPr>
            <w:tcW w:w="960" w:type="dxa"/>
            <w:vAlign w:val="bottom"/>
            <w:gridSpan w:val="3"/>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 (1,359)</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991,919</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71,987</w:t>
            </w: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0"/>
              </w:rPr>
              <w:t>$ 1,063,202</w:t>
            </w:r>
          </w:p>
        </w:tc>
        <w:tc>
          <w:tcPr>
            <w:tcW w:w="0" w:type="dxa"/>
            <w:vAlign w:val="bottom"/>
          </w:tcPr>
          <w:p>
            <w:pPr>
              <w:spacing w:after="0"/>
              <w:rPr>
                <w:sz w:val="1"/>
                <w:szCs w:val="1"/>
                <w:color w:val="auto"/>
              </w:rPr>
            </w:pPr>
          </w:p>
        </w:tc>
      </w:tr>
      <w:tr>
        <w:trPr>
          <w:trHeight w:val="175"/>
        </w:trPr>
        <w:tc>
          <w:tcPr>
            <w:tcW w:w="4260" w:type="dxa"/>
            <w:vAlign w:val="bottom"/>
            <w:gridSpan w:val="2"/>
          </w:tcPr>
          <w:p>
            <w:pPr>
              <w:ind w:left="140"/>
              <w:spacing w:after="0"/>
              <w:rPr>
                <w:sz w:val="20"/>
                <w:szCs w:val="20"/>
                <w:color w:val="auto"/>
              </w:rPr>
            </w:pPr>
            <w:r>
              <w:rPr>
                <w:rFonts w:ascii="Arial" w:cs="Arial" w:eastAsia="Arial" w:hAnsi="Arial"/>
                <w:sz w:val="15"/>
                <w:szCs w:val="15"/>
                <w:color w:val="auto"/>
              </w:rPr>
              <w:t>Net increase in net assets resulting from operations: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investment income</w:t>
            </w:r>
          </w:p>
        </w:tc>
        <w:tc>
          <w:tcPr>
            <w:tcW w:w="88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26,638</w:t>
            </w:r>
          </w:p>
        </w:tc>
        <w:tc>
          <w:tcPr>
            <w:tcW w:w="20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26,638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020" w:type="dxa"/>
            <w:vAlign w:val="bottom"/>
          </w:tcPr>
          <w:p>
            <w:pPr>
              <w:ind w:left="20"/>
              <w:spacing w:after="0" w:line="162" w:lineRule="exact"/>
              <w:rPr>
                <w:sz w:val="20"/>
                <w:szCs w:val="20"/>
                <w:color w:val="auto"/>
              </w:rPr>
            </w:pPr>
            <w:r>
              <w:rPr>
                <w:rFonts w:ascii="Arial" w:cs="Arial" w:eastAsia="Arial" w:hAnsi="Arial"/>
                <w:sz w:val="15"/>
                <w:szCs w:val="15"/>
                <w:color w:val="auto"/>
                <w:w w:val="99"/>
              </w:rPr>
              <w:t>Net change in unrealized gains (losses) on investments and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020" w:type="dxa"/>
            <w:vAlign w:val="bottom"/>
          </w:tcPr>
          <w:p>
            <w:pPr>
              <w:ind w:left="120"/>
              <w:spacing w:after="0"/>
              <w:rPr>
                <w:sz w:val="20"/>
                <w:szCs w:val="20"/>
                <w:color w:val="auto"/>
              </w:rPr>
            </w:pPr>
            <w:r>
              <w:rPr>
                <w:rFonts w:ascii="Arial" w:cs="Arial" w:eastAsia="Arial" w:hAnsi="Arial"/>
                <w:sz w:val="15"/>
                <w:szCs w:val="15"/>
                <w:color w:val="auto"/>
              </w:rPr>
              <w:t>foreign currency translation</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11,460</w:t>
            </w:r>
          </w:p>
        </w:tc>
        <w:tc>
          <w:tcPr>
            <w:tcW w:w="2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11,460</w:t>
            </w: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02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w w:val="99"/>
              </w:rPr>
              <w:t>Net realized gain (loss) on investments and foreign currency</w:t>
            </w:r>
          </w:p>
        </w:tc>
        <w:tc>
          <w:tcPr>
            <w:tcW w:w="88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transactions</w:t>
            </w:r>
          </w:p>
        </w:tc>
        <w:tc>
          <w:tcPr>
            <w:tcW w:w="88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w:t>
            </w:r>
          </w:p>
        </w:tc>
        <w:tc>
          <w:tcPr>
            <w:tcW w:w="20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647</w:t>
            </w:r>
          </w:p>
        </w:tc>
        <w:tc>
          <w:tcPr>
            <w:tcW w:w="0" w:type="dxa"/>
            <w:vAlign w:val="bottom"/>
          </w:tcPr>
          <w:p>
            <w:pPr>
              <w:spacing w:after="0"/>
              <w:rPr>
                <w:sz w:val="1"/>
                <w:szCs w:val="1"/>
                <w:color w:val="auto"/>
              </w:rPr>
            </w:pPr>
          </w:p>
        </w:tc>
      </w:tr>
      <w:tr>
        <w:trPr>
          <w:trHeight w:val="175"/>
        </w:trPr>
        <w:tc>
          <w:tcPr>
            <w:tcW w:w="4260" w:type="dxa"/>
            <w:vAlign w:val="bottom"/>
            <w:gridSpan w:val="2"/>
          </w:tcPr>
          <w:p>
            <w:pPr>
              <w:ind w:left="140"/>
              <w:spacing w:after="0"/>
              <w:rPr>
                <w:sz w:val="20"/>
                <w:szCs w:val="20"/>
                <w:color w:val="auto"/>
              </w:rPr>
            </w:pPr>
            <w:r>
              <w:rPr>
                <w:rFonts w:ascii="Arial" w:cs="Arial" w:eastAsia="Arial" w:hAnsi="Arial"/>
                <w:sz w:val="15"/>
                <w:szCs w:val="15"/>
                <w:color w:val="auto"/>
              </w:rPr>
              <w:t>Dividends to stockholders: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8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300,145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w:t>
            </w:r>
          </w:p>
        </w:tc>
        <w:tc>
          <w:tcPr>
            <w:tcW w:w="200" w:type="dxa"/>
            <w:vAlign w:val="bottom"/>
            <w:tcBorders>
              <w:right w:val="single" w:sz="8" w:color="CFF0FC"/>
            </w:tcBorders>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5,586</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020" w:type="dxa"/>
            <w:vAlign w:val="bottom"/>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(33,469)</w:t>
            </w:r>
          </w:p>
        </w:tc>
        <w:tc>
          <w:tcPr>
            <w:tcW w:w="820" w:type="dxa"/>
            <w:vAlign w:val="bottom"/>
          </w:tcPr>
          <w:p>
            <w:pPr>
              <w:jc w:val="right"/>
              <w:spacing w:after="0"/>
              <w:rPr>
                <w:sz w:val="20"/>
                <w:szCs w:val="20"/>
                <w:color w:val="auto"/>
              </w:rPr>
            </w:pPr>
            <w:r>
              <w:rPr>
                <w:rFonts w:ascii="Arial" w:cs="Arial" w:eastAsia="Arial" w:hAnsi="Arial"/>
                <w:sz w:val="15"/>
                <w:szCs w:val="15"/>
                <w:color w:val="auto"/>
              </w:rPr>
              <w:t>(33,469)</w:t>
            </w: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FF0FC"/>
          </w:tcPr>
          <w:p>
            <w:pPr>
              <w:ind w:left="140"/>
              <w:spacing w:after="0" w:line="162" w:lineRule="exact"/>
              <w:rPr>
                <w:sz w:val="20"/>
                <w:szCs w:val="20"/>
                <w:color w:val="auto"/>
              </w:rPr>
            </w:pPr>
            <w:r>
              <w:rPr>
                <w:rFonts w:ascii="Arial" w:cs="Arial" w:eastAsia="Arial" w:hAnsi="Arial"/>
                <w:sz w:val="15"/>
                <w:szCs w:val="15"/>
                <w:color w:val="auto"/>
                <w:w w:val="99"/>
              </w:rPr>
              <w:t>Tax reclassification of stockholders' equity in accordance with</w:t>
            </w:r>
          </w:p>
        </w:tc>
        <w:tc>
          <w:tcPr>
            <w:tcW w:w="88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88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(304)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w:t>
            </w:r>
          </w:p>
        </w:tc>
        <w:tc>
          <w:tcPr>
            <w:tcW w:w="20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Balance at March 31, 2019</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65,712,962</w:t>
            </w:r>
          </w:p>
        </w:tc>
        <w:tc>
          <w:tcPr>
            <w:tcW w:w="22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gridSpan w:val="2"/>
          </w:tcPr>
          <w:p>
            <w:pPr>
              <w:jc w:val="right"/>
              <w:ind w:right="20"/>
              <w:spacing w:after="0" w:line="169" w:lineRule="exact"/>
              <w:rPr>
                <w:sz w:val="20"/>
                <w:szCs w:val="20"/>
                <w:color w:val="auto"/>
              </w:rPr>
            </w:pPr>
            <w:r>
              <w:rPr>
                <w:rFonts w:ascii="Arial" w:cs="Arial" w:eastAsia="Arial" w:hAnsi="Arial"/>
                <w:sz w:val="15"/>
                <w:szCs w:val="15"/>
                <w:b w:val="1"/>
                <w:bCs w:val="1"/>
                <w:color w:val="auto"/>
              </w:rPr>
              <w:t>658</w:t>
            </w:r>
          </w:p>
        </w:tc>
        <w:tc>
          <w:tcPr>
            <w:tcW w:w="2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89,080</w:t>
            </w:r>
          </w:p>
        </w:tc>
        <w:tc>
          <w:tcPr>
            <w:tcW w:w="2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(1,359</w:t>
            </w:r>
          </w:p>
        </w:tc>
        <w:tc>
          <w:tcPr>
            <w:tcW w:w="22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auto"/>
                <w:w w:val="79"/>
              </w:rPr>
              <w:t>)</w:t>
            </w: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997,198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77,567</w:t>
            </w:r>
          </w:p>
        </w:tc>
        <w:tc>
          <w:tcPr>
            <w:tcW w:w="2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90"/>
              </w:rPr>
              <w:t>$ 1,074,064</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(1)</w:t>
            </w:r>
          </w:p>
        </w:tc>
        <w:tc>
          <w:tcPr>
            <w:tcW w:w="4020" w:type="dxa"/>
            <w:vAlign w:val="bottom"/>
            <w:vMerge w:val="restart"/>
          </w:tcPr>
          <w:p>
            <w:pPr>
              <w:ind w:left="260"/>
              <w:spacing w:after="0"/>
              <w:rPr>
                <w:sz w:val="20"/>
                <w:szCs w:val="20"/>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vMerge w:val="continue"/>
          </w:tcPr>
          <w:p>
            <w:pPr>
              <w:spacing w:after="0"/>
              <w:rPr>
                <w:sz w:val="24"/>
                <w:szCs w:val="24"/>
                <w:color w:val="auto"/>
              </w:rPr>
            </w:pPr>
          </w:p>
        </w:tc>
        <w:tc>
          <w:tcPr>
            <w:tcW w:w="40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(53,099)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38,745</w:t>
            </w:r>
          </w:p>
        </w:tc>
        <w:tc>
          <w:tcPr>
            <w:tcW w:w="120" w:type="dxa"/>
            <w:vAlign w:val="bottom"/>
          </w:tcPr>
          <w:p>
            <w:pPr>
              <w:spacing w:after="0"/>
              <w:rPr>
                <w:sz w:val="19"/>
                <w:szCs w:val="19"/>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(decrease) in net assets resulting from operations</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107,660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(9,573)</w:t>
            </w: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(13,799)</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on interest rate swaps</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(9,181)</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(3,319)</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(750)</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realized losses on foreign currency transactions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(6,834)</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(2,462)</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(119,852)</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(148,265)</w:t>
            </w: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218,075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40,418</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(1,795)</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(1,805)</w:t>
            </w: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(804)</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(3,706)</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(2,264)</w:t>
            </w: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154,266</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(86,970)</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Borrowings on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215,699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310,166</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(332,196)</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(193,046)</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(4,113)</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(3,286)</w:t>
            </w: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(2,932)</w:t>
            </w:r>
          </w:p>
        </w:tc>
        <w:tc>
          <w:tcPr>
            <w:tcW w:w="1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(25,102)</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(27,789)</w:t>
            </w:r>
          </w:p>
        </w:tc>
      </w:tr>
      <w:tr>
        <w:trPr>
          <w:trHeight w:val="223"/>
        </w:trPr>
        <w:tc>
          <w:tcPr>
            <w:tcW w:w="7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(148,644)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5,622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19,765</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11,795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11,321</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and other taxes paid during the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31,358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33,469</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TPG Specialty Lending, Inc. (“TSLX” or the “Company”) is a Delaware corporation formed on July 21, 2010. The Company was formed primarily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lend to, and selectively invest in, middle-market companies in the United States. The Company has elected to be regulated as a business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(“BDC”) under the 1940 Act. In addition, for tax purposes, the Company has elected to be treated as a regulated investment company (“RIC”)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Subchapter M of the Internal Revenue Code of 1986, as amended (the “Code”). TSLX is managed by TSL Advisers, LLC (the “Adviser”).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 2011, the Company formed a wholly-owned subsidiary, TC Lending, LLC, a Delaware limited liability company. On March 22, 2012,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formed a wholly-owned subsidiary, TPG SL SPV, LLC, a Delaware limited liability company (“TPG SL SPV”). On May 19, 2014, the Company formed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wholly-owned subsidiary, TSL MR, LLC, a Delaware limited liability company.</w:t>
      </w:r>
    </w:p>
    <w:p>
      <w:pPr>
        <w:spacing w:after="0" w:line="211"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2019, which was filed with the Securities and Exchange Commission (“SEC”), on February 19, 2020.</w:t>
      </w:r>
    </w:p>
    <w:p>
      <w:pPr>
        <w:spacing w:after="0" w:line="188"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32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March 31, 2020,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58" w:lineRule="exact"/>
        <w:rPr>
          <w:sz w:val="20"/>
          <w:szCs w:val="20"/>
          <w:color w:val="auto"/>
        </w:rPr>
      </w:pPr>
    </w:p>
    <w:p>
      <w:pPr>
        <w:ind w:left="500" w:hanging="249"/>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28" w:lineRule="exact"/>
        <w:rPr>
          <w:rFonts w:ascii="Arial" w:cs="Arial" w:eastAsia="Arial" w:hAnsi="Arial"/>
          <w:sz w:val="17"/>
          <w:szCs w:val="17"/>
          <w:color w:val="auto"/>
        </w:rPr>
      </w:pPr>
    </w:p>
    <w:p>
      <w:pPr>
        <w:ind w:left="500" w:right="62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right="20" w:firstLine="255"/>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5"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g, further clarified by the FASB’s issuance of the Accounting Standards Update (“ASU”) No. 2017-12,</w:t>
      </w:r>
      <w:r>
        <w:rPr>
          <w:rFonts w:ascii="Arial" w:cs="Arial" w:eastAsia="Arial" w:hAnsi="Arial"/>
          <w:sz w:val="17"/>
          <w:szCs w:val="17"/>
          <w:i w:val="1"/>
          <w:iCs w:val="1"/>
          <w:color w:val="auto"/>
        </w:rPr>
        <w:t xml:space="preserve"> Derivatives and Hedging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8" w:lineRule="exact"/>
        <w:rPr>
          <w:sz w:val="20"/>
          <w:szCs w:val="20"/>
          <w:color w:val="auto"/>
        </w:rPr>
      </w:pPr>
    </w:p>
    <w:p>
      <w:pPr>
        <w:ind w:right="220" w:firstLine="255"/>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00" w:right="620" w:hanging="249"/>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120" w:firstLine="255"/>
        <w:spacing w:after="0" w:line="25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95" w:lineRule="exact"/>
        <w:rPr>
          <w:sz w:val="20"/>
          <w:szCs w:val="20"/>
          <w:color w:val="auto"/>
        </w:rPr>
      </w:pPr>
    </w:p>
    <w:p>
      <w:pPr>
        <w:ind w:right="16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2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52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2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For the three months ended March 31, 2020 and 2019, we recorded a net expense of $1.0 million and $0.3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The Company’s adoption of this guidance did not have a material impact on the Company’s financial position, results of operations, cash flows or notes to the consolidated financial statements.</w:t>
      </w:r>
    </w:p>
    <w:p>
      <w:pPr>
        <w:spacing w:after="0" w:line="192"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2020-20 is effective for all entities as of March 12, 2020 through December 31, 2022. The Company expects that the adoption of this guidance will not have a material impact on the Company’s financial position, result of operations or cash flows.</w:t>
      </w: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November 2019, the Board renewed the Administration Agreement. Unless earlier terminated as described below, the Administration Agreement will remain in effect until November 2020,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79"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For the three months ended March 31, 2020 and 2019, the Company incurred expenses of $1.0 million and $1.1 million, respectively, for administrative services payable to the Adviser under the terms of the Administration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2020 and 2019, Management Fees were $8.2 million and $6.6 million, respectively.</w:t>
      </w:r>
    </w:p>
    <w:p>
      <w:pPr>
        <w:spacing w:after="0" w:line="225"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As of March 31, 2020, no Management Fees have been waived pursuant to the Leverage Waiver.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60" w:hanging="249"/>
        <w:spacing w:after="0" w:line="291"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4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sz w:val="20"/>
          <w:szCs w:val="20"/>
          <w:color w:val="auto"/>
        </w:rPr>
      </w:pPr>
    </w:p>
    <w:p>
      <w:pPr>
        <w:ind w:left="500" w:hanging="249"/>
        <w:spacing w:after="0" w:line="269"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2" w:lineRule="exact"/>
        <w:rPr>
          <w:sz w:val="20"/>
          <w:szCs w:val="20"/>
          <w:color w:val="auto"/>
        </w:rPr>
      </w:pPr>
    </w:p>
    <w:p>
      <w:pPr>
        <w:ind w:right="44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6" w:lineRule="exact"/>
        <w:rPr>
          <w:sz w:val="20"/>
          <w:szCs w:val="20"/>
          <w:color w:val="auto"/>
        </w:rPr>
      </w:pPr>
    </w:p>
    <w:p>
      <w:pPr>
        <w:ind w:right="20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For the three months ended March 31, 2020 and 2019, Incentive Fees were $7.1 million and $5.7 million, respectively, all of which were realized and payable to the Adviser.</w:t>
      </w:r>
    </w:p>
    <w:p>
      <w:pPr>
        <w:spacing w:after="0" w:line="170"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In November 2019, the Board renewed the Investment Advisory Agreement. Unless earlier terminated as described below, the Investment Advisory Agreement will remain in effect until November 2020,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9"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20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March 31, 2020 and December 31, 2019:</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2,050,067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1,986,200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(35,572)</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2,145,341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2,045,572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2,143,831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2,176,118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4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March 31, 2020 and December 31,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vMerge w:val="restart"/>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20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Business services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20.2%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Communications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Electronics</w:t>
            </w:r>
          </w:p>
        </w:tc>
        <w:tc>
          <w:tcPr>
            <w:tcW w:w="20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15.5%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Healthcare</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10.7%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8.6%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Internet services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Office products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Pharmaceuticals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3.7%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20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20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20" w:type="dxa"/>
            <w:vAlign w:val="bottom"/>
            <w:vMerge w:val="restart"/>
          </w:tcPr>
          <w:p>
            <w:pPr>
              <w:jc w:val="right"/>
              <w:ind w:right="1030"/>
              <w:spacing w:after="0"/>
              <w:rPr>
                <w:sz w:val="20"/>
                <w:szCs w:val="20"/>
                <w:color w:val="auto"/>
              </w:rPr>
            </w:pPr>
            <w:r>
              <w:rPr>
                <w:rFonts w:ascii="Arial" w:cs="Arial" w:eastAsia="Arial" w:hAnsi="Arial"/>
                <w:sz w:val="18"/>
                <w:szCs w:val="18"/>
                <w:color w:val="auto"/>
              </w:rPr>
              <w:t>28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color w:val="auto"/>
        </w:rPr>
        <w:t>The geographic composition of investments at fair value at March 31, 2020 and December 31, 2019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South</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Australia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Canada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320" w:firstLine="255"/>
        <w:spacing w:after="0" w:line="286" w:lineRule="auto"/>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 $115.0 million notional amount. The Company receives fixed rate interest at 4.50% and pays variable rate interest based on three-month LIBOR plus 2.37%. The swap transaction matures on August 1, 2022, matching the maturity date of the 2022 Convertible Notes.</w:t>
      </w:r>
    </w:p>
    <w:p>
      <w:pPr>
        <w:spacing w:after="0" w:line="165"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date of the 2023 Notes.</w:t>
      </w:r>
    </w:p>
    <w:p>
      <w:pPr>
        <w:spacing w:after="0" w:line="184"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In June 2019, upon maturity of the original swap transaction on an existing fixed rate investment, the Company entered into an interest rate swap transaction with a $91.5 million notional amount. The Company receives three-month LIBOR and pays fixed rate interest at 1.97%. The swap transaction matures on June 25, 2020.</w:t>
      </w:r>
    </w:p>
    <w:p>
      <w:pPr>
        <w:spacing w:after="0" w:line="184" w:lineRule="exact"/>
        <w:rPr>
          <w:sz w:val="20"/>
          <w:szCs w:val="20"/>
          <w:color w:val="auto"/>
        </w:rPr>
      </w:pPr>
    </w:p>
    <w:p>
      <w:pPr>
        <w:ind w:firstLine="255"/>
        <w:spacing w:after="0" w:line="311" w:lineRule="auto"/>
        <w:rPr>
          <w:sz w:val="20"/>
          <w:szCs w:val="20"/>
          <w:color w:val="auto"/>
        </w:rPr>
      </w:pPr>
      <w:r>
        <w:rPr>
          <w:rFonts w:ascii="Arial" w:cs="Arial" w:eastAsia="Arial" w:hAnsi="Arial"/>
          <w:sz w:val="16"/>
          <w:szCs w:val="16"/>
          <w:color w:val="auto"/>
        </w:rPr>
        <w:t>In August 2019, in connection with two fixed rate investments, the Company entered into two interest rate swap transactions with notional amounts of $11.7 million and $3.2 million, respectively. The Company receives three-month LIBOR and pays fixed rate interest at 1.47% and 1.36%, respectively. The swap transactions mature on July 30, 2021 and July 29, 2022, respectively, matching the current expected repayment dates of each investment.</w:t>
      </w:r>
    </w:p>
    <w:p>
      <w:pPr>
        <w:spacing w:after="0" w:line="149"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In November 2019, in connection with the issuance of the 2024 Notes, the Company entered into an interest rate swap transaction with a $300.0 million notional amount. The Company receives fixed rate interest at 3.88% and pays variable rate interest based on three-month LIBOR plus 2.25%. The swap transaction matures on November 1, 2024, matching the maturity date of the 2024 Notes. The Company designated this interest rate swap as the hedging instrument in a hedge accounting relationship with the 2024 Notes.</w:t>
      </w:r>
    </w:p>
    <w:p>
      <w:pPr>
        <w:spacing w:after="0" w:line="187"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February 2020, in connection with the reopening and issuance of additional 2024 Notes, the Company entered into an interest rate swap transaction with a $50.0 million notional amount. The Company receives fixed rate interest at 3.88% and pays variable rate interest based on three-month LIBOR plus 2.46%. The swap transaction matures on November 1, 2024, matching the maturity date of the additional 2024 Notes. The Company designated this interest rate swap as the hedging instrument in a hedge accounting relationship with the additional 2024 Notes.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9" w:name="page30"/>
    <w:bookmarkEnd w:id="29"/>
    <w:p>
      <w:pPr>
        <w:ind w:right="380" w:firstLine="255"/>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for the three months ended March 31,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3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Notional Amount</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5"/>
              </w:rPr>
              <w:t>For the Three Months Ended March 31, 2020</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right"/>
              <w:ind w:right="920"/>
              <w:spacing w:after="0" w:line="155" w:lineRule="exact"/>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3"/>
                <w:szCs w:val="13"/>
                <w:color w:val="auto"/>
              </w:rPr>
            </w:pPr>
          </w:p>
        </w:tc>
        <w:tc>
          <w:tcPr>
            <w:tcW w:w="1540" w:type="dxa"/>
            <w:vAlign w:val="bottom"/>
            <w:gridSpan w:val="2"/>
          </w:tcPr>
          <w:p>
            <w:pPr>
              <w:jc w:val="center"/>
              <w:ind w:right="600"/>
              <w:spacing w:after="0" w:line="155" w:lineRule="exact"/>
              <w:rPr>
                <w:sz w:val="20"/>
                <w:szCs w:val="20"/>
                <w:color w:val="auto"/>
              </w:rPr>
            </w:pPr>
            <w:r>
              <w:rPr>
                <w:rFonts w:ascii="Arial" w:cs="Arial" w:eastAsia="Arial" w:hAnsi="Arial"/>
                <w:sz w:val="14"/>
                <w:szCs w:val="14"/>
                <w:b w:val="1"/>
                <w:bCs w:val="1"/>
                <w:color w:val="auto"/>
                <w:w w:val="87"/>
              </w:rPr>
              <w:t>Received</w:t>
            </w:r>
          </w:p>
        </w:tc>
        <w:tc>
          <w:tcPr>
            <w:tcW w:w="500" w:type="dxa"/>
            <w:vAlign w:val="bottom"/>
          </w:tcPr>
          <w:p>
            <w:pPr>
              <w:spacing w:after="0"/>
              <w:rPr>
                <w:sz w:val="13"/>
                <w:szCs w:val="13"/>
                <w:color w:val="auto"/>
              </w:rPr>
            </w:pPr>
          </w:p>
        </w:tc>
        <w:tc>
          <w:tcPr>
            <w:tcW w:w="1080" w:type="dxa"/>
            <w:vAlign w:val="bottom"/>
          </w:tcPr>
          <w:p>
            <w:pPr>
              <w:jc w:val="right"/>
              <w:ind w:right="59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6/25/2020</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7/30/2021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11,700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(1,259)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(3,149)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3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778,900</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7,316</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300" w:type="dxa"/>
            <w:vAlign w:val="bottom"/>
          </w:tcPr>
          <w:p>
            <w:pPr>
              <w:spacing w:after="0"/>
              <w:rPr>
                <w:sz w:val="24"/>
                <w:szCs w:val="24"/>
                <w:color w:val="auto"/>
              </w:rPr>
            </w:pPr>
          </w:p>
        </w:tc>
        <w:tc>
          <w:tcPr>
            <w:tcW w:w="13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Notional Amount</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5"/>
              </w:rPr>
              <w:t>For the Three Months Ended March 31, 2019</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right"/>
              <w:ind w:right="920"/>
              <w:spacing w:after="0" w:line="155" w:lineRule="exact"/>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3"/>
                <w:szCs w:val="13"/>
                <w:color w:val="auto"/>
              </w:rPr>
            </w:pPr>
          </w:p>
        </w:tc>
        <w:tc>
          <w:tcPr>
            <w:tcW w:w="1540" w:type="dxa"/>
            <w:vAlign w:val="bottom"/>
            <w:gridSpan w:val="2"/>
          </w:tcPr>
          <w:p>
            <w:pPr>
              <w:jc w:val="center"/>
              <w:ind w:right="600"/>
              <w:spacing w:after="0" w:line="155" w:lineRule="exact"/>
              <w:rPr>
                <w:sz w:val="20"/>
                <w:szCs w:val="20"/>
                <w:color w:val="auto"/>
              </w:rPr>
            </w:pPr>
            <w:r>
              <w:rPr>
                <w:rFonts w:ascii="Arial" w:cs="Arial" w:eastAsia="Arial" w:hAnsi="Arial"/>
                <w:sz w:val="14"/>
                <w:szCs w:val="14"/>
                <w:b w:val="1"/>
                <w:bCs w:val="1"/>
                <w:color w:val="auto"/>
                <w:w w:val="87"/>
              </w:rPr>
              <w:t>Received</w:t>
            </w:r>
          </w:p>
        </w:tc>
        <w:tc>
          <w:tcPr>
            <w:tcW w:w="500" w:type="dxa"/>
            <w:vAlign w:val="bottom"/>
          </w:tcPr>
          <w:p>
            <w:pPr>
              <w:spacing w:after="0"/>
              <w:rPr>
                <w:sz w:val="13"/>
                <w:szCs w:val="13"/>
                <w:color w:val="auto"/>
              </w:rPr>
            </w:pPr>
          </w:p>
        </w:tc>
        <w:tc>
          <w:tcPr>
            <w:tcW w:w="1080" w:type="dxa"/>
            <w:vAlign w:val="bottom"/>
          </w:tcPr>
          <w:p>
            <w:pPr>
              <w:jc w:val="right"/>
              <w:ind w:right="59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(698)</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(1,455)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(537)</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(1,759)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3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562,333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(6,727)</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8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70" w:lineRule="exact"/>
        <w:rPr>
          <w:sz w:val="20"/>
          <w:szCs w:val="20"/>
          <w:color w:val="auto"/>
        </w:rPr>
      </w:pPr>
    </w:p>
    <w:p>
      <w:pPr>
        <w:ind w:right="20" w:firstLine="255"/>
        <w:spacing w:after="0" w:line="272" w:lineRule="auto"/>
        <w:rPr>
          <w:sz w:val="20"/>
          <w:szCs w:val="20"/>
          <w:color w:val="auto"/>
        </w:rPr>
      </w:pPr>
      <w:r>
        <w:rPr>
          <w:rFonts w:ascii="Arial" w:cs="Arial" w:eastAsia="Arial" w:hAnsi="Arial"/>
          <w:sz w:val="17"/>
          <w:szCs w:val="17"/>
          <w:color w:val="auto"/>
        </w:rPr>
        <w:t>For the three months ended March 31, 2020 and 2019, the Company recognized $9.2 million and $3.3 million, respectively, in net change in unrealized gains on interest rate swaps not designated as hedging instruments in the consolidated statement of operations related to the swap transactions. For the three months ended March 31, 2020, the Company recognized $18.8 million in net change in unrealized gains on interest rate swaps designated as hedging instruments as a component of interest expense in the consolidated statement of operations. This amount is offset by $18.8 million for a change in the carrying value of the 2024 Notes. As of March 31, 2020, the swap transactions had a fair value of $32.7 million which is netted against restricted cash collateral on the Company’s consolidated balance sheet. As of December 31, 2019, the swap transactions had a fair value of $4.7 million which is netted against cash collateral on the Company’s consolidated balance sheet.</w:t>
      </w:r>
    </w:p>
    <w:p>
      <w:pPr>
        <w:spacing w:after="0" w:line="177" w:lineRule="exact"/>
        <w:rPr>
          <w:sz w:val="20"/>
          <w:szCs w:val="20"/>
          <w:color w:val="auto"/>
        </w:rPr>
      </w:pPr>
    </w:p>
    <w:p>
      <w:pPr>
        <w:ind w:right="80" w:firstLine="255"/>
        <w:spacing w:after="0" w:line="327" w:lineRule="auto"/>
        <w:rPr>
          <w:sz w:val="20"/>
          <w:szCs w:val="20"/>
          <w:color w:val="auto"/>
        </w:rPr>
      </w:pPr>
      <w:r>
        <w:rPr>
          <w:rFonts w:ascii="Arial" w:cs="Arial" w:eastAsia="Arial" w:hAnsi="Arial"/>
          <w:sz w:val="15"/>
          <w:szCs w:val="15"/>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40"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As of March 31, 2020, $14.3 million of cash is pledged as collateral under the Company’s derivative instruments and is included in restricted cash as a component of cash and cash equivalents on the Company’s consolidated balance sheet. As of December 31, 2019, $9.3 million of cash is pledged as collateral under the Company’s derivative instruments and is included in restricted cash as a component of cash and cash equivalents on the Company’s consolidated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March 31, 2020 and December 31, 2019:</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Fair Value Hierarchy at March 31, 2020</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1,976,913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1,986,200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52,487</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2,036,282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2,045,572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32,742</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2,036,282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2,078,314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2019</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2,176,118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63,113</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2,245,928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2,250,672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Mezzanine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116,284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(218,019)</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(85,669)</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1,976,913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2,036,282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145,977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(15,020)</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(2,414)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1,775,769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1,822,534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March 31, 2020 and 2019:</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Gains or (Losses)</w:t>
            </w: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040" w:type="dxa"/>
            <w:vAlign w:val="bottom"/>
          </w:tcPr>
          <w:p>
            <w:pPr>
              <w:spacing w:after="0"/>
              <w:rPr>
                <w:sz w:val="14"/>
                <w:szCs w:val="14"/>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2020 on</w:t>
            </w: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2019 on</w:t>
            </w:r>
          </w:p>
        </w:tc>
      </w:tr>
      <w:tr>
        <w:trPr>
          <w:trHeight w:val="162"/>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Held at</w:t>
            </w: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(11,123)</w:t>
            </w:r>
          </w:p>
        </w:tc>
        <w:tc>
          <w:tcPr>
            <w:tcW w:w="1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(3,337)</w:t>
            </w:r>
          </w:p>
        </w:tc>
      </w:tr>
      <w:tr>
        <w:trPr>
          <w:trHeight w:val="223"/>
        </w:trPr>
        <w:tc>
          <w:tcPr>
            <w:tcW w:w="4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March 31, 2020 and December 31, 2019. The tables are not intended to be all-inclusive, but instead capture the significant unobservable inputs relevant to the Company’s determination of fair values.</w:t>
      </w:r>
    </w:p>
    <w:p>
      <w:pPr>
        <w:sectPr>
          <w:pgSz w:w="11900" w:h="16838" w:orient="portrait"/>
          <w:cols w:equalWidth="0" w:num="1">
            <w:col w:w="11240"/>
          </w:cols>
          <w:pgMar w:left="320" w:top="6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First-lien debt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Second-lien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Mezzanine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Equity and other investments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March 31,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1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1,976,913</w:t>
            </w: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3.0% — 19.5% (12.4%)</w:t>
            </w: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4,030</w:t>
            </w:r>
          </w:p>
        </w:tc>
        <w:tc>
          <w:tcPr>
            <w:tcW w:w="2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Income approach</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21.0% — 21.0% (21.0%)</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2,855</w:t>
            </w:r>
          </w:p>
        </w:tc>
        <w:tc>
          <w:tcPr>
            <w:tcW w:w="2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Income approach</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8.4% — 8.4% (8.4%)</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52,484</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Comparable multiple</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2.8x — 15.0x (7.8x)</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2,036,282</w:t>
            </w: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-770890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-471170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-179070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660"/>
            <w:col w:w="8460"/>
          </w:cols>
          <w:pgMar w:left="320" w:top="630" w:right="339" w:bottom="1440" w:gutter="0" w:footer="0" w:header="0"/>
          <w:type w:val="continuous"/>
        </w:sectPr>
      </w:pPr>
    </w:p>
    <w:p>
      <w:pPr>
        <w:spacing w:after="0" w:line="2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$20.0 million of debt investments which were valued using an asset valuation waterfall.</w:t>
      </w:r>
    </w:p>
    <w:p>
      <w:pPr>
        <w:spacing w:after="0" w:line="23" w:lineRule="exact"/>
        <w:rPr>
          <w:rFonts w:ascii="Arial" w:cs="Arial" w:eastAsia="Arial" w:hAnsi="Arial"/>
          <w:sz w:val="18"/>
          <w:szCs w:val="18"/>
          <w:color w:val="auto"/>
        </w:rPr>
      </w:pPr>
    </w:p>
    <w:p>
      <w:pPr>
        <w:jc w:val="both"/>
        <w:ind w:left="500" w:right="240" w:hanging="492"/>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$0.4 million of equity investments which were valued using a weighted valuation approach, $14.3 million of equity investments using a discounted cash flow approach and $0.2 million of equity investments which, due to the proximity of the transactions relative to the measurement date, were valued using the cost of the investments.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1"/>
                <w:szCs w:val="11"/>
                <w:color w:val="auto"/>
              </w:rPr>
            </w:pPr>
          </w:p>
        </w:tc>
        <w:tc>
          <w:tcPr>
            <w:tcW w:w="18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4"/>
                <w:szCs w:val="14"/>
                <w:color w:val="auto"/>
              </w:rPr>
            </w:pPr>
          </w:p>
        </w:tc>
        <w:tc>
          <w:tcPr>
            <w:tcW w:w="1820" w:type="dxa"/>
            <w:vAlign w:val="bottom"/>
            <w:gridSpan w:val="2"/>
          </w:tcPr>
          <w:p>
            <w:pPr>
              <w:ind w:left="680"/>
              <w:spacing w:after="0"/>
              <w:rPr>
                <w:sz w:val="20"/>
                <w:szCs w:val="20"/>
                <w:color w:val="auto"/>
              </w:rPr>
            </w:pPr>
            <w:r>
              <w:rPr>
                <w:rFonts w:ascii="Arial" w:cs="Arial" w:eastAsia="Arial" w:hAnsi="Arial"/>
                <w:sz w:val="14"/>
                <w:szCs w:val="14"/>
                <w:b w:val="1"/>
                <w:bCs w:val="1"/>
                <w:color w:val="auto"/>
              </w:rPr>
              <w:t>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5.5% — 17.9% (10.0%)</w:t>
            </w:r>
          </w:p>
        </w:tc>
        <w:tc>
          <w:tcPr>
            <w:tcW w:w="10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4,147</w:t>
            </w:r>
          </w:p>
        </w:tc>
        <w:tc>
          <w:tcPr>
            <w:tcW w:w="2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Income approach</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14.9% — 14.9% (14.9%)</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9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Discount rate</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16.4% — 16.4% (16.4%)</w:t>
            </w:r>
          </w:p>
        </w:tc>
        <w:tc>
          <w:tcPr>
            <w:tcW w:w="1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63,107</w:t>
            </w:r>
          </w:p>
        </w:tc>
        <w:tc>
          <w:tcPr>
            <w:tcW w:w="2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Comparable multiple</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3.0x — 14.5x (11.3x)</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6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240" w:hanging="492"/>
        <w:spacing w:after="0" w:line="25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$32.2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00" w:right="80" w:hanging="492"/>
        <w:spacing w:after="0" w:line="290"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$5.7 million of equity investments which were valued using a weighted valuation approach and $16.6 million of equity investments which, due to the proximity of the transactions relative to the measurement date, were valued using the cost of the investments.</w:t>
      </w:r>
    </w:p>
    <w:p>
      <w:pPr>
        <w:spacing w:after="0" w:line="161" w:lineRule="exact"/>
        <w:rPr>
          <w:sz w:val="20"/>
          <w:szCs w:val="20"/>
          <w:color w:val="auto"/>
        </w:rPr>
      </w:pPr>
    </w:p>
    <w:p>
      <w:pPr>
        <w:ind w:right="28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24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March 31, 2020 and December 31, 2019, approximates its carrying value as the outstanding balance is callable at carrying value.</w:t>
      </w:r>
    </w:p>
    <w:p>
      <w:pPr>
        <w:spacing w:after="0" w:line="170"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fair value of the Company’s 2022 Convertible Notes, 2023 Notes and 2024 Notes, which are categorized as Level 2 within the fair value hierarchy, as of March 31, 2020 and December 31, 2019, was $618.7 million and $640.1 million, respectively, based on broker quotes received by the Company. The aggregate principal amount of the Company’s 2022 Convertible Notes, 2023 Notes and 2024 Notes, as of March 31, 2020 and December 31, 2019, was $672.5 million and $622.5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and 2024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March 31, 2020 and December 31, 2019, the Company’s asset coverage was 205.3% and 200.4%,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2020 and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314,299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1,000,701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986,799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980,158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920" w:hanging="492"/>
        <w:spacing w:after="0" w:line="258"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6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$12.7 million, $2.8 million, $1.8 million and $6.4 million, respectively.</w:t>
      </w:r>
    </w:p>
    <w:p>
      <w:pPr>
        <w:ind w:left="500" w:right="80" w:hanging="492"/>
        <w:spacing w:after="0" w:line="26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$17.0 million, which represents an adjustment in the carrying value of the 2024 Notes resulting from a hedge accounting relationship.</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1,118,189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1,094,467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920" w:hanging="492"/>
        <w:spacing w:after="0" w:line="258"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6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right="560" w:hanging="492"/>
        <w:spacing w:after="0" w:line="26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an adjustment in the carrying value of the 2024 Notes resulting from a hedge accounting relationship.</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2020 and 2019, the components of interest expense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6"/>
              </w:rPr>
              <w:t>March 31, 2020</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w w:val="96"/>
              </w:rPr>
              <w:t>March 31, 2019</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Commitment fees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2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1140" w:type="dxa"/>
            <w:vAlign w:val="bottom"/>
          </w:tcPr>
          <w:p>
            <w:pPr>
              <w:spacing w:after="0"/>
              <w:rPr>
                <w:sz w:val="22"/>
                <w:szCs w:val="22"/>
                <w:color w:val="auto"/>
              </w:rPr>
            </w:pPr>
          </w:p>
        </w:tc>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3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12,910</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18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2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705.8</w:t>
            </w:r>
          </w:p>
        </w:tc>
        <w:tc>
          <w:tcPr>
            <w:tcW w:w="1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2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9"/>
                <w:szCs w:val="19"/>
                <w:color w:val="auto"/>
              </w:rPr>
            </w:pPr>
          </w:p>
        </w:tc>
      </w:tr>
      <w:tr>
        <w:trPr>
          <w:trHeight w:val="675"/>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40" w:type="dxa"/>
            <w:vAlign w:val="bottom"/>
          </w:tcPr>
          <w:p>
            <w:pPr>
              <w:jc w:val="right"/>
              <w:ind w:right="13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As of December 31 2019, aggregate commitments under the facility were $1.245 billion. Pursuant to an amendment to the Revolving Credit Facility dated as of January 31, 2020 (the “Ninth Amendment”), the aggregate commitments under the facility were increased to $1.315 billion. The facility includes an uncommitted accordion feature that allows the Company, under certain circumstances, to increase the size of the facility to up to $1.750 billion.</w:t>
      </w:r>
    </w:p>
    <w:p>
      <w:pPr>
        <w:spacing w:after="0" w:line="149"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Pursuant to the Ninth Amendment, the revolving period, during which period the Company, subject to certain conditions, may make borrowings under the facility, was extended from February 14, 2023 to January 31, 2024 and the stated maturity date was extended from February 14, 2024 to January 31, 2025.</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2020, the Company had outstanding debt denominated in Australian dollars (AUD) of 56.6 million, Canadian dollars (CAD) of 132.1 million, and Euro (EUR) of 7.9 million on its Revolving Credit Facility, included in the Outstanding Principal amount in the table above.</w:t>
      </w:r>
    </w:p>
    <w:p>
      <w:pPr>
        <w:spacing w:after="0" w:line="184" w:lineRule="exact"/>
        <w:rPr>
          <w:sz w:val="20"/>
          <w:szCs w:val="20"/>
          <w:color w:val="auto"/>
        </w:rPr>
      </w:pPr>
    </w:p>
    <w:p>
      <w:pPr>
        <w:jc w:val="both"/>
        <w:ind w:right="260" w:firstLine="255"/>
        <w:spacing w:after="0" w:line="286"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$75 million. As of March 31, 2020 and December 31, 2019,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65"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80" w:hanging="249"/>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680" w:firstLine="255"/>
        <w:spacing w:after="0" w:line="277" w:lineRule="auto"/>
        <w:rPr>
          <w:sz w:val="20"/>
          <w:szCs w:val="20"/>
          <w:color w:val="auto"/>
        </w:rPr>
      </w:pPr>
      <w:r>
        <w:rPr>
          <w:rFonts w:ascii="Arial" w:cs="Arial" w:eastAsia="Arial" w:hAnsi="Arial"/>
          <w:sz w:val="18"/>
          <w:szCs w:val="18"/>
          <w:color w:val="auto"/>
        </w:rPr>
        <w:t>Net proceeds received from the issuance of the 2022 Convertible Notes, 2023 Notes and 2024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2020 and December 31, 2019,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March 31, 2020, the estimated adjusted conversion price was approximately $20.58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6" w:lineRule="exact"/>
        <w:rPr>
          <w:sz w:val="20"/>
          <w:szCs w:val="20"/>
          <w:color w:val="auto"/>
        </w:rPr>
      </w:pPr>
    </w:p>
    <w:p>
      <w:pPr>
        <w:ind w:right="80" w:firstLine="255"/>
        <w:spacing w:after="0" w:line="293" w:lineRule="auto"/>
        <w:rPr>
          <w:sz w:val="20"/>
          <w:szCs w:val="20"/>
          <w:color w:val="auto"/>
        </w:rPr>
      </w:pPr>
      <w:r>
        <w:rPr>
          <w:rFonts w:ascii="Arial" w:cs="Arial" w:eastAsia="Arial" w:hAnsi="Arial"/>
          <w:sz w:val="16"/>
          <w:szCs w:val="16"/>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60" w:firstLine="8"/>
        <w:spacing w:after="0" w:line="281"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60" w:firstLine="8"/>
        <w:spacing w:after="0" w:line="292"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left="260"/>
        <w:spacing w:after="0"/>
        <w:rPr>
          <w:sz w:val="20"/>
          <w:szCs w:val="20"/>
          <w:color w:val="auto"/>
        </w:rPr>
      </w:pPr>
      <w:r>
        <w:rPr>
          <w:rFonts w:ascii="Arial" w:cs="Arial" w:eastAsia="Arial" w:hAnsi="Arial"/>
          <w:sz w:val="17"/>
          <w:szCs w:val="17"/>
          <w:color w:val="auto"/>
        </w:rPr>
        <w:t>For the three months ended March 31, 2020 and 2019, the components of interest expense related to the Convertible Notes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March 31, 2020</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March 31, 2019</w:t>
            </w:r>
          </w:p>
        </w:tc>
        <w:tc>
          <w:tcPr>
            <w:tcW w:w="80" w:type="dxa"/>
            <w:vAlign w:val="bottom"/>
          </w:tcPr>
          <w:p>
            <w:pPr>
              <w:spacing w:after="0"/>
              <w:rPr>
                <w:sz w:val="13"/>
                <w:szCs w:val="13"/>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8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three months ended March 31, 2020 and 2019, the Company received $1.9 million and $3.2 million, respectively, and paid $1.8 million and $3.7 million, respectively, related to the settlements of its interest rate swaps related to the Convertible Notes. These net amounts are reflected in interest expense in the Company’s consolidated statements of operations. Please see Note 5 for further information about the Company’s interest rate swaps.</w:t>
      </w:r>
    </w:p>
    <w:p>
      <w:pPr>
        <w:spacing w:after="0" w:line="18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As of March 31, 2020 and December 31, 2019, the components of the carrying value of the 2022 Convertible Notes and the stated interest rate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March 31, 2020</w:t>
            </w:r>
          </w:p>
        </w:tc>
        <w:tc>
          <w:tcPr>
            <w:tcW w:w="8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Original issue discount, net of accretion/amortization</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(2,463)</w:t>
            </w:r>
          </w:p>
        </w:tc>
      </w:tr>
      <w:tr>
        <w:trPr>
          <w:trHeight w:val="263"/>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169,714</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169,420</w:t>
            </w:r>
          </w:p>
        </w:tc>
        <w:tc>
          <w:tcPr>
            <w:tcW w:w="180" w:type="dxa"/>
            <w:vAlign w:val="bottom"/>
            <w:tcBorders>
              <w:bottom w:val="single" w:sz="8" w:color="CFF0FC"/>
            </w:tcBorders>
          </w:tcPr>
          <w:p>
            <w:pPr>
              <w:spacing w:after="0"/>
              <w:rPr>
                <w:sz w:val="22"/>
                <w:szCs w:val="22"/>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2.11% (on a weighted average basis) for the 2022 Convertible Notes. Please see Note 5 for further information about the Company’s interest rate swaps.</w:t>
      </w:r>
    </w:p>
    <w:p>
      <w:pPr>
        <w:spacing w:after="0" w:line="184" w:lineRule="exact"/>
        <w:rPr>
          <w:sz w:val="20"/>
          <w:szCs w:val="20"/>
          <w:color w:val="auto"/>
        </w:rPr>
      </w:pPr>
    </w:p>
    <w:p>
      <w:pPr>
        <w:ind w:right="320" w:firstLine="255"/>
        <w:spacing w:after="0" w:line="257"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March 31, 2020 and December 31, 2019, the Company was in compliance with the terms of the indenture governing the 2022 Convertible Notes.</w:t>
      </w:r>
    </w:p>
    <w:p>
      <w:pPr>
        <w:spacing w:after="0" w:line="188"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The 2022 Convertible Notes are accounted for in accordance with Accounting Standards Codification (“ASC”) 470-20. Upon conversion of any of the 2022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166"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As of March 31, 2020 and 2019, the principal amount of the Convertible Notes exceeded the value of the underlying shares multiplied by the per share closing price of the Company’s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180" w:firstLine="255"/>
        <w:spacing w:after="0" w:line="275"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6" w:lineRule="exact"/>
        <w:rPr>
          <w:sz w:val="20"/>
          <w:szCs w:val="20"/>
          <w:color w:val="auto"/>
        </w:rPr>
      </w:pPr>
    </w:p>
    <w:p>
      <w:pPr>
        <w:jc w:val="both"/>
        <w:ind w:right="200" w:firstLine="255"/>
        <w:spacing w:after="0" w:line="311" w:lineRule="auto"/>
        <w:rPr>
          <w:sz w:val="20"/>
          <w:szCs w:val="20"/>
          <w:color w:val="auto"/>
        </w:rPr>
      </w:pPr>
      <w:r>
        <w:rPr>
          <w:rFonts w:ascii="Arial" w:cs="Arial" w:eastAsia="Arial" w:hAnsi="Arial"/>
          <w:sz w:val="16"/>
          <w:szCs w:val="16"/>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6"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In connection with the 2024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2024 Notes is three-month LIBOR plus 2.25%. The interest expense related to the 2024 Notes is offset by proceeds received from the interest rate swap designated as a hedge. The swap adjusted interest expense is included as a component of interest expense on the Company’s Consolidated Statement of Operations. As of March 31, 2020 and December 31, 2019 the effective hedge interest rate swap had a fair value of $15.0 million and ($1.8) million, respectively, which is offset within interest expense by an equal, but opposite, fair value change for the hedged risk on the 2024 Notes.</w:t>
      </w:r>
    </w:p>
    <w:p>
      <w:pPr>
        <w:spacing w:after="0" w:line="164"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8"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In connection with the reopening of the 2024 Notes, the Company entered into an interest rate swap to continue to align the interest rates of its liabilities with the Company’s investment portfolio, which consists of predominantly floating rate loans. As a result of the swap, the Company’s effective interest rate on the additional 2024 Notes is three-month LIBOR plus 2.46%. The interest expense related to the additional 2024 Notes is offset by proceeds received from the interest rate swap designated as a hedge. The swap adjusted interest expense is included as a component of interest expense on the Company’s Consolidated Statement of Operations. As of March 31, 2020 the effective hedge interest rate swap had a fair value of $2.0 million, which is offset within interest expense by an equal, but opposite, fair value change for the hedged risk on the 2024 Notes.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March 31, 2020 and 2019, the components of interest expense related to the 2023 Notes and 2024 Notes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w w:val="96"/>
              </w:rPr>
              <w:t>March 31, 2020</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March 31, 2019</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5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00" w:type="dxa"/>
            <w:vAlign w:val="bottom"/>
            <w:vMerge w:val="restart"/>
          </w:tcPr>
          <w:p>
            <w:pPr>
              <w:jc w:val="right"/>
              <w:ind w:right="149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38" w:name="page39"/>
    <w:bookmarkEnd w:id="38"/>
    <w:p>
      <w:pPr>
        <w:ind w:firstLine="255"/>
        <w:spacing w:after="0" w:line="301"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2023 Notes and 2024 Notes. During the three months ended March 31, 2020, and 2019 the Company received $4.9 million and $1.7 million, respectively, and paid $4.9 million and $1.8 million, respectively, related to the settlements of its interest rate swaps related to the 2023 and 2024 Notes. These net amounts are reflected in interest expense in the Company’s consolidated statements of operations. Please see Note 5 for further information about the Company’s interest rate swaps.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2020, the components of the carrying value of the 2023 Notes and 2024 Notes and the stated interest rate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853"/>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2023 Notes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2024 Notes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Fair value of an effective hedge</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360,658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Stated interest rate</w:t>
            </w: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2023 Notes and 2024 Notes is three month LIBOR plus 1.99% and 2.28% (on a weighted average basis), respectively.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2019, the components of the carrying value of the 2023 Notes and 2024 Notes and the stated interest rates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2023 Notes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2024 Notes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Fair value of an effective hedge</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Stated interest rate</w:t>
            </w: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2023 Notes and 2024 Notes is three month LIBOR plus 1.99% and 2.25%, respectively.</w:t>
      </w:r>
    </w:p>
    <w:p>
      <w:pPr>
        <w:spacing w:after="0" w:line="170"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As of March 31, 2020 and December 31, 2019, the Company was in compliance with the terms of the indentures governing the 2023 Notes and 2024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left="260"/>
        <w:spacing w:after="0"/>
        <w:rPr>
          <w:sz w:val="20"/>
          <w:szCs w:val="20"/>
          <w:color w:val="auto"/>
        </w:rPr>
      </w:pPr>
      <w:r>
        <w:rPr>
          <w:rFonts w:ascii="Arial" w:cs="Arial" w:eastAsia="Arial" w:hAnsi="Arial"/>
          <w:sz w:val="17"/>
          <w:szCs w:val="17"/>
          <w:color w:val="auto"/>
        </w:rPr>
        <w:t>As of March 31, 2020 and December 31, 2019, the Company had the following commitments to fund investments in current portfolio companies: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6,613</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BlueSnap, Inc. - Revolver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DaySmart Holdings, LLC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17,503</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Dye &amp; Durham Corp.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Energy Alloys, LLC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Exela Receivables 1, LLC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Factor Systems, Inc.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Gainsight, Inc. - Delayed Draw</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Convertible Note</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IntelePeer Holdings, Inc.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PageUp People, Ltd. - Revolver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ResMan, LLC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ResMan, LLC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10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193,118</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060" w:hanging="499"/>
        <w:spacing w:after="0" w:line="263"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As of March 31, 2020 and December 31, 2019, the Company did not have any unfunded commitments to fund investments to new borrowers that were not current portfolio companies as of such date.</w:t>
      </w:r>
    </w:p>
    <w:p>
      <w:pPr>
        <w:spacing w:after="0" w:line="170"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2020 and December 31, 2019, management is not aware of any material pending or threatened litigation that would require accounting recognition or financial statement disclosure.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1"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2020 and 2019. All shares issued to stockholders in the tables below are newly issued shares.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6"/>
              </w:rPr>
              <w:t>March 31, 2020</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19, 2020</w:t>
            </w:r>
          </w:p>
        </w:tc>
        <w:tc>
          <w:tcPr>
            <w:tcW w:w="1220" w:type="dxa"/>
            <w:vAlign w:val="bottom"/>
            <w:tcBorders>
              <w:bottom w:val="single" w:sz="8" w:color="CFF0FC"/>
            </w:tcBorders>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February 28, 2020</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March 31,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252,144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jc w:val="center"/>
              <w:ind w:left="261"/>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6"/>
              </w:rPr>
              <w:t>March 31, 2019</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14, 2018</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2019</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20, 2019</w:t>
            </w:r>
          </w:p>
        </w:tc>
        <w:tc>
          <w:tcPr>
            <w:tcW w:w="1220" w:type="dxa"/>
            <w:vAlign w:val="bottom"/>
            <w:tcBorders>
              <w:bottom w:val="single" w:sz="8" w:color="CFF0FC"/>
            </w:tcBorders>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February 28, 2019</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March 29, 2019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300,145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25"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5, 2020. The amount and timing of stock repurchases under the program may vary depending on market conditions, and no assurance can be given that any particular amount of common stock will be repurchased.</w:t>
      </w:r>
    </w:p>
    <w:p>
      <w:pPr>
        <w:spacing w:after="0" w:line="157"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During the three months ended March 31, 2020, the Company repurchased 206,964 shares at a weighted average price per share of $14.17 inclusive of commissions, for a total cost of $2.9 million. No shares were repurchased during the three months ended March 31, 2019.</w:t>
      </w:r>
    </w:p>
    <w:p>
      <w:pPr>
        <w:spacing w:after="0" w:line="331"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(loss) per common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6"/>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March 31, 2020</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9"/>
        </w:trPr>
        <w:tc>
          <w:tcPr>
            <w:tcW w:w="1700" w:type="dxa"/>
            <w:vAlign w:val="bottom"/>
          </w:tcPr>
          <w:p>
            <w:pPr>
              <w:spacing w:after="0"/>
              <w:rPr>
                <w:sz w:val="18"/>
                <w:szCs w:val="18"/>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Increase (Decrease) in net assets resulting</w:t>
            </w:r>
          </w:p>
        </w:tc>
        <w:tc>
          <w:tcPr>
            <w:tcW w:w="7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operations</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(53,099)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38,745</w:t>
            </w:r>
          </w:p>
        </w:tc>
        <w:tc>
          <w:tcPr>
            <w:tcW w:w="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66,656,280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65,595,441</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common share</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1" w:name="page42"/>
    <w:bookmarkEnd w:id="41"/>
    <w:p>
      <w:pPr>
        <w:ind w:right="180" w:firstLine="255"/>
        <w:spacing w:after="0" w:line="279" w:lineRule="auto"/>
        <w:rPr>
          <w:sz w:val="20"/>
          <w:szCs w:val="20"/>
          <w:color w:val="auto"/>
        </w:rPr>
      </w:pPr>
      <w:r>
        <w:rPr>
          <w:rFonts w:ascii="Arial" w:cs="Arial" w:eastAsia="Arial" w:hAnsi="Arial"/>
          <w:sz w:val="17"/>
          <w:szCs w:val="17"/>
          <w:color w:val="auto"/>
        </w:rPr>
        <w:t>For the purpose of calculating diluted earnings (loss) per common share, the average daily closing price of the Company’s common stock for the three months ended March 31, 2020 was less than the estimated adjusted conversion price for the 2022 Convertible Notes outstanding as of March 31, 2020. Therefore, for all periods presented in the consolidated financial statements, the underlying shares for the intrinsic value of the embedded options in the 2022 Convertible Notes have no impact on the computation of diluted earnings (loss) per common share.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700" w:firstLine="255"/>
        <w:spacing w:after="0" w:line="342"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three months ended March 31,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5"/>
          </w:tcPr>
          <w:p>
            <w:pPr>
              <w:jc w:val="center"/>
              <w:ind w:left="79"/>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Dividend</w:t>
            </w:r>
          </w:p>
        </w:tc>
        <w:tc>
          <w:tcPr>
            <w:tcW w:w="20" w:type="dxa"/>
            <w:vAlign w:val="bottom"/>
          </w:tcPr>
          <w:p>
            <w:pPr>
              <w:spacing w:after="0"/>
              <w:rPr>
                <w:sz w:val="13"/>
                <w:szCs w:val="13"/>
                <w:color w:val="auto"/>
              </w:rPr>
            </w:pPr>
          </w:p>
        </w:tc>
        <w:tc>
          <w:tcPr>
            <w:tcW w:w="1820" w:type="dxa"/>
            <w:vAlign w:val="bottom"/>
            <w:gridSpan w:val="3"/>
          </w:tcPr>
          <w:p>
            <w:pPr>
              <w:ind w:left="440"/>
              <w:spacing w:after="0" w:line="155" w:lineRule="exact"/>
              <w:rPr>
                <w:sz w:val="20"/>
                <w:szCs w:val="20"/>
                <w:color w:val="auto"/>
              </w:rPr>
            </w:pPr>
            <w:r>
              <w:rPr>
                <w:rFonts w:ascii="Arial" w:cs="Arial" w:eastAsia="Arial" w:hAnsi="Arial"/>
                <w:sz w:val="14"/>
                <w:szCs w:val="14"/>
                <w:b w:val="1"/>
                <w:bCs w:val="1"/>
                <w:color w:val="auto"/>
              </w:rPr>
              <w:t>Record Date</w:t>
            </w:r>
          </w:p>
        </w:tc>
        <w:tc>
          <w:tcPr>
            <w:tcW w:w="20" w:type="dxa"/>
            <w:vAlign w:val="bottom"/>
          </w:tcPr>
          <w:p>
            <w:pPr>
              <w:spacing w:after="0"/>
              <w:rPr>
                <w:sz w:val="13"/>
                <w:szCs w:val="13"/>
                <w:color w:val="auto"/>
              </w:rPr>
            </w:pPr>
          </w:p>
        </w:tc>
        <w:tc>
          <w:tcPr>
            <w:tcW w:w="1820" w:type="dxa"/>
            <w:vAlign w:val="bottom"/>
          </w:tcPr>
          <w:p>
            <w:pPr>
              <w:jc w:val="right"/>
              <w:ind w:right="415"/>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2020</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2020</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82"/>
              </w:rPr>
              <w:t>Base</w:t>
            </w:r>
          </w:p>
        </w:tc>
        <w:tc>
          <w:tcPr>
            <w:tcW w:w="20" w:type="dxa"/>
            <w:vAlign w:val="bottom"/>
          </w:tcPr>
          <w:p>
            <w:pPr>
              <w:spacing w:after="0"/>
              <w:rPr>
                <w:sz w:val="19"/>
                <w:szCs w:val="19"/>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March 13, 2020</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April 15,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91"/>
              </w:rPr>
              <w:t>Special</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April 15, 2020</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3"/>
          </w:tcPr>
          <w:p>
            <w:pPr>
              <w:jc w:val="center"/>
              <w:ind w:right="160"/>
              <w:spacing w:after="0"/>
              <w:rPr>
                <w:sz w:val="20"/>
                <w:szCs w:val="20"/>
                <w:color w:val="auto"/>
              </w:rPr>
            </w:pPr>
            <w:r>
              <w:rPr>
                <w:rFonts w:ascii="Arial" w:cs="Arial" w:eastAsia="Arial" w:hAnsi="Arial"/>
                <w:sz w:val="18"/>
                <w:szCs w:val="18"/>
                <w:color w:val="auto"/>
                <w:w w:val="91"/>
              </w:rPr>
              <w:t>Special</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June 15, 2020</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June 30, 2020</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5"/>
            <w:vMerge w:val="restart"/>
          </w:tcPr>
          <w:p>
            <w:pPr>
              <w:jc w:val="center"/>
              <w:ind w:left="99"/>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Dividend</w:t>
            </w:r>
          </w:p>
        </w:tc>
        <w:tc>
          <w:tcPr>
            <w:tcW w:w="20" w:type="dxa"/>
            <w:vAlign w:val="bottom"/>
          </w:tcPr>
          <w:p>
            <w:pPr>
              <w:spacing w:after="0"/>
              <w:rPr>
                <w:sz w:val="13"/>
                <w:szCs w:val="13"/>
                <w:color w:val="auto"/>
              </w:rPr>
            </w:pPr>
          </w:p>
        </w:tc>
        <w:tc>
          <w:tcPr>
            <w:tcW w:w="1820" w:type="dxa"/>
            <w:vAlign w:val="bottom"/>
            <w:gridSpan w:val="3"/>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20" w:type="dxa"/>
            <w:vAlign w:val="bottom"/>
          </w:tcPr>
          <w:p>
            <w:pPr>
              <w:spacing w:after="0"/>
              <w:rPr>
                <w:sz w:val="13"/>
                <w:szCs w:val="13"/>
                <w:color w:val="auto"/>
              </w:rPr>
            </w:pPr>
          </w:p>
        </w:tc>
        <w:tc>
          <w:tcPr>
            <w:tcW w:w="182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9"/>
              </w:rPr>
              <w:t>Supplemental</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February 28, 2019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20, 2019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3"/>
          </w:tcPr>
          <w:p>
            <w:pPr>
              <w:jc w:val="center"/>
              <w:ind w:right="140"/>
              <w:spacing w:after="0"/>
              <w:rPr>
                <w:sz w:val="20"/>
                <w:szCs w:val="20"/>
                <w:color w:val="auto"/>
              </w:rPr>
            </w:pPr>
            <w:r>
              <w:rPr>
                <w:rFonts w:ascii="Arial" w:cs="Arial" w:eastAsia="Arial" w:hAnsi="Arial"/>
                <w:sz w:val="18"/>
                <w:szCs w:val="18"/>
                <w:color w:val="auto"/>
                <w:w w:val="87"/>
              </w:rPr>
              <w:t>Base</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March 15, 2019</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April 15, 2019</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dividends declared during the three months ended March 31, 2020 and 2019 were derived from net investment income, determined on a tax basis.</w:t>
      </w:r>
    </w:p>
    <w:p>
      <w:pPr>
        <w:spacing w:after="0" w:line="379"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three months ended March 31, 2020 and 2019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2019</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Ordinary Income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Capital Gains</w:t>
            </w: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basis components of distributable earnings as of March 31, 2020 and December 31,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Undistributed net investment income - tax basis</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124,292</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Undistributed net realized gains (losses) - tax</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basis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7,863</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(69,768)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(31,746)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(30,343)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w w:val="92"/>
              </w:rPr>
              <w:t>Total distributable earnings - book basis</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20" w:type="dxa"/>
            <w:vAlign w:val="bottom"/>
            <w:vMerge w:val="restart"/>
          </w:tcPr>
          <w:p>
            <w:pPr>
              <w:jc w:val="right"/>
              <w:ind w:right="21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42" w:name="page43"/>
    <w:bookmarkEnd w:id="42"/>
    <w:p>
      <w:pPr>
        <w:ind w:right="120" w:firstLine="255"/>
        <w:spacing w:after="0" w:line="277" w:lineRule="auto"/>
        <w:rPr>
          <w:sz w:val="20"/>
          <w:szCs w:val="20"/>
          <w:color w:val="auto"/>
        </w:rPr>
      </w:pPr>
      <w:r>
        <w:rPr>
          <w:rFonts w:ascii="Arial" w:cs="Arial" w:eastAsia="Arial" w:hAnsi="Arial"/>
          <w:sz w:val="18"/>
          <w:szCs w:val="18"/>
          <w:color w:val="auto"/>
        </w:rPr>
        <w:t>The following reconciles increase (decrease) in net assets resulting from operations to taxable income for the three months ended March 31, 2020 and 2019:</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net assets resulting from</w:t>
            </w:r>
          </w:p>
        </w:tc>
        <w:tc>
          <w:tcPr>
            <w:tcW w:w="1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(53,099)</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38,745</w:t>
            </w:r>
          </w:p>
        </w:tc>
        <w:tc>
          <w:tcPr>
            <w:tcW w:w="80" w:type="dxa"/>
            <w:vAlign w:val="bottom"/>
            <w:shd w:val="clear" w:color="auto" w:fill="CFF0FC"/>
          </w:tcPr>
          <w:p>
            <w:pPr>
              <w:spacing w:after="0"/>
              <w:rPr>
                <w:sz w:val="20"/>
                <w:szCs w:val="20"/>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(11,461)</w:t>
            </w:r>
          </w:p>
        </w:tc>
      </w:tr>
      <w:tr>
        <w:trPr>
          <w:trHeight w:val="215"/>
        </w:trPr>
        <w:tc>
          <w:tcPr>
            <w:tcW w:w="4320" w:type="dxa"/>
            <w:vAlign w:val="bottom"/>
          </w:tcPr>
          <w:p>
            <w:pPr>
              <w:ind w:left="240"/>
              <w:spacing w:after="0"/>
              <w:rPr>
                <w:sz w:val="20"/>
                <w:szCs w:val="20"/>
                <w:color w:val="auto"/>
              </w:rPr>
            </w:pPr>
            <w:r>
              <w:rPr>
                <w:rFonts w:ascii="Arial" w:cs="Arial" w:eastAsia="Arial" w:hAnsi="Arial"/>
                <w:sz w:val="18"/>
                <w:szCs w:val="18"/>
                <w:color w:val="auto"/>
              </w:rPr>
              <w:t>Other income for tax purposes, not</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20" w:type="dxa"/>
            <w:vAlign w:val="bottom"/>
          </w:tcPr>
          <w:p>
            <w:pPr>
              <w:ind w:left="380"/>
              <w:spacing w:after="0"/>
              <w:rPr>
                <w:sz w:val="20"/>
                <w:szCs w:val="20"/>
                <w:color w:val="auto"/>
              </w:rPr>
            </w:pPr>
            <w:r>
              <w:rPr>
                <w:rFonts w:ascii="Arial" w:cs="Arial" w:eastAsia="Arial" w:hAnsi="Arial"/>
                <w:sz w:val="18"/>
                <w:szCs w:val="18"/>
                <w:color w:val="auto"/>
              </w:rPr>
              <w:t>book</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0"/>
                <w:szCs w:val="20"/>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tcPr>
          <w:p>
            <w:pPr>
              <w:ind w:left="480"/>
              <w:spacing w:after="0"/>
              <w:rPr>
                <w:sz w:val="20"/>
                <w:szCs w:val="20"/>
                <w:color w:val="auto"/>
              </w:rPr>
            </w:pPr>
            <w:r>
              <w:rPr>
                <w:rFonts w:ascii="Arial" w:cs="Arial" w:eastAsia="Arial" w:hAnsi="Arial"/>
                <w:sz w:val="18"/>
                <w:szCs w:val="18"/>
                <w:b w:val="1"/>
                <w:bCs w:val="1"/>
                <w:color w:val="auto"/>
              </w:rPr>
              <w:t>Taxable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31,274</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Note: Taxable income is an estimate and is not fully determined until the Company’s tax return is filed. The Company’s tax year end is March 31</w:t>
      </w:r>
      <w:r>
        <w:rPr>
          <w:rFonts w:ascii="Arial" w:cs="Arial" w:eastAsia="Arial" w:hAnsi="Arial"/>
          <w:sz w:val="13"/>
          <w:szCs w:val="13"/>
          <w:color w:val="auto"/>
        </w:rPr>
        <w:t>st</w:t>
      </w:r>
      <w:r>
        <w:rPr>
          <w:rFonts w:ascii="Arial" w:cs="Arial" w:eastAsia="Arial" w:hAnsi="Arial"/>
          <w:sz w:val="16"/>
          <w:szCs w:val="16"/>
          <w:color w:val="auto"/>
        </w:rPr>
        <w:t>.</w:t>
      </w:r>
    </w:p>
    <w:p>
      <w:pPr>
        <w:spacing w:after="0" w:line="248"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Taxable income generally differs from increase (decrease)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4"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For the three months ended March 31, 2020, the Company increased distributable earnings and decreased additional paid in capital by $1.0 million attributable to U.S. federal excise taxes.</w:t>
      </w:r>
    </w:p>
    <w:p>
      <w:pPr>
        <w:spacing w:after="0" w:line="170"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For the three months ended March 31, 2019, the Company increased distributable earnings and decreased additional paid in capital by $0.3 million attributable to U.S. federal excise taxes.</w:t>
      </w:r>
    </w:p>
    <w:p>
      <w:pPr>
        <w:spacing w:after="0" w:line="170" w:lineRule="exact"/>
        <w:rPr>
          <w:sz w:val="20"/>
          <w:szCs w:val="20"/>
          <w:color w:val="auto"/>
        </w:rPr>
      </w:pPr>
    </w:p>
    <w:p>
      <w:pPr>
        <w:ind w:right="220" w:firstLine="255"/>
        <w:spacing w:after="0" w:line="311" w:lineRule="auto"/>
        <w:rPr>
          <w:sz w:val="20"/>
          <w:szCs w:val="20"/>
          <w:color w:val="auto"/>
        </w:rPr>
      </w:pPr>
      <w:r>
        <w:rPr>
          <w:rFonts w:ascii="Arial" w:cs="Arial" w:eastAsia="Arial" w:hAnsi="Arial"/>
          <w:sz w:val="16"/>
          <w:szCs w:val="16"/>
          <w:color w:val="auto"/>
        </w:rPr>
        <w:t>The Company’s wholly-owned subsidiary, TSL MR, LLC, is a taxable subsidiary in which the Company holds certain equity investments. TSL MR,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March 31, 2020, the Company had an estimated deferred tax asset of $5.6 million pertaining to operating losses, related to one of its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the losses generated by the entity, the deferred tax asset has been offset by a valuation allowance of $5.6 million.</w:t>
      </w:r>
    </w:p>
    <w:p>
      <w:pPr>
        <w:spacing w:after="0" w:line="211" w:lineRule="exact"/>
        <w:rPr>
          <w:sz w:val="20"/>
          <w:szCs w:val="20"/>
          <w:color w:val="auto"/>
        </w:rPr>
      </w:pPr>
    </w:p>
    <w:p>
      <w:pPr>
        <w:ind w:right="680" w:firstLine="255"/>
        <w:spacing w:after="0" w:line="342" w:lineRule="auto"/>
        <w:rPr>
          <w:sz w:val="20"/>
          <w:szCs w:val="20"/>
          <w:color w:val="auto"/>
        </w:rPr>
      </w:pPr>
      <w:r>
        <w:rPr>
          <w:rFonts w:ascii="Arial" w:cs="Arial" w:eastAsia="Arial" w:hAnsi="Arial"/>
          <w:sz w:val="16"/>
          <w:szCs w:val="16"/>
          <w:color w:val="auto"/>
        </w:rPr>
        <w:t>As of December 31, 2019, the Company had an estimated deferred tax asset of $5.9 million pertaining to operating losses, related to one of its investments. Given the losses generated by the entity, the deferred tax asset has been offset by a valuation allowance of $5.9 million.</w:t>
      </w:r>
    </w:p>
    <w:p>
      <w:pPr>
        <w:spacing w:after="0" w:line="124"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During the period April 1, 2019 through March 31, 2020, the Company’s estimated U.S. federal taxable income exceeded its distributions made from such taxable income during the tax year; consequently, the Company has elected to carry forward the excess for distribution to shareholders. The amount carried forward is estimated to be approximately $128.8 million, all of which is expected to be ordinary income, although these amounts will not be finalized until the 2019 tax returns are filed in 2020.</w:t>
      </w:r>
    </w:p>
    <w:p>
      <w:pPr>
        <w:spacing w:after="0" w:line="187"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To the extent that the Company determines that its estimated current year annual taxable income will exceed its estimated current year dividends from such taxable income, the Company accrues excise tax on estimated excess taxable income. For the three months ended March 31, 2020 and 2019, a net expense of $1.0 million and $0.3 million, respectively, was recorded for U.S. federal excise tax.</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40" w:firstLine="255"/>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three months ended March 31, 2020 and 2019.</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(6)</w:t>
            </w: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16.83</w:t>
            </w:r>
          </w:p>
        </w:tc>
        <w:tc>
          <w:tcPr>
            <w:tcW w:w="300" w:type="dxa"/>
            <w:vAlign w:val="bottom"/>
          </w:tcPr>
          <w:p>
            <w:pPr>
              <w:spacing w:after="0"/>
              <w:rPr>
                <w:sz w:val="19"/>
                <w:szCs w:val="19"/>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(2)</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net</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9"/>
        </w:trPr>
        <w:tc>
          <w:tcPr>
            <w:tcW w:w="3620" w:type="dxa"/>
            <w:vAlign w:val="bottom"/>
            <w:gridSpan w:val="2"/>
          </w:tcPr>
          <w:p>
            <w:pPr>
              <w:spacing w:after="0"/>
              <w:rPr>
                <w:sz w:val="20"/>
                <w:szCs w:val="20"/>
                <w:color w:val="auto"/>
              </w:rPr>
            </w:pPr>
            <w:r>
              <w:rPr>
                <w:rFonts w:ascii="Arial" w:cs="Arial" w:eastAsia="Arial" w:hAnsi="Arial"/>
                <w:sz w:val="18"/>
                <w:szCs w:val="18"/>
                <w:color w:val="auto"/>
              </w:rPr>
              <w:t>Total increase (decrease) in net</w:t>
            </w:r>
          </w:p>
        </w:tc>
        <w:tc>
          <w:tcPr>
            <w:tcW w:w="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Asset Value, End of Period</w:t>
            </w: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gridSpan w:val="2"/>
          </w:tcPr>
          <w:p>
            <w:pPr>
              <w:spacing w:after="0"/>
              <w:rPr>
                <w:sz w:val="20"/>
                <w:szCs w:val="20"/>
                <w:color w:val="auto"/>
              </w:rPr>
            </w:pPr>
            <w:r>
              <w:rPr>
                <w:rFonts w:ascii="Arial" w:cs="Arial" w:eastAsia="Arial" w:hAnsi="Arial"/>
                <w:sz w:val="18"/>
                <w:szCs w:val="18"/>
                <w:color w:val="auto"/>
              </w:rPr>
              <w:t>Per share market value at end 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period</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13.92</w:t>
            </w:r>
          </w:p>
        </w:tc>
        <w:tc>
          <w:tcPr>
            <w:tcW w:w="30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return based on net asset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66,569,771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65,712,962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assets</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Ratio of net investment income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to average net assets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1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1,036,736</w:t>
            </w:r>
          </w:p>
        </w:tc>
        <w:tc>
          <w:tcPr>
            <w:tcW w:w="30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1,074,064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00" w:right="36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2020.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80" w:firstLine="255"/>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00" w:right="360" w:hanging="249"/>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5"/>
        <w:spacing w:after="0" w:line="275"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2020, we have originated more than $12.8 billion aggregate principal amount of investments and retained approximately $6.4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2020, our core portfolio companies, which exclude certain investments that fall outside of our typical borrower profile and represent 79.4% of our total investments based on fair value, had weighted average annual revenue of $110.7 million and weighted average annual EBITDA of $34.0 million.</w:t>
      </w:r>
    </w:p>
    <w:p>
      <w:pPr>
        <w:spacing w:after="0" w:line="18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4" w:lineRule="exact"/>
        <w:rPr>
          <w:sz w:val="20"/>
          <w:szCs w:val="20"/>
          <w:color w:val="auto"/>
        </w:rPr>
      </w:pPr>
    </w:p>
    <w:p>
      <w:pPr>
        <w:ind w:right="40" w:firstLine="255"/>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2020, the largest single investment based on fair value represented 4.3% of our total investment portfolio.</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2020, the average investment size in each of our portfolio companies was approximately $33.0 million based on fair value.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2020, the largest industry represented 20.2% of our total investment portfolio based on fair value.</w:t>
      </w:r>
    </w:p>
    <w:p>
      <w:pPr>
        <w:spacing w:after="0" w:line="225"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March 31, 2020,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97.3% of our portfolio was invested in secured debt, including 97.1%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2020, the weighted average term on new investment commitments in new portfolio companies was 5.0 years.</w:t>
      </w:r>
    </w:p>
    <w:p>
      <w:pPr>
        <w:spacing w:after="0" w:line="17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40" w:firstLine="255"/>
        <w:spacing w:after="0" w:line="287"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March 31, 2020, we had call protection on 84.0% of our debt investments based on fair value, with weighted average call prices of 105.8% for the first year, 103.4% for the second year and 101.3% for the third year, in each case from the date of the initial investment. As of March 31, 2020,</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99.4% of our debt investments based on fair value bore interest at floating rates (when including investment specific hedges), with 95.1% of these subject to interest rate floors, which we believe helps act as a portfolio-wide hedge against inflation.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 Partners</w:t>
      </w:r>
    </w:p>
    <w:p>
      <w:pPr>
        <w:spacing w:after="0" w:line="117" w:lineRule="exact"/>
        <w:rPr>
          <w:sz w:val="20"/>
          <w:szCs w:val="20"/>
          <w:color w:val="auto"/>
        </w:rPr>
      </w:pPr>
    </w:p>
    <w:p>
      <w:pPr>
        <w:ind w:right="24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2"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Sixth Street, is a global finance and investment business with approximately $34 billion of assets under management as of December 31, 2019. Sixth Street’s core platforms include TPG Specialty Lending, TSL Europe (TSLE), which is aimed at European middle-market loan originations, TSSP Adjacent Opportunities (TAO), which has the flexibility to invest across all of Sixth Street’s private credit market investments, TSSP Opportunities Partners (TOP), which focuses on actively managed opportunistic investments across the credit cycle, TPG Institutional Credit Partners (TICP), which is the firm’s “public-side” credit investment platform focused on investment opportunities in broadly syndicated leveraged loan markets, and TSSP Capital Solutions (TCS), which provides financing solutions to growing companies.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275 investment and operating professionals. As of March 31, 2020, thirty one (31) of these personnel are dedicated to our business, including twenty three (23) investment professionals.</w:t>
      </w:r>
    </w:p>
    <w:p>
      <w:pPr>
        <w:spacing w:after="0" w:line="166"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Sixth Street was in a strategic relationship with TPG Global, LLC, or TPG from 2009 to 2020. On May 1, 2020, Sixth Street and TPG agreed to evolve their relationship and become independent, unaffiliated businesses.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6" w:name="page47"/>
    <w:bookmarkEnd w:id="46"/>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9"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2020, 99.4% of these investments based on fair value bore interest at a floating rate (when including investment specific hedges), with 95.1% of these subject to interest rate floors. Interest on debt investments is generally payable quarterly or semiannually. Some of our debt investments provide for deferred interest payments or PIK interest. For the three months ended March 31, 2020, 2.7% of our total investment income was comprised of PIK interest.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20" w:firstLine="255"/>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and 2024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8"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00" w:right="320" w:hanging="249"/>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00" w:right="80" w:hanging="249"/>
        <w:spacing w:after="0" w:line="25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500" w:hanging="249"/>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00" w:right="140" w:hanging="249"/>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2" w:lineRule="exact"/>
        <w:rPr>
          <w:sz w:val="20"/>
          <w:szCs w:val="20"/>
          <w:color w:val="auto"/>
        </w:rPr>
      </w:pPr>
    </w:p>
    <w:p>
      <w:pPr>
        <w:ind w:firstLine="255"/>
        <w:spacing w:after="0" w:line="290"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255"/>
        <w:spacing w:after="0" w:line="342" w:lineRule="auto"/>
        <w:rPr>
          <w:sz w:val="20"/>
          <w:szCs w:val="20"/>
          <w:color w:val="auto"/>
        </w:rPr>
      </w:pPr>
      <w:r>
        <w:rPr>
          <w:rFonts w:ascii="Arial" w:cs="Arial" w:eastAsia="Arial" w:hAnsi="Arial"/>
          <w:sz w:val="16"/>
          <w:szCs w:val="16"/>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ind w:right="100" w:firstLine="255"/>
        <w:spacing w:after="0" w:line="279" w:lineRule="auto"/>
        <w:rPr>
          <w:sz w:val="20"/>
          <w:szCs w:val="20"/>
          <w:color w:val="auto"/>
        </w:rPr>
      </w:pPr>
      <w:r>
        <w:rPr>
          <w:rFonts w:ascii="Arial" w:cs="Arial" w:eastAsia="Arial" w:hAnsi="Arial"/>
          <w:sz w:val="17"/>
          <w:szCs w:val="17"/>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ind w:right="260" w:firstLine="255"/>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5"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As of March 31, 2020, our portfolio based on fair value consisted of 97.1% first-lien debt investments, 0.2% second-lien debt investments, 0.1% mezzanine debt investments, and 2.6% equity and other investments. As of December 31, 2019, our portfolio based on fair value consisted of 96.5% first-lien debt investments, 0.6% second-lien debt investments, 0.1% mezzanine debt investments, and 2.8% equity and other investments.</w:t>
      </w:r>
    </w:p>
    <w:p>
      <w:pPr>
        <w:spacing w:after="0" w:line="165" w:lineRule="exact"/>
        <w:rPr>
          <w:sz w:val="20"/>
          <w:szCs w:val="20"/>
          <w:color w:val="auto"/>
        </w:rPr>
      </w:pPr>
    </w:p>
    <w:p>
      <w:pPr>
        <w:ind w:right="140" w:firstLine="255"/>
        <w:spacing w:after="0" w:line="311" w:lineRule="auto"/>
        <w:rPr>
          <w:sz w:val="20"/>
          <w:szCs w:val="20"/>
          <w:color w:val="auto"/>
        </w:rPr>
      </w:pPr>
      <w:r>
        <w:rPr>
          <w:rFonts w:ascii="Arial" w:cs="Arial" w:eastAsia="Arial" w:hAnsi="Arial"/>
          <w:sz w:val="16"/>
          <w:szCs w:val="16"/>
          <w:color w:val="auto"/>
        </w:rPr>
        <w:t>As of March 31, 2020 and December 31, 2019, our weighted average total yield of debt and income-producing securities at fair value (which includes interest income and amortization of fees and discounts) was 10.2% and 10.5%, respectively, and our weighted average total yield of debt and income-producing securities at amortized cost (which includes interest income and amortization of fees and discounts) was 9.9% and 10.7%, respectively.</w:t>
      </w:r>
    </w:p>
    <w:p>
      <w:pPr>
        <w:spacing w:after="0" w:line="149"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As of March 31, 2020 and December 31, 2019, we had investments in 62 and 63 portfolio companies, respectively, with an aggregate fair value of $2,045.6 million and $2,245.9 million, respectively.</w:t>
      </w:r>
    </w:p>
    <w:p>
      <w:pPr>
        <w:spacing w:after="0" w:line="170"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For the three months ended March 31, 2020, the principal amount of new investments funded was $80.3 million in three new portfolio companies and four existing portfolio companies. For this period, we had $211.9 million aggregate principal amount in exits and repayments.</w:t>
      </w:r>
    </w:p>
    <w:p>
      <w:pPr>
        <w:spacing w:after="0" w:line="146"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0" w:name="page51"/>
    <w:bookmarkEnd w:id="50"/>
    <w:p>
      <w:pPr>
        <w:ind w:right="320" w:firstLine="255"/>
        <w:spacing w:after="0" w:line="277" w:lineRule="auto"/>
        <w:rPr>
          <w:sz w:val="20"/>
          <w:szCs w:val="20"/>
          <w:color w:val="auto"/>
        </w:rPr>
      </w:pPr>
      <w:r>
        <w:rPr>
          <w:rFonts w:ascii="Arial" w:cs="Arial" w:eastAsia="Arial" w:hAnsi="Arial"/>
          <w:sz w:val="18"/>
          <w:szCs w:val="18"/>
          <w:color w:val="auto"/>
        </w:rPr>
        <w:t>Our investment activity for the three months ended March 31, 2020 and 2019 is presented below (information presented herein is at par value unless otherwise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gridSpan w:val="2"/>
            <w:vMerge w:val="restart"/>
          </w:tcPr>
          <w:p>
            <w:pPr>
              <w:ind w:left="1120"/>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5"/>
          </w:tcPr>
          <w:p>
            <w:pPr>
              <w:jc w:val="right"/>
              <w:ind w:right="260"/>
              <w:spacing w:after="0" w:line="155"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3"/>
                <w:szCs w:val="13"/>
                <w:color w:val="auto"/>
              </w:rPr>
            </w:pPr>
          </w:p>
        </w:tc>
        <w:tc>
          <w:tcPr>
            <w:tcW w:w="1120" w:type="dxa"/>
            <w:vAlign w:val="bottom"/>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March 31, 2019</w:t>
            </w:r>
          </w:p>
        </w:tc>
        <w:tc>
          <w:tcPr>
            <w:tcW w:w="5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247.9</w:t>
            </w:r>
          </w:p>
        </w:tc>
        <w:tc>
          <w:tcPr>
            <w:tcW w:w="160" w:type="dxa"/>
            <w:vAlign w:val="bottom"/>
          </w:tcPr>
          <w:p>
            <w:pPr>
              <w:spacing w:after="0"/>
              <w:rPr>
                <w:sz w:val="19"/>
                <w:szCs w:val="19"/>
                <w:color w:val="auto"/>
              </w:rPr>
            </w:pPr>
          </w:p>
        </w:tc>
        <w:tc>
          <w:tcPr>
            <w:tcW w:w="70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Pr>
          <w:p>
            <w:pPr>
              <w:ind w:left="480"/>
              <w:spacing w:after="0"/>
              <w:rPr>
                <w:sz w:val="20"/>
                <w:szCs w:val="20"/>
                <w:color w:val="auto"/>
              </w:rPr>
            </w:pPr>
            <w:r>
              <w:rPr>
                <w:rFonts w:ascii="Arial" w:cs="Arial" w:eastAsia="Arial" w:hAnsi="Arial"/>
                <w:sz w:val="18"/>
                <w:szCs w:val="18"/>
                <w:color w:val="auto"/>
                <w:w w:val="98"/>
              </w:rPr>
              <w:t>Total new investment commitments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397"/>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152.4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Principal amount of investments funded:</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79.8</w:t>
            </w:r>
          </w:p>
        </w:tc>
        <w:tc>
          <w:tcPr>
            <w:tcW w:w="160" w:type="dxa"/>
            <w:vAlign w:val="bottom"/>
          </w:tcPr>
          <w:p>
            <w:pPr>
              <w:spacing w:after="0"/>
              <w:rPr>
                <w:sz w:val="19"/>
                <w:szCs w:val="19"/>
                <w:color w:val="auto"/>
              </w:rPr>
            </w:pPr>
          </w:p>
        </w:tc>
        <w:tc>
          <w:tcPr>
            <w:tcW w:w="70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1.3</w:t>
            </w:r>
          </w:p>
        </w:tc>
        <w:tc>
          <w:tcPr>
            <w:tcW w:w="1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80.3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3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9"/>
                <w:szCs w:val="19"/>
                <w:color w:val="auto"/>
              </w:rPr>
            </w:pPr>
          </w:p>
        </w:tc>
        <w:tc>
          <w:tcPr>
            <w:tcW w:w="70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2.7</w:t>
            </w:r>
          </w:p>
        </w:tc>
        <w:tc>
          <w:tcPr>
            <w:tcW w:w="1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Borders>
              <w:bottom w:val="single" w:sz="8" w:color="CFF0FC"/>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4"/>
              </w:rPr>
              <w:t>Number of new investment commitments in</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41.4</w:t>
            </w:r>
          </w:p>
        </w:tc>
        <w:tc>
          <w:tcPr>
            <w:tcW w:w="160" w:type="dxa"/>
            <w:vAlign w:val="bottom"/>
          </w:tcPr>
          <w:p>
            <w:pPr>
              <w:spacing w:after="0"/>
              <w:rPr>
                <w:sz w:val="20"/>
                <w:szCs w:val="20"/>
                <w:color w:val="auto"/>
              </w:rPr>
            </w:pPr>
          </w:p>
        </w:tc>
        <w:tc>
          <w:tcPr>
            <w:tcW w:w="70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5"/>
              </w:rPr>
              <w:t>Weighted average term for new investment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w w:val="95"/>
              </w:rPr>
              <w:t>commitments in new portfolio companies</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5.4</w:t>
            </w:r>
          </w:p>
        </w:tc>
        <w:tc>
          <w:tcPr>
            <w:tcW w:w="180" w:type="dxa"/>
            <w:vAlign w:val="bottom"/>
            <w:shd w:val="clear" w:color="auto" w:fill="CFF0FC"/>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10.9%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1"/>
              </w:rPr>
              <w:t>Weighted average spread over LIBOR of new</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w w:val="95"/>
              </w:rPr>
              <w:t>floating rate investment commitments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7"/>
              </w:rPr>
              <w:t>7.4%</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w w:val="88"/>
              </w:rPr>
              <w:t>Weighted average interest rate on investments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020" w:type="dxa"/>
            <w:vAlign w:val="bottom"/>
            <w:gridSpan w:val="8"/>
          </w:tcPr>
          <w:p>
            <w:pPr>
              <w:jc w:val="right"/>
              <w:ind w:right="115"/>
              <w:spacing w:after="0"/>
              <w:rPr>
                <w:sz w:val="20"/>
                <w:szCs w:val="20"/>
                <w:color w:val="auto"/>
              </w:rPr>
            </w:pPr>
            <w:r>
              <w:rPr>
                <w:rFonts w:ascii="Arial" w:cs="Arial" w:eastAsia="Arial" w:hAnsi="Arial"/>
                <w:sz w:val="18"/>
                <w:szCs w:val="18"/>
                <w:color w:val="auto"/>
                <w:w w:val="94"/>
              </w:rPr>
              <w:t>As of March 31, 2020 and December 31, 2019, our investments consisted of the following:</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March 31, 2020</w:t>
            </w: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8"/>
              </w:rPr>
              <w:t>December 31, 2019</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00" w:type="dxa"/>
            <w:vAlign w:val="bottom"/>
            <w:tcBorders>
              <w:bottom w:val="single" w:sz="8" w:color="CFF0FC"/>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gridSpan w:val="3"/>
          </w:tcPr>
          <w:p>
            <w:pPr>
              <w:jc w:val="right"/>
              <w:ind w:right="32"/>
              <w:spacing w:after="0" w:line="155" w:lineRule="exact"/>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Fair Value</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w w:val="98"/>
              </w:rPr>
              <w:t>Amortized Cost</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1,986.2</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2,050.1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2,045.6</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2,145.3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95"/>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51" w:name="page52"/>
    <w:bookmarkEnd w:id="51"/>
    <w:p>
      <w:pPr>
        <w:ind w:right="240" w:firstLine="255"/>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March 31, 2020 and December 31, 2019:</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13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gridSpan w:val="2"/>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right"/>
              <w:ind w:right="115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60" w:hanging="492"/>
        <w:spacing w:after="0" w:line="29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March 31, 2020 and December 31, 2019 were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2020</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2019</w:t>
            </w:r>
          </w:p>
        </w:tc>
      </w:tr>
      <w:tr>
        <w:trPr>
          <w:trHeight w:val="209"/>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10.0% at March 31, 2020 and 10.3% at December 31, 2019.</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00" w:hanging="249"/>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2" w:name="page53"/>
    <w:bookmarkEnd w:id="52"/>
    <w:p>
      <w:pPr>
        <w:ind w:left="500" w:right="160" w:hanging="249"/>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240" w:hanging="249"/>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140" w:hanging="249"/>
        <w:spacing w:after="0" w:line="255"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320" w:hanging="249"/>
        <w:spacing w:after="0" w:line="279"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2020 and December 31, 2019. Investment performance ratings are accurate only as of those dates and may change due to subsequent developments relating to a portfolio company’s business or financial condition, market conditions or developments, and other factors.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March 31, 2020</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3"/>
              </w:rPr>
              <w:t>December 31, 2019</w:t>
            </w:r>
          </w:p>
        </w:tc>
        <w:tc>
          <w:tcPr>
            <w:tcW w:w="1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gridSpan w:val="3"/>
          </w:tcPr>
          <w:p>
            <w:pPr>
              <w:jc w:val="center"/>
              <w:ind w:right="106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23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1,872.3</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1,968.0</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2,045.6</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2,245.9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months ended March 31, 2020 and 2019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9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March 31, 2020</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6200" w:type="dxa"/>
            <w:vAlign w:val="bottom"/>
            <w:gridSpan w:val="2"/>
            <w:vMerge w:val="restart"/>
          </w:tcPr>
          <w:p>
            <w:pPr>
              <w:jc w:val="right"/>
              <w:ind w:right="2832"/>
              <w:spacing w:after="0"/>
              <w:rPr>
                <w:sz w:val="20"/>
                <w:szCs w:val="20"/>
                <w:color w:val="auto"/>
              </w:rPr>
            </w:pPr>
            <w:r>
              <w:rPr>
                <w:rFonts w:ascii="Arial" w:cs="Arial" w:eastAsia="Arial" w:hAnsi="Arial"/>
                <w:sz w:val="18"/>
                <w:szCs w:val="18"/>
                <w:color w:val="auto"/>
                <w:w w:val="94"/>
              </w:rPr>
              <w:t>Includes foreign exchange hedging activity.</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62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6200" w:type="dxa"/>
            <w:vAlign w:val="bottom"/>
            <w:gridSpan w:val="2"/>
          </w:tcPr>
          <w:p>
            <w:pPr>
              <w:jc w:val="right"/>
              <w:ind w:right="752"/>
              <w:spacing w:after="0"/>
              <w:rPr>
                <w:sz w:val="20"/>
                <w:szCs w:val="20"/>
                <w:color w:val="auto"/>
              </w:rPr>
            </w:pPr>
            <w:r>
              <w:rPr>
                <w:rFonts w:ascii="Arial" w:cs="Arial" w:eastAsia="Arial" w:hAnsi="Arial"/>
                <w:sz w:val="18"/>
                <w:szCs w:val="18"/>
                <w:color w:val="auto"/>
              </w:rPr>
              <w:t>53</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44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48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March 31, 2020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2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Dividend income</w:t>
            </w: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2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$50.4 million for the three months ended March 31, 2019 to $63.0 million for the three months ended March 31, 2020. The increase in interest from investments was primarily a result of an increase in accelerated amortization of upfront fees from unscheduled paydowns, prepayment fees and an increase in the average size of our investment portfolio from $1.8 billion for the three months ended March 31, 2019 to $2.0 billion for the three months ended March 31, 2020. Accelerated amortization of upfront fees from unscheduled paydowns, increased from $0.3 million for the three months ended March 31, 2019 to $4.3 million for the three months ended March 31, 2020. Prepayment fees increased from $0.5 million for the three months ended March 31, 2019 to $3.3 million for the three months ended March 31, 2020. The accelerated amortization of upfront fees and prepayment fees primarily resulted from full paydowns on one portfolio investment and earning prepayment fees on one portfolio investment during the three months ended March 31, 2019. The accelerated amortization of upfront fees and prepayment fees primarily resulted from full paydowns on three portfolio investments, and partial paydowns on two portfolio investments, and earning prepayment fees on three portfolio investments during the three months ended March 31, 2020. Other income increased from $2.0 million for the three months ended March 31, 2019 to $2.8 million for the three months ended March 31, 2020, primarily due to higher agency and exit fees during the three months ended March 31, 2020 compared to the same period in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months ended March 31, 2020 and 2019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298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696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March 31, 2020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waivers)</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6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Directors fees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Interest expense, including other debt financing expenses, increased from $10.4 million for the three months ended March 31, 2019 to $12.9 million for the three months ended March 31, 2020. This increase was primarily due to an increase in the average debt outstanding which was partially offset by a decrease in the interest rate on our debt outstanding from the three months ended March 31, 2019 to the three months ended March 31, 2020. The average interest rate on our debt outstanding decreased from 4.7% for three months ended March 31, 2019 to 3.9% for the three months ended March 31, 2020 primarily due to changes in LIBOR rates. The average debt outstanding increased from $705.8 million for the three months ended March 31, 2019 to $1,107.7 million for the three months ended March 31, 2020.</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Management Fees increased from $6.6 million for the three months ended March 31, 2019 to $8.2 million for the three months ended March 31, 2020 due to an increase in average assets for the three months ended March 31, 2020 compared to the same period in 2019. The Adviser did not waive any Management Fees for the three months ended March 31, 2020 or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200" w:firstLine="255"/>
        <w:spacing w:after="0" w:line="275" w:lineRule="auto"/>
        <w:rPr>
          <w:sz w:val="20"/>
          <w:szCs w:val="20"/>
          <w:color w:val="auto"/>
        </w:rPr>
      </w:pPr>
      <w:r>
        <w:rPr>
          <w:rFonts w:ascii="Arial" w:cs="Arial" w:eastAsia="Arial" w:hAnsi="Arial"/>
          <w:sz w:val="17"/>
          <w:szCs w:val="17"/>
          <w:color w:val="auto"/>
        </w:rPr>
        <w:t>Incentive Fees related to pre-Incentive Fee net investment income increased from $5.7 million for the three months ended March 31, 2019 to $7.1 million for the three months ended March 31, 2020. This increase resulted from an increase in investment income resulting from higher interest and other income for the three months ended March 31, 2020. The Adviser did not waive any Incentive Fees related to pre-Incentive Fee net investment income for the three months ended March 31, 2020 or 2019. There were no Incentive Fees related to capital gains and losses for each of the three months ended March 31, 2020 and 2019 due to cumulative realized losses on our investments.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jc w:val="center"/>
        <w:ind w:right="40"/>
        <w:spacing w:after="0" w:line="311" w:lineRule="auto"/>
        <w:rPr>
          <w:sz w:val="20"/>
          <w:szCs w:val="20"/>
          <w:color w:val="auto"/>
        </w:rPr>
      </w:pPr>
      <w:r>
        <w:rPr>
          <w:rFonts w:ascii="Arial" w:cs="Arial" w:eastAsia="Arial" w:hAnsi="Arial"/>
          <w:sz w:val="16"/>
          <w:szCs w:val="16"/>
          <w:color w:val="auto"/>
        </w:rPr>
        <w:t>Professional fees increased from $1.3 million for the three months ended March 31, 2019 to $1.7 million for the three months ended March 31, 2020 primarily due to higher independent third party valuation firm and sub-agent costs given a larger portfolio, and increased legal and audit fees. Other general and administrative fees increased from $1.4 million for the three months ended March 31, 2019 to $1.5 million for the three months ended March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For the three months ended March 31, 2020 and 2019, we recorded a net expense of $1.0 million and $0.3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0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04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March 31, 2020</w:t>
            </w:r>
          </w:p>
        </w:tc>
        <w:tc>
          <w:tcPr>
            <w:tcW w:w="2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8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040" w:type="dxa"/>
            <w:vAlign w:val="bottom"/>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Unrealized gains (losses) on foreign currency borrowings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 cash</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gains on interest rate swaps</w:t>
            </w: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60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on Foreign Currency Transactions</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0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and Interest Rate Swaps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40" w:type="dxa"/>
            <w:vAlign w:val="bottom"/>
            <w:tcBorders>
              <w:top w:val="single" w:sz="8" w:color="CFF0FC"/>
              <w:bottom w:val="single" w:sz="8" w:color="CFF0FC"/>
            </w:tcBorders>
            <w:vMerge w:val="restart"/>
          </w:tcPr>
          <w:p>
            <w:pPr>
              <w:ind w:left="4960"/>
              <w:spacing w:after="0"/>
              <w:rPr>
                <w:sz w:val="20"/>
                <w:szCs w:val="20"/>
                <w:color w:val="auto"/>
              </w:rPr>
            </w:pPr>
            <w:r>
              <w:rPr>
                <w:rFonts w:ascii="Arial" w:cs="Arial" w:eastAsia="Arial" w:hAnsi="Arial"/>
                <w:sz w:val="18"/>
                <w:szCs w:val="18"/>
                <w:color w:val="auto"/>
              </w:rPr>
              <w:t>55</w:t>
            </w:r>
          </w:p>
        </w:tc>
        <w:tc>
          <w:tcPr>
            <w:tcW w:w="8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55" w:name="page56"/>
    <w:bookmarkEnd w:id="55"/>
    <w:p>
      <w:pPr>
        <w:ind w:firstLine="255"/>
        <w:spacing w:after="0" w:line="254" w:lineRule="auto"/>
        <w:rPr>
          <w:sz w:val="20"/>
          <w:szCs w:val="20"/>
          <w:color w:val="auto"/>
        </w:rPr>
      </w:pPr>
      <w:r>
        <w:rPr>
          <w:rFonts w:ascii="Arial" w:cs="Arial" w:eastAsia="Arial" w:hAnsi="Arial"/>
          <w:sz w:val="18"/>
          <w:szCs w:val="18"/>
          <w:color w:val="auto"/>
        </w:rPr>
        <w:t>For the three months ended March 31, 2020, we had net realized losses on investments of $2.0 million primarily driven by one investment and for the three months ended March 31, 2019, we had net realized gains on investments of $0.7 million. For the three months ended March 31, 2020 and 2019, we had net realized losses of $0.1 million and $0.1 million, respectively, on foreign currency transactions, primarily as a result of translating foreign currency related to our non-USD denominated investments. For the three months ended March 31, 2020 and 2019, we had net realized losses of $0.1 million and $0.1 million, respectively, on foreign currency investments. For the three months ended March 31, 2020 and 2019, we had net realized gains of $0.1 million and $0.1 million, respectively, on foreign currency borrowings. The net realized gains on foreign currency borrowings were a result of payments on our revolving credit facility.</w:t>
      </w:r>
    </w:p>
    <w:p>
      <w:pPr>
        <w:spacing w:after="0" w:line="195"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For the three months ended March 31, 2020 we had $5.5 million in unrealized gains on 4 portfolio company investments, which was offset by $113.2 million in unrealized losses on 62 portfolio company investments. Unrealized gains resulted from an increase in fair value, primarily due to positive credit-related adjustments. Unrealized losses primarily resulted from a widening spread environment and in some instances negative credit-related adjustments. For the three months ended March 31, 2019 we had $14.4 million in unrealized gains on 41 portfolio company investments, which was offset by $4.8 million in unrealized losses on 9 portfolio company investments. Unrealized gains resulted from an increase in fair value, primarily due to a tightening spread environment and positive investment-related adjustments. Unrealized losses primarily resulted from negative credit-related adjustments.</w:t>
      </w:r>
    </w:p>
    <w:p>
      <w:pPr>
        <w:spacing w:after="0" w:line="164"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For the three months ended March 31, 2020 and 2019, we had unrealized gains on foreign currency borrowings of $13.8 million and unrealized losses on foreign currency borrowings of $1.4 million, respectively, as a result of fluctuations in the AUD, CAD and EUR exchange rates for the three months ended March 31, 2020 and fluctuations in the AUD and CAD exchange rates for the three months ended March 31, 2019. For the three months ended March 31, 2020 and 2019, we had unrealized losses on foreign currency cash of less than $0.1 million and unrealized gains on foreign currency cash of less than $0.1 million, respectively. For the three months ended March 31, 2020 and 2019, we had unrealized gains on interest rate swaps of $9.2 million and $3.3 million, respectively, due to fluctuations in interest rates and the periodic settlement of interest rate swaps.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Since we began investing in 2011 through March 31, 2020, weighted by capital invested, our exited investments have generated an average realized gross internal rate of return to us of 18.4% (based on total capital invested of $4.2 billion and total proceeds from these exited investments of $5.2 billion). Ninety percent of these exited investments resulted in a realized gross internal rate of return to us of 10% or greater.</w:t>
      </w:r>
    </w:p>
    <w:p>
      <w:pPr>
        <w:spacing w:after="0" w:line="165"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4" w:lineRule="exact"/>
        <w:rPr>
          <w:sz w:val="20"/>
          <w:szCs w:val="20"/>
          <w:color w:val="auto"/>
        </w:rPr>
      </w:pPr>
    </w:p>
    <w:p>
      <w:pPr>
        <w:jc w:val="both"/>
        <w:ind w:right="160" w:firstLine="255"/>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60" w:firstLine="255"/>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5" w:lineRule="exact"/>
        <w:rPr>
          <w:sz w:val="20"/>
          <w:szCs w:val="20"/>
          <w:color w:val="auto"/>
        </w:rPr>
      </w:pPr>
    </w:p>
    <w:p>
      <w:pPr>
        <w:ind w:right="120" w:firstLine="255"/>
        <w:spacing w:after="0" w:line="311"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6" w:name="page57"/>
    <w:bookmarkEnd w:id="56"/>
    <w:p>
      <w:pPr>
        <w:ind w:right="20" w:firstLine="255"/>
        <w:spacing w:after="0" w:line="301"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160" w:firstLine="255"/>
        <w:spacing w:after="0" w:line="287" w:lineRule="auto"/>
        <w:rPr>
          <w:sz w:val="20"/>
          <w:szCs w:val="20"/>
          <w:color w:val="auto"/>
        </w:rPr>
      </w:pPr>
      <w:r>
        <w:rPr>
          <w:rFonts w:ascii="Arial" w:cs="Arial" w:eastAsia="Arial" w:hAnsi="Arial"/>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months ended March 31, 2020 and 2019, we incurred $13.8 million of unrealized gains and $1.4 million of unrealized losses, respectively, on the translation of our non-U.S. dollar denominated debt into U.S. dollars; such amounts approximate the corresponding unrealized gains and losses on the translation of our non-U.S. dollar denominated investments into U.S. dollars for the three months ended March 31, 2020 and 2019. See Note 2 for additional disclosure regarding our accounting for foreign currency. See Note 7 for additional disclosure regarding the amounts of outstanding debt denominated in each foreign currency at March 31, 2020 and 2019. See our consolidated schedule of investments for additional disclosure regarding the foreign currency amounts (in both par and fair value) of our non-U.S. dollar denominated investments.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March 31, 2020 and December 31, 2019, our asset coverage ratio was 205.3% and 200.4%,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6" w:lineRule="exact"/>
        <w:rPr>
          <w:sz w:val="20"/>
          <w:szCs w:val="20"/>
          <w:color w:val="auto"/>
        </w:rPr>
      </w:pPr>
    </w:p>
    <w:p>
      <w:pPr>
        <w:ind w:right="520" w:firstLine="255"/>
        <w:spacing w:after="0" w:line="263" w:lineRule="auto"/>
        <w:rPr>
          <w:sz w:val="20"/>
          <w:szCs w:val="20"/>
          <w:color w:val="auto"/>
        </w:rPr>
      </w:pPr>
      <w:r>
        <w:rPr>
          <w:rFonts w:ascii="Arial" w:cs="Arial" w:eastAsia="Arial" w:hAnsi="Arial"/>
          <w:sz w:val="18"/>
          <w:szCs w:val="18"/>
          <w:color w:val="auto"/>
        </w:rPr>
        <w:t>Cash and cash equivalents as of March 31, 2020, taken together with cash available under our credit facilities, is expected to be sufficient for our investing activities and to conduct our operations in the near term. As of March 31, 2020, we had approximately $1.0 billion of availability on our Revolving Credit Facility, subject to asset coverage limitations.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March 31, 2020, we had $19.8 million in cash and cash equivalents, including $14.3 million of restricted cash, an increase of $5.6 million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During the three months ended March 31, 2020, we provided $154.3 million in cash from operating activities, primarily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repayments and proceeds from investments of $219.1 million and other operating activity of $108.1 million, which was offset by funding portfolio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investments of $119.8 million and a decrease in net assets resulting from operations of $53.1 million. Lastly, cash used in financing activities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$148.6 million during the period, primarily due to paydowns on our Revolving Credit Facility of $332.2 million, dividends paid of $25.1 million, deferred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financing costs of $4.1 million, and repurchases of common stock of $2.9 million, which was partially offset by borrowings of $215.7 million (including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$50.0 million principal amount of our 2024 Notes in a reopening).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7" w:name="page58"/>
    <w:bookmarkEnd w:id="57"/>
    <w:p>
      <w:pPr>
        <w:ind w:firstLine="255"/>
        <w:spacing w:after="0" w:line="277" w:lineRule="auto"/>
        <w:rPr>
          <w:sz w:val="20"/>
          <w:szCs w:val="20"/>
          <w:color w:val="auto"/>
        </w:rPr>
      </w:pPr>
      <w:r>
        <w:rPr>
          <w:rFonts w:ascii="Arial" w:cs="Arial" w:eastAsia="Arial" w:hAnsi="Arial"/>
          <w:sz w:val="18"/>
          <w:szCs w:val="18"/>
          <w:color w:val="auto"/>
        </w:rPr>
        <w:t>As of March 31, 2020, we had $14.3 million of restricted cash pledged as collateral under our interest rate swap agreements, an increase of $5.0 million from December 31, 2019 primarily due to increases in the notional amount and fair value of our swaps.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40" w:firstLine="255"/>
        <w:spacing w:after="0" w:line="275" w:lineRule="auto"/>
        <w:rPr>
          <w:sz w:val="20"/>
          <w:szCs w:val="20"/>
          <w:color w:val="auto"/>
        </w:rPr>
      </w:pPr>
      <w:r>
        <w:rPr>
          <w:rFonts w:ascii="Arial" w:cs="Arial" w:eastAsia="Arial" w:hAnsi="Arial"/>
          <w:sz w:val="17"/>
          <w:szCs w:val="17"/>
          <w:color w:val="auto"/>
        </w:rPr>
        <w:t>During the three months ended March 31, 2020 and 2019, we also issued 252,144 and 300,145 shares of our common stock, respectively, to investors who have not opted out of our dividend reinvestment plan for proceeds of $4.8 million and $5.6 million, respectively. On April 15, 2020 and April 30, 2020, we issued 299,058 and 193,723 shares, respectively, of our common stock through our dividend reinvestment plan for proceeds of $4.3 million and $3.2 million, respectively, which are not reflected in the number of shares issued for the three months ended March 31, 2020 in this section or the consolidated financial statements for the three months ended March 31, 2020.</w:t>
      </w:r>
    </w:p>
    <w:p>
      <w:pPr>
        <w:spacing w:after="0" w:line="176"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5, 2020. The amount and timing of stock repurchases under the program may vary depending on market conditions, and no assurance can be given that any particular amount of common stock will be repurchased.</w:t>
      </w:r>
    </w:p>
    <w:p>
      <w:pPr>
        <w:spacing w:after="0" w:line="171" w:lineRule="exact"/>
        <w:rPr>
          <w:sz w:val="20"/>
          <w:szCs w:val="20"/>
          <w:color w:val="auto"/>
        </w:rPr>
      </w:pPr>
    </w:p>
    <w:p>
      <w:pPr>
        <w:ind w:right="820" w:firstLine="255"/>
        <w:spacing w:after="0" w:line="308" w:lineRule="auto"/>
        <w:rPr>
          <w:sz w:val="20"/>
          <w:szCs w:val="20"/>
          <w:color w:val="auto"/>
        </w:rPr>
      </w:pPr>
      <w:r>
        <w:rPr>
          <w:rFonts w:ascii="Arial" w:cs="Arial" w:eastAsia="Arial" w:hAnsi="Arial"/>
          <w:sz w:val="17"/>
          <w:szCs w:val="17"/>
          <w:color w:val="auto"/>
        </w:rPr>
        <w:t>During the three months ended March 31, 2020, we repurchased 206,964 shares at a weighted average price per share of $14.17 inclusive of commissions, for a total cost of $2.9 million. No shares were repurchased during the three months ended March 31, 2019.</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2020 and December 31,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194"/>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6"/>
                <w:szCs w:val="16"/>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840" w:hanging="492"/>
        <w:spacing w:after="0" w:line="25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$12.7 million, $2.8 million, $1.8 million and $6.4 million, respectively.</w:t>
      </w:r>
    </w:p>
    <w:p>
      <w:pPr>
        <w:ind w:left="500" w:hanging="492"/>
        <w:spacing w:after="0" w:line="26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$17.0 million, which represents an adjustment in the carrying value of the 2024 Notes resulting from a hedge accounting relationship.</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8"/>
                <w:szCs w:val="18"/>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840" w:hanging="492"/>
        <w:spacing w:after="0" w:line="258"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right="480" w:hanging="492"/>
        <w:spacing w:after="0" w:line="26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an adjustment in the carrying value of the 2024 Notes resulting from a hedge accounting relationship.</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8" w:name="page59"/>
    <w:bookmarkEnd w:id="58"/>
    <w:p>
      <w:pPr>
        <w:ind w:right="300" w:firstLine="255"/>
        <w:spacing w:after="0" w:line="277" w:lineRule="auto"/>
        <w:rPr>
          <w:sz w:val="20"/>
          <w:szCs w:val="20"/>
          <w:color w:val="auto"/>
        </w:rPr>
      </w:pPr>
      <w:r>
        <w:rPr>
          <w:rFonts w:ascii="Arial" w:cs="Arial" w:eastAsia="Arial" w:hAnsi="Arial"/>
          <w:sz w:val="18"/>
          <w:szCs w:val="18"/>
          <w:color w:val="auto"/>
        </w:rPr>
        <w:t>As of March 31, 2020 and December 31, 2019,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As of December 31 2019, aggregate commitments under the facility were $1.245 billion. Pursuant to an amendment to the Revolving Credit Facility dated as of January 31, 2020 (the “Ninth Amendment”), the aggregate commitments under the facility were increased to $1.315 billion. The facility includes an uncommitted accordion feature that allows the Company, under certain circumstances, to increase the size of the facility to up to $1.750 billion.</w:t>
      </w:r>
    </w:p>
    <w:p>
      <w:pPr>
        <w:spacing w:after="0" w:line="149" w:lineRule="exact"/>
        <w:rPr>
          <w:sz w:val="20"/>
          <w:szCs w:val="20"/>
          <w:color w:val="auto"/>
        </w:rPr>
      </w:pPr>
    </w:p>
    <w:p>
      <w:pPr>
        <w:ind w:right="20" w:firstLine="255"/>
        <w:spacing w:after="0" w:line="342" w:lineRule="auto"/>
        <w:rPr>
          <w:sz w:val="20"/>
          <w:szCs w:val="20"/>
          <w:color w:val="auto"/>
        </w:rPr>
      </w:pPr>
      <w:r>
        <w:rPr>
          <w:rFonts w:ascii="Arial" w:cs="Arial" w:eastAsia="Arial" w:hAnsi="Arial"/>
          <w:sz w:val="16"/>
          <w:szCs w:val="16"/>
          <w:color w:val="auto"/>
        </w:rPr>
        <w:t>Pursuant to the Ninth Amendment, the revolving period, during which period we, subject to certain conditions, may make borrowings under the facility, was extended from February 14, 2023 to January 31, 2024 and the stated maturity date was extended from February 14, 2024 to January 31, 2025.</w:t>
      </w:r>
    </w:p>
    <w:p>
      <w:pPr>
        <w:spacing w:after="0" w:line="124" w:lineRule="exact"/>
        <w:rPr>
          <w:sz w:val="20"/>
          <w:szCs w:val="20"/>
          <w:color w:val="auto"/>
        </w:rPr>
      </w:pPr>
    </w:p>
    <w:p>
      <w:pPr>
        <w:ind w:right="380"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March 31, 2020, we had outstanding debt denominated in Australian Dollars (AUD) of 56.6 million, Canadian Dollars (CAD) of 132.1 million, and Euro (EUR) of 7.9 million on our Revolving Credit Facility, included in the Outstanding Principal amount in the table above.</w:t>
      </w:r>
    </w:p>
    <w:p>
      <w:pPr>
        <w:spacing w:after="0" w:line="184" w:lineRule="exact"/>
        <w:rPr>
          <w:sz w:val="20"/>
          <w:szCs w:val="20"/>
          <w:color w:val="auto"/>
        </w:rPr>
      </w:pPr>
    </w:p>
    <w:p>
      <w:pPr>
        <w:jc w:val="both"/>
        <w:ind w:right="280"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March 31, 2020 and December 31, 2019, we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2"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9"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260" w:hanging="249"/>
        <w:spacing w:after="0" w:line="375" w:lineRule="auto"/>
        <w:tabs>
          <w:tab w:leader="none" w:pos="5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ind w:left="500" w:hanging="249"/>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18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660" w:firstLine="255"/>
        <w:spacing w:after="0" w:line="277" w:lineRule="auto"/>
        <w:rPr>
          <w:sz w:val="20"/>
          <w:szCs w:val="20"/>
          <w:color w:val="auto"/>
        </w:rPr>
      </w:pPr>
      <w:r>
        <w:rPr>
          <w:rFonts w:ascii="Arial" w:cs="Arial" w:eastAsia="Arial" w:hAnsi="Arial"/>
          <w:sz w:val="18"/>
          <w:szCs w:val="18"/>
          <w:color w:val="auto"/>
        </w:rPr>
        <w:t>Net proceeds received from the issuance of the 2022 Convertible Notes, 2023 Notes and 2024 Notes were used to pay down borrowings on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20" w:firstLine="255"/>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March 31, 2020, the estimated adjusted conversion price was approximately $20.58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72" w:lineRule="exact"/>
        <w:rPr>
          <w:sz w:val="20"/>
          <w:szCs w:val="20"/>
          <w:color w:val="auto"/>
        </w:rPr>
      </w:pPr>
    </w:p>
    <w:p>
      <w:pPr>
        <w:ind w:right="160" w:firstLine="255"/>
        <w:spacing w:after="0" w:line="296" w:lineRule="auto"/>
        <w:rPr>
          <w:sz w:val="20"/>
          <w:szCs w:val="20"/>
          <w:color w:val="auto"/>
        </w:rPr>
      </w:pPr>
      <w:r>
        <w:rPr>
          <w:rFonts w:ascii="Arial" w:cs="Arial" w:eastAsia="Arial" w:hAnsi="Arial"/>
          <w:sz w:val="16"/>
          <w:szCs w:val="16"/>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20" w:firstLine="8"/>
        <w:spacing w:after="0" w:line="292"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60" w:firstLine="255"/>
        <w:spacing w:after="0" w:line="279"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March 31, 2020, we were in compliance with the terms of the indenture governing the 2022 Convertible Notes.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0" w:name="page61"/>
    <w:bookmarkEnd w:id="60"/>
    <w:p>
      <w:pPr>
        <w:ind w:right="60" w:firstLine="255"/>
        <w:spacing w:after="0" w:line="270" w:lineRule="auto"/>
        <w:rPr>
          <w:sz w:val="20"/>
          <w:szCs w:val="20"/>
          <w:color w:val="auto"/>
        </w:rPr>
      </w:pPr>
      <w:r>
        <w:rPr>
          <w:rFonts w:ascii="Arial" w:cs="Arial" w:eastAsia="Arial" w:hAnsi="Arial"/>
          <w:sz w:val="17"/>
          <w:szCs w:val="17"/>
          <w:color w:val="auto"/>
        </w:rPr>
        <w:t>The 2022 Convertible Notes are accounted for in accordance with Accounting Standards Codification (“ASC”) 470-20. Upon conversion of any of the 2022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181" w:lineRule="exact"/>
        <w:rPr>
          <w:sz w:val="20"/>
          <w:szCs w:val="20"/>
          <w:color w:val="auto"/>
        </w:rPr>
      </w:pPr>
    </w:p>
    <w:p>
      <w:pPr>
        <w:ind w:right="380" w:firstLine="255"/>
        <w:spacing w:after="0" w:line="277" w:lineRule="auto"/>
        <w:rPr>
          <w:sz w:val="20"/>
          <w:szCs w:val="20"/>
          <w:color w:val="auto"/>
        </w:rPr>
      </w:pPr>
      <w:r>
        <w:rPr>
          <w:rFonts w:ascii="Arial" w:cs="Arial" w:eastAsia="Arial" w:hAnsi="Arial"/>
          <w:sz w:val="18"/>
          <w:szCs w:val="18"/>
          <w:color w:val="auto"/>
        </w:rPr>
        <w:t>As of March 31, 2020, the principal amount of the 2022 Convertible Notes exceeded the value of the underlying shares multiplied by the per share closing price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6"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In connection with the 2024 Notes offering, we entered into an interest rate swap to continue to align the interest rates of our liabilities with our investment portfolio, which consists of predominately floating rate loans. As a result of the swap, our effective interest rate on the 2024 Notes is three-month LIBOR plus 2.25%.</w:t>
      </w:r>
    </w:p>
    <w:p>
      <w:pPr>
        <w:spacing w:after="0" w:line="184"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In connection with the reopening of the 2024 Notes, we entered into an interest rate swap to continue to align the interest rates of our liabilities with our investment portfolio, which consists of predominantly floating rate loans. As a result of the swap, our effective interest rate on the additional 2024 Notes is three-month LIBOR plus 2.46%.</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2020 and December 31, 2019, we had the following commitments to fund investments in current portfolio companies: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40" w:type="dxa"/>
            <w:vAlign w:val="bottom"/>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1240" w:type="dxa"/>
            <w:vAlign w:val="bottom"/>
          </w:tcPr>
          <w:p>
            <w:pPr>
              <w:jc w:val="right"/>
              <w:ind w:right="131"/>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BlueSnap, Inc. - Revolver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DaySmart Holdings, LLC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Dye &amp; Durham Corp.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Energy Alloys, LLC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Exela Receivables 1, LLC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Factor Systems, Inc.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Gainsight, Inc. - Delayed Draw</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Convertible Note</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IntelePeer Holdings, Inc.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PageUp People, Ltd. - Revolver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ResMan, LLC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ResMan, LLC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4"/>
              </w:rPr>
              <w:t>Verdad Resources Intermediate Holdings, LLC - Delayed Draw</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00" w:right="30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As of March 31, 2020 and December 31, 2019, we did not have any unfunded commitments to fund new investments to new borrowers that were not current portfolio companies as of such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2" w:name="page63"/>
    <w:bookmarkEnd w:id="62"/>
    <w:p>
      <w:pPr>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March 31,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255"/>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255"/>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00" w:right="260" w:hanging="249"/>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00" w:right="320" w:hanging="249"/>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00" w:hanging="249"/>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00" w:right="180" w:hanging="249"/>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00" w:right="140" w:hanging="249"/>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license agreement with an affiliate of TPG to use the TPG name and logo, royalty free, for an agreed upon period of time. Other than with respect to this limited license, we have no legal right to use the TPG name as a trademark.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2019, filed with the SEC on February 19, 2020, and elsewhere in our filings with the SEC.</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54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4" w:lineRule="exact"/>
        <w:rPr>
          <w:sz w:val="20"/>
          <w:szCs w:val="20"/>
          <w:color w:val="auto"/>
        </w:rPr>
      </w:pPr>
    </w:p>
    <w:p>
      <w:pPr>
        <w:ind w:right="100" w:firstLine="255"/>
        <w:spacing w:after="0" w:line="259" w:lineRule="auto"/>
        <w:rPr>
          <w:sz w:val="20"/>
          <w:szCs w:val="20"/>
          <w:color w:val="auto"/>
        </w:rPr>
      </w:pPr>
      <w:r>
        <w:rPr>
          <w:rFonts w:ascii="Arial" w:cs="Arial" w:eastAsia="Arial" w:hAnsi="Arial"/>
          <w:sz w:val="18"/>
          <w:szCs w:val="18"/>
          <w:color w:val="auto"/>
        </w:rPr>
        <w:t>As of March 31, 2020, 99.4% of our debt investments based on fair value in our portfolio bore interest at floating rates (when including investment specific hedges), with 95.1% of these subject to interest rate floors. Our credit facilities also bear interest at floating rates, and in connection with our 2022 Convertible Notes, 2023 Notes and 2024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300" w:firstLine="255"/>
        <w:spacing w:after="0" w:line="263" w:lineRule="auto"/>
        <w:rPr>
          <w:sz w:val="20"/>
          <w:szCs w:val="20"/>
          <w:color w:val="auto"/>
        </w:rPr>
      </w:pPr>
      <w:r>
        <w:rPr>
          <w:rFonts w:ascii="Arial" w:cs="Arial" w:eastAsia="Arial" w:hAnsi="Arial"/>
          <w:sz w:val="18"/>
          <w:szCs w:val="18"/>
          <w:color w:val="auto"/>
        </w:rPr>
        <w:t>Assuming that our consolidated balance sheet as of March 31, 2020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Interest Income</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Interest Expense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Interest Income</w:t>
            </w:r>
          </w:p>
        </w:tc>
      </w:tr>
      <w:tr>
        <w:trPr>
          <w:trHeight w:val="223"/>
        </w:trPr>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Up 200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Down 25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42"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60"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jc w:val="both"/>
        <w:ind w:right="46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2019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COVID-19 pandemic could materially and adversely affect our portfolio companies and the results of our operations, including our financial results.</w:t>
      </w:r>
    </w:p>
    <w:p>
      <w:pPr>
        <w:spacing w:after="0" w:line="62"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 market loans and the businesses of our portfolio companies in particular, this outbreak has resulted in, and until fully resolved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and liquidity issues. While these effects are hoped to be temporary, some effects could be persistent or even permanent.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180" w:lineRule="exact"/>
        <w:rPr>
          <w:sz w:val="20"/>
          <w:szCs w:val="20"/>
          <w:color w:val="auto"/>
        </w:rPr>
      </w:pPr>
    </w:p>
    <w:p>
      <w:pPr>
        <w:jc w:val="both"/>
        <w:ind w:right="600" w:firstLine="255"/>
        <w:spacing w:after="0" w:line="263" w:lineRule="auto"/>
        <w:rPr>
          <w:sz w:val="20"/>
          <w:szCs w:val="20"/>
          <w:color w:val="auto"/>
        </w:rPr>
      </w:pPr>
      <w:r>
        <w:rPr>
          <w:rFonts w:ascii="Arial" w:cs="Arial" w:eastAsia="Arial" w:hAnsi="Arial"/>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Moreover, the effects of the COVID-19 pandemic may heighten the other risks described in the section entitled “Risk Factors” in our most recent Annual Report on Form 10-K and any subsequent report filed with the Securities and Exchange Commission.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disruption, volatility and uncertainty in the capital markets and in the economy generally.</w:t>
      </w:r>
    </w:p>
    <w:p>
      <w:pPr>
        <w:spacing w:after="0" w:line="117"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U.S. capital markets have experienced extreme volatility and disruption following the spread of COVID-19 in the United States and globally. Some economists and major investment banks have expressed concern that the continued spread of the virus could lead to a world-wide economic downturn.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6" w:name="page67"/>
    <w:bookmarkEnd w:id="66"/>
    <w:p>
      <w:pPr>
        <w:ind w:right="100" w:firstLine="255"/>
        <w:spacing w:after="0" w:line="257" w:lineRule="auto"/>
        <w:rPr>
          <w:sz w:val="20"/>
          <w:szCs w:val="20"/>
          <w:color w:val="auto"/>
        </w:rPr>
      </w:pPr>
      <w:r>
        <w:rPr>
          <w:rFonts w:ascii="Arial" w:cs="Arial" w:eastAsia="Arial" w:hAnsi="Arial"/>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88" w:lineRule="exact"/>
        <w:rPr>
          <w:sz w:val="20"/>
          <w:szCs w:val="20"/>
          <w:color w:val="auto"/>
        </w:rPr>
      </w:pPr>
    </w:p>
    <w:p>
      <w:pPr>
        <w:jc w:val="both"/>
        <w:ind w:right="460" w:firstLine="255"/>
        <w:spacing w:after="0" w:line="311" w:lineRule="auto"/>
        <w:rPr>
          <w:sz w:val="20"/>
          <w:szCs w:val="20"/>
          <w:color w:val="auto"/>
        </w:rPr>
      </w:pPr>
      <w:r>
        <w:rPr>
          <w:rFonts w:ascii="Arial" w:cs="Arial" w:eastAsia="Arial" w:hAnsi="Arial"/>
          <w:sz w:val="16"/>
          <w:szCs w:val="16"/>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7" w:lineRule="exact"/>
        <w:rPr>
          <w:sz w:val="20"/>
          <w:szCs w:val="20"/>
          <w:color w:val="auto"/>
        </w:rPr>
      </w:pPr>
    </w:p>
    <w:p>
      <w:pPr>
        <w:jc w:val="both"/>
        <w:ind w:right="160" w:firstLine="255"/>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right="460" w:firstLine="255"/>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0" w:firstLine="255"/>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4"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80" w:firstLine="255"/>
        <w:spacing w:after="0" w:line="254"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firstLine="255"/>
        <w:spacing w:after="0" w:line="285"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14, 2019, we are currently permitted to sell or otherwise issue shares of our common stock at a price below our then-current net asset value per share, subject to the approval of our Board and certain other conditions. Such stockholder approval expires on June 14, 2020. On April 17, 2020, we filed a definitive proxy statement for a special meeting of stockholders, to be held on May 28, 2020. The definitive proxy statement sets forth a proposal to be voted upon at the special meeting that, if approved by stockholders, would have the effect of extending this approval to the one-year anniversary of the date of the special meeting.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6"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right="60" w:firstLine="255"/>
        <w:spacing w:after="0" w:line="254"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March 31, 2020,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400" w:firstLine="255"/>
        <w:spacing w:after="0" w:line="308"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w:t>
      </w:r>
    </w:p>
    <w:p>
      <w:pPr>
        <w:spacing w:after="0" w:line="146"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As of March 31, 2020, we had $986.8 million of outstanding indebtedness, which had an annualized interest cost of 3.89% under the terms of our debt, excluding fees (such as fees on undrawn amounts and amortization of upfront fees) and giving effect to the swap-adjusted interest rates on our 2022 Convertible Notes, 2023 Notes and 2024 Notes. As of March 31, 2020,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w:t>
      </w:r>
    </w:p>
    <w:p>
      <w:pPr>
        <w:spacing w:after="0" w:line="176"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1.9%.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March 31, 2020</w:t>
      </w:r>
    </w:p>
    <w:p>
      <w:pPr>
        <w:spacing w:after="0" w:line="221"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wp:posOffset>
            </wp:positionV>
            <wp:extent cx="39604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r>
    </w:tbl>
    <w:p>
      <w:pPr>
        <w:spacing w:after="0" w:line="242" w:lineRule="exact"/>
        <w:rPr>
          <w:sz w:val="20"/>
          <w:szCs w:val="20"/>
          <w:color w:val="auto"/>
        </w:rPr>
      </w:pPr>
    </w:p>
    <w:p>
      <w:pPr>
        <w:ind w:left="500" w:right="20" w:hanging="492"/>
        <w:spacing w:after="0" w:line="271"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March 31, 2020. As a result, it has not been updated to take into account any changes in assets or leverage since March 31, 2020.</w:t>
      </w:r>
    </w:p>
    <w:p>
      <w:pPr>
        <w:ind w:left="500" w:right="100" w:hanging="492"/>
        <w:spacing w:after="0" w:line="253"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March 31, 2020 to obtain an assumed return to us. From this amount, the interest expense (calculated by multiplying the weighted average stated interest rate of 3.9% by the approximately $986.8 million of principal debt outstanding) is subtracted to determine the return available to stockholders. The return available to stockholders is then divided by the total value of our net assets at March 31, 2020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2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2"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6"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The following table provides information regarding shares of our common stock repurchased by the Company for each month in the three month period ended March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gridSpan w:val="2"/>
          </w:tcPr>
          <w:p>
            <w:pPr>
              <w:spacing w:after="0"/>
              <w:rPr>
                <w:sz w:val="20"/>
                <w:szCs w:val="20"/>
                <w:color w:val="auto"/>
              </w:rPr>
            </w:pPr>
            <w:r>
              <w:rPr>
                <w:rFonts w:ascii="Arial" w:cs="Arial" w:eastAsia="Arial" w:hAnsi="Arial"/>
                <w:sz w:val="14"/>
                <w:szCs w:val="14"/>
                <w:color w:val="auto"/>
              </w:rPr>
              <w:t>($ in thousands, except share and per share amounts)</w:t>
            </w: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24"/>
        </w:trPr>
        <w:tc>
          <w:tcPr>
            <w:tcW w:w="3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Average Price</w:t>
            </w: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366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1660" w:type="dxa"/>
            <w:vAlign w:val="bottom"/>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Paid per Share</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10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23"/>
        </w:trPr>
        <w:tc>
          <w:tcPr>
            <w:tcW w:w="3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2020</w:t>
            </w:r>
          </w:p>
        </w:tc>
        <w:tc>
          <w:tcPr>
            <w:tcW w:w="1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February 2020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2020</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206,964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30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206,964</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206,964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w:t>
            </w:r>
          </w:p>
        </w:tc>
        <w:tc>
          <w:tcPr>
            <w:tcW w:w="3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206,964</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20" w:hanging="509"/>
        <w:spacing w:after="0" w:line="275" w:lineRule="auto"/>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5, 2020. The amount and timing of stock repurchases under the program may vary depending on market conditions, and no assurance can be given that any particular amount of common stock will be repurchased. The Board’s authorization expires November 30, 2020.</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760" w:hanging="509"/>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both"/>
        <w:ind w:left="640" w:right="360" w:hanging="633"/>
        <w:spacing w:after="0" w:line="311" w:lineRule="auto"/>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04">
        <w:r>
          <w:rPr>
            <w:rFonts w:ascii="Arial" w:cs="Arial" w:eastAsia="Arial" w:hAnsi="Arial"/>
            <w:sz w:val="16"/>
            <w:szCs w:val="16"/>
            <w:u w:val="single" w:color="auto"/>
            <w:color w:val="0000EE"/>
          </w:rPr>
          <w:t>Ninth Amendment to Second Amended and Restated Senior Secured Revolving Credit Agreement, dated as of January 31, 2020, among TPG</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Specialty Lending, Inc., as Borrower, the Lenders party thereto and Truist Bank (as successor by merger to SunTrust Bank), as Administrative</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Agent (incorporated by reference to the Exhibit 10.17 to the Company’s Annual Report on Form 10-K filed on February 19, 2020).</w:t>
        </w:r>
      </w:hyperlink>
    </w:p>
    <w:p>
      <w:pPr>
        <w:spacing w:after="0" w:line="149" w:lineRule="exact"/>
        <w:rPr>
          <w:rFonts w:ascii="Arial" w:cs="Arial" w:eastAsia="Arial" w:hAnsi="Arial"/>
          <w:sz w:val="16"/>
          <w:szCs w:val="16"/>
          <w:u w:val="single" w:color="auto"/>
          <w:color w:val="0000EE"/>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3">
        <w:r>
          <w:rPr>
            <w:rFonts w:ascii="Arial" w:cs="Arial" w:eastAsia="Arial" w:hAnsi="Arial"/>
            <w:sz w:val="16"/>
            <w:szCs w:val="16"/>
            <w:u w:val="single" w:color="auto"/>
            <w:color w:val="0000EE"/>
          </w:rPr>
          <w:t>Certification of Chief Executive Officer Pursuant to 18 U.S.C. Section 1350, as Adopted Pursuant to Section 302 of the Sarbanes-Oxley Act of</w:t>
        </w:r>
      </w:hyperlink>
    </w:p>
    <w:p>
      <w:pPr>
        <w:spacing w:after="0" w:line="23" w:lineRule="exact"/>
        <w:rPr>
          <w:rFonts w:ascii="Arial" w:cs="Arial" w:eastAsia="Arial" w:hAnsi="Arial"/>
          <w:sz w:val="16"/>
          <w:szCs w:val="16"/>
          <w:u w:val="single" w:color="auto"/>
          <w:color w:val="0000EE"/>
        </w:rPr>
      </w:pPr>
    </w:p>
    <w:p>
      <w:pPr>
        <w:ind w:left="6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2002</w:t>
        </w:r>
      </w:hyperlink>
    </w:p>
    <w:p>
      <w:pPr>
        <w:spacing w:after="0" w:line="211" w:lineRule="exact"/>
        <w:rPr>
          <w:rFonts w:ascii="Arial" w:cs="Arial" w:eastAsia="Arial" w:hAnsi="Arial"/>
          <w:sz w:val="16"/>
          <w:szCs w:val="16"/>
          <w:u w:val="single" w:color="auto"/>
          <w:color w:val="0000EE"/>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4">
        <w:r>
          <w:rPr>
            <w:rFonts w:ascii="Arial" w:cs="Arial" w:eastAsia="Arial" w:hAnsi="Arial"/>
            <w:sz w:val="16"/>
            <w:szCs w:val="16"/>
            <w:u w:val="single" w:color="auto"/>
            <w:color w:val="0000EE"/>
          </w:rPr>
          <w:t>Certification of Chief Financial Officer Pursuant to 18 U.S.C. Section 1350, as Adopted Pursuant to Section 302 of the Sarbanes-Oxley Act of</w:t>
        </w:r>
      </w:hyperlink>
    </w:p>
    <w:p>
      <w:pPr>
        <w:spacing w:after="0" w:line="23" w:lineRule="exact"/>
        <w:rPr>
          <w:rFonts w:ascii="Arial" w:cs="Arial" w:eastAsia="Arial" w:hAnsi="Arial"/>
          <w:sz w:val="16"/>
          <w:szCs w:val="16"/>
          <w:u w:val="single" w:color="auto"/>
          <w:color w:val="0000EE"/>
        </w:rPr>
      </w:pPr>
    </w:p>
    <w:p>
      <w:pPr>
        <w:ind w:left="6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2002</w:t>
        </w:r>
      </w:hyperlink>
    </w:p>
    <w:p>
      <w:pPr>
        <w:spacing w:after="0" w:line="211" w:lineRule="exact"/>
        <w:rPr>
          <w:rFonts w:ascii="Arial" w:cs="Arial" w:eastAsia="Arial" w:hAnsi="Arial"/>
          <w:sz w:val="16"/>
          <w:szCs w:val="16"/>
          <w:u w:val="single" w:color="auto"/>
          <w:color w:val="0000EE"/>
        </w:rPr>
      </w:pPr>
    </w:p>
    <w:p>
      <w:pPr>
        <w:ind w:left="640" w:hanging="632"/>
        <w:spacing w:after="0"/>
        <w:tabs>
          <w:tab w:leader="none" w:pos="640" w:val="left"/>
        </w:tabs>
        <w:numPr>
          <w:ilvl w:val="0"/>
          <w:numId w:val="56"/>
        </w:numPr>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7" w:lineRule="exact"/>
        <w:rPr>
          <w:rFonts w:ascii="Arial" w:cs="Arial" w:eastAsia="Arial" w:hAnsi="Arial"/>
          <w:sz w:val="17"/>
          <w:szCs w:val="17"/>
          <w:u w:val="single" w:color="auto"/>
          <w:color w:val="0000EE"/>
        </w:rPr>
      </w:pPr>
    </w:p>
    <w:p>
      <w:pPr>
        <w:ind w:left="5540"/>
        <w:spacing w:after="0"/>
        <w:rPr>
          <w:rFonts w:ascii="Arial" w:cs="Arial" w:eastAsia="Arial" w:hAnsi="Arial"/>
          <w:sz w:val="17"/>
          <w:szCs w:val="17"/>
          <w:u w:val="single" w:color="auto"/>
          <w:color w:val="0000EE"/>
        </w:rPr>
      </w:pPr>
      <w:r>
        <w:rPr>
          <w:rFonts w:ascii="Arial" w:cs="Arial" w:eastAsia="Arial" w:hAnsi="Arial"/>
          <w:sz w:val="18"/>
          <w:szCs w:val="18"/>
          <w:color w:val="auto"/>
        </w:rPr>
        <w:t>71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3340"/>
              <w:spacing w:after="0"/>
              <w:rPr>
                <w:sz w:val="20"/>
                <w:szCs w:val="20"/>
                <w:color w:val="auto"/>
              </w:rPr>
            </w:pPr>
            <w:r>
              <w:rPr>
                <w:rFonts w:ascii="Arial" w:cs="Arial" w:eastAsia="Arial" w:hAnsi="Arial"/>
                <w:sz w:val="18"/>
                <w:szCs w:val="18"/>
                <w:color w:val="auto"/>
              </w:rPr>
              <w:t>TPG SPECIALTY LENDING, INC.</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Date: May 5, 2020</w:t>
            </w:r>
          </w:p>
        </w:tc>
        <w:tc>
          <w:tcPr>
            <w:tcW w:w="7800" w:type="dxa"/>
            <w:vAlign w:val="bottom"/>
            <w:gridSpan w:val="2"/>
          </w:tcPr>
          <w:p>
            <w:pPr>
              <w:ind w:left="3340"/>
              <w:spacing w:after="0"/>
              <w:rPr>
                <w:sz w:val="20"/>
                <w:szCs w:val="20"/>
                <w:color w:val="auto"/>
              </w:rPr>
            </w:pPr>
            <w:r>
              <w:rPr>
                <w:rFonts w:ascii="Arial" w:cs="Arial" w:eastAsia="Arial" w:hAnsi="Arial"/>
                <w:sz w:val="18"/>
                <w:szCs w:val="18"/>
                <w:color w:val="auto"/>
              </w:rPr>
              <w:t>By: /s/ Joshua Easterly</w:t>
            </w:r>
          </w:p>
        </w:tc>
      </w:tr>
      <w:tr>
        <w:trPr>
          <w:trHeight w:val="195"/>
        </w:trPr>
        <w:tc>
          <w:tcPr>
            <w:tcW w:w="34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4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Date: May 5, 2020</w:t>
            </w:r>
          </w:p>
        </w:tc>
        <w:tc>
          <w:tcPr>
            <w:tcW w:w="7800" w:type="dxa"/>
            <w:vAlign w:val="bottom"/>
            <w:gridSpan w:val="2"/>
          </w:tcPr>
          <w:p>
            <w:pPr>
              <w:ind w:left="3340"/>
              <w:spacing w:after="0"/>
              <w:rPr>
                <w:sz w:val="20"/>
                <w:szCs w:val="20"/>
                <w:color w:val="auto"/>
              </w:rPr>
            </w:pPr>
            <w:r>
              <w:rPr>
                <w:rFonts w:ascii="Arial" w:cs="Arial" w:eastAsia="Arial" w:hAnsi="Arial"/>
                <w:sz w:val="18"/>
                <w:szCs w:val="18"/>
                <w:color w:val="auto"/>
              </w:rPr>
              <w:t>By: /s/ Ian Simmonds</w:t>
            </w:r>
          </w:p>
        </w:tc>
      </w:tr>
      <w:tr>
        <w:trPr>
          <w:trHeight w:val="195"/>
        </w:trPr>
        <w:tc>
          <w:tcPr>
            <w:tcW w:w="34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440" w:type="dxa"/>
            <w:vAlign w:val="bottom"/>
          </w:tcPr>
          <w:p>
            <w:pPr>
              <w:spacing w:after="0"/>
              <w:rPr>
                <w:sz w:val="24"/>
                <w:szCs w:val="24"/>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color w:val="auto"/>
              </w:rPr>
              <w:t>72</w:t>
            </w:r>
          </w:p>
        </w:tc>
        <w:tc>
          <w:tcPr>
            <w:tcW w:w="41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2020,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62"/>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Joshua Easterly</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0"/>
              <w:spacing w:after="0"/>
              <w:rPr>
                <w:sz w:val="20"/>
                <w:szCs w:val="20"/>
                <w:color w:val="auto"/>
              </w:rPr>
            </w:pPr>
            <w:r>
              <w:rPr>
                <w:rFonts w:ascii="Arial" w:cs="Arial" w:eastAsia="Arial" w:hAnsi="Arial"/>
                <w:sz w:val="18"/>
                <w:szCs w:val="18"/>
                <w:color w:val="auto"/>
              </w:rPr>
              <w:t>May 5, 2020</w:t>
            </w:r>
          </w:p>
        </w:tc>
      </w:tr>
    </w:tbl>
    <w:p>
      <w:pPr>
        <w:spacing w:after="0" w:line="20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lvl w:ilvl="1">
      <w:lvlJc w:val="left"/>
      <w:lvlText w:val="(%2)"/>
      <w:numFmt w:val="lowerLetter"/>
      <w:start w:val="1"/>
    </w:lvl>
  </w:abstractNum>
  <w:abstractNum w:abstractNumId="4">
    <w:nsid w:val="6CEAF087"/>
    <w:multiLevelType w:val="hybridMultilevel"/>
    <w:lvl w:ilvl="0">
      <w:lvlJc w:val="left"/>
      <w:lvlText w:val="(%1)"/>
      <w:numFmt w:val="decimal"/>
      <w:start w:val="1"/>
    </w:lvl>
    <w:lvl w:ilvl="1">
      <w:lvlJc w:val="left"/>
      <w:lvlText w:val="%2"/>
      <w:numFmt w:val="lowerLetter"/>
      <w:start w:val="1"/>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1"/>
      <w:numFmt w:val="decimal"/>
      <w:start w:val="1"/>
    </w:lvl>
    <w:lvl w:ilvl="1">
      <w:lvlJc w:val="left"/>
      <w:lvlText w:val="(%2)"/>
      <w:numFmt w:val="lowerLetter"/>
      <w:start w:val="1"/>
    </w:lvl>
  </w:abstractNum>
  <w:abstractNum w:abstractNumId="7">
    <w:nsid w:val="3006C83E"/>
    <w:multiLevelType w:val="hybridMultilevel"/>
    <w:lvl w:ilvl="0">
      <w:lvlJc w:val="left"/>
      <w:lvlText w:val="(%1)"/>
      <w:numFmt w:val="decimal"/>
      <w:start w:val="7"/>
    </w:lvl>
    <w:lvl w:ilvl="1">
      <w:lvlJc w:val="left"/>
      <w:lvlText w:val="%2"/>
      <w:numFmt w:val="lowerLetter"/>
      <w:start w:val="1"/>
    </w:lvl>
  </w:abstractNum>
  <w:abstractNum w:abstractNumId="8">
    <w:nsid w:val="614FD4A1"/>
    <w:multiLevelType w:val="hybridMultilevel"/>
    <w:lvl w:ilvl="0">
      <w:lvlJc w:val="left"/>
      <w:lvlText w:val="%1"/>
      <w:numFmt w:val="decimal"/>
      <w:start w:val="1"/>
    </w:lvl>
    <w:lvl w:ilvl="1">
      <w:lvlJc w:val="left"/>
      <w:lvlText w:val="(%2)"/>
      <w:numFmt w:val="lowerLetter"/>
      <w:start w:val="1"/>
    </w:lvl>
  </w:abstractNum>
  <w:abstractNum w:abstractNumId="9">
    <w:nsid w:val="419AC241"/>
    <w:multiLevelType w:val="hybridMultilevel"/>
    <w:lvl w:ilvl="0">
      <w:lvlJc w:val="left"/>
      <w:lvlText w:val="(%1)"/>
      <w:numFmt w:val="decimal"/>
      <w:start w:val="8"/>
    </w:lvl>
    <w:lvl w:ilvl="1">
      <w:lvlJc w:val="left"/>
      <w:lvlText w:val="%2"/>
      <w:numFmt w:val="lowerLetter"/>
      <w:start w:val="1"/>
    </w:lvl>
  </w:abstractNum>
  <w:abstractNum w:abstractNumId="10">
    <w:nsid w:val="5577F8E1"/>
    <w:multiLevelType w:val="hybridMultilevel"/>
    <w:lvl w:ilvl="0">
      <w:lvlJc w:val="left"/>
      <w:lvlText w:val="(%1)"/>
      <w:numFmt w:val="decimal"/>
      <w:start w:val="9"/>
    </w:lvl>
  </w:abstractNum>
  <w:abstractNum w:abstractNumId="11">
    <w:nsid w:val="440BADFC"/>
    <w:multiLevelType w:val="hybridMultilevel"/>
    <w:lvl w:ilvl="0">
      <w:lvlJc w:val="left"/>
      <w:lvlText w:val="%1"/>
      <w:numFmt w:val="decimal"/>
      <w:start w:val="1"/>
    </w:lvl>
    <w:lvl w:ilvl="1">
      <w:lvlJc w:val="left"/>
      <w:lvlText w:val="(%2)"/>
      <w:numFmt w:val="lowerLetter"/>
      <w:start w:val="1"/>
    </w:lvl>
  </w:abstractNum>
  <w:abstractNum w:abstractNumId="12">
    <w:nsid w:val="5072367"/>
    <w:multiLevelType w:val="hybridMultilevel"/>
    <w:lvl w:ilvl="0">
      <w:lvlJc w:val="left"/>
      <w:lvlText w:val="(%1)"/>
      <w:numFmt w:val="decimal"/>
      <w:start w:val="1"/>
    </w:lvl>
    <w:lvl w:ilvl="1">
      <w:lvlJc w:val="left"/>
      <w:lvlText w:val="%2"/>
      <w:numFmt w:val="lowerLetter"/>
      <w:start w:val="1"/>
    </w:lvl>
  </w:abstractNum>
  <w:abstractNum w:abstractNumId="13">
    <w:nsid w:val="3804823E"/>
    <w:multiLevelType w:val="hybridMultilevel"/>
    <w:lvl w:ilvl="0">
      <w:lvlJc w:val="left"/>
      <w:lvlText w:val="%1"/>
      <w:numFmt w:val="decimal"/>
      <w:start w:val="1"/>
    </w:lvl>
    <w:lvl w:ilvl="1">
      <w:lvlJc w:val="left"/>
      <w:lvlText w:val="(%2)"/>
      <w:numFmt w:val="lowerLetter"/>
      <w:start w:val="1"/>
    </w:lvl>
  </w:abstractNum>
  <w:abstractNum w:abstractNumId="14">
    <w:nsid w:val="77465F01"/>
    <w:multiLevelType w:val="hybridMultilevel"/>
    <w:lvl w:ilvl="0">
      <w:lvlJc w:val="left"/>
      <w:lvlText w:val="(%1)"/>
      <w:numFmt w:val="decimal"/>
      <w:start w:val="7"/>
    </w:lvl>
    <w:lvl w:ilvl="1">
      <w:lvlJc w:val="left"/>
      <w:lvlText w:val="%2"/>
      <w:numFmt w:val="lowerLetter"/>
      <w:start w:val="1"/>
    </w:lvl>
  </w:abstractNum>
  <w:abstractNum w:abstractNumId="15">
    <w:nsid w:val="7724C67E"/>
    <w:multiLevelType w:val="hybridMultilevel"/>
    <w:lvl w:ilvl="0">
      <w:lvlJc w:val="left"/>
      <w:lvlText w:val="%1"/>
      <w:numFmt w:val="decimal"/>
      <w:start w:val="1"/>
    </w:lvl>
    <w:lvl w:ilvl="1">
      <w:lvlJc w:val="left"/>
      <w:lvlText w:val="(%2)"/>
      <w:numFmt w:val="lowerLetter"/>
      <w:start w:val="1"/>
    </w:lvl>
  </w:abstractNum>
  <w:abstractNum w:abstractNumId="16">
    <w:nsid w:val="5C482A97"/>
    <w:multiLevelType w:val="hybridMultilevel"/>
    <w:lvl w:ilvl="0">
      <w:lvlJc w:val="left"/>
      <w:lvlText w:val="(%1)"/>
      <w:numFmt w:val="decimal"/>
      <w:start w:val="8"/>
    </w:lvl>
    <w:lvl w:ilvl="1">
      <w:lvlJc w:val="left"/>
      <w:lvlText w:val="%2"/>
      <w:numFmt w:val="lowerLetter"/>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Roman"/>
      <w:start w:val="1"/>
    </w:lvl>
  </w:abstractNum>
  <w:abstractNum w:abstractNumId="21">
    <w:nsid w:val="580BD78F"/>
    <w:multiLevelType w:val="hybridMultilevel"/>
    <w:lvl w:ilvl="0">
      <w:lvlJc w:val="left"/>
      <w:lvlText w:val="(%1)"/>
      <w:numFmt w:val="lowerRoman"/>
      <w:start w:val="2"/>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0"/>
    </w:lvl>
  </w:abstractNum>
  <w:abstractNum w:abstractNumId="33">
    <w:nsid w:val="542289EC"/>
    <w:multiLevelType w:val="hybridMultilevel"/>
    <w:lvl w:ilvl="0">
      <w:lvlJc w:val="left"/>
      <w:lvlText w:val="%1."/>
      <w:numFmt w:val="decimal"/>
      <w:start w:val="12"/>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32"/>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4" Type="http://schemas.openxmlformats.org/officeDocument/2006/relationships/hyperlink" Target="http://www.sec.gov/Archives/edgar/data/1508655/000156459020005268/tslx-ex1017_1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2020-05-05T15:04:54Z</dcterms:created>
  <dcterms:modified xsi:type="dcterms:W3CDTF">2020-05-05T15:04:54Z</dcterms:modified>
</cp:coreProperties>
</file>